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793A937" w14:textId="77777777" w:rsidR="00F30D22" w:rsidRPr="00F30D22" w:rsidRDefault="00F30D22" w:rsidP="00BB31AE">
      <w:pPr>
        <w:pStyle w:val="Heading1"/>
        <w:tabs>
          <w:tab w:val="num" w:pos="0"/>
          <w:tab w:val="left" w:pos="1440"/>
        </w:tabs>
        <w:spacing w:before="0" w:after="120" w:line="276" w:lineRule="auto"/>
        <w:jc w:val="center"/>
        <w:rPr>
          <w:rFonts w:ascii="Times New Roman" w:hAnsi="Times New Roman" w:cs="Times New Roman"/>
          <w:sz w:val="24"/>
          <w:szCs w:val="24"/>
        </w:rPr>
      </w:pPr>
      <w:r w:rsidRPr="00F30D22">
        <w:rPr>
          <w:rFonts w:ascii="Times New Roman" w:hAnsi="Times New Roman" w:cs="Times New Roman"/>
          <w:sz w:val="24"/>
          <w:szCs w:val="24"/>
        </w:rPr>
        <w:t>VALSTYBĖS ĮMONĖS IGNALINOS ATOMINĖS ELEKTRINĖS EKSPLOATAVIMO NUTRAUKIMO FONDAS</w:t>
      </w:r>
    </w:p>
    <w:p w14:paraId="26CF96BF" w14:textId="77777777" w:rsidR="00F30D22" w:rsidRDefault="00F30D22" w:rsidP="00BB31AE">
      <w:pPr>
        <w:pStyle w:val="Heading1"/>
        <w:tabs>
          <w:tab w:val="num" w:pos="0"/>
          <w:tab w:val="left" w:pos="1440"/>
        </w:tabs>
        <w:spacing w:before="0" w:after="120" w:line="276" w:lineRule="auto"/>
        <w:jc w:val="center"/>
        <w:rPr>
          <w:rFonts w:cs="Times New Roman"/>
          <w:b w:val="0"/>
          <w:szCs w:val="24"/>
        </w:rPr>
      </w:pPr>
    </w:p>
    <w:p w14:paraId="04D6F4AF" w14:textId="77777777" w:rsidR="00335EC8" w:rsidRPr="00335EC8" w:rsidRDefault="00335EC8" w:rsidP="004926C1">
      <w:pPr>
        <w:jc w:val="center"/>
      </w:pPr>
    </w:p>
    <w:p w14:paraId="45758224" w14:textId="77777777" w:rsidR="00975942" w:rsidRPr="00F30D22" w:rsidRDefault="00F30D22" w:rsidP="00BB31AE">
      <w:pPr>
        <w:pStyle w:val="Heading1"/>
        <w:tabs>
          <w:tab w:val="left" w:pos="0"/>
        </w:tabs>
        <w:spacing w:before="0" w:after="120" w:line="276" w:lineRule="auto"/>
        <w:jc w:val="center"/>
        <w:rPr>
          <w:rFonts w:ascii="Times New Roman" w:hAnsi="Times New Roman" w:cs="Times New Roman"/>
          <w:sz w:val="24"/>
          <w:szCs w:val="24"/>
        </w:rPr>
      </w:pPr>
      <w:r w:rsidRPr="00F30D22">
        <w:rPr>
          <w:rFonts w:ascii="Times New Roman" w:hAnsi="Times New Roman" w:cs="Times New Roman"/>
          <w:sz w:val="24"/>
          <w:szCs w:val="24"/>
        </w:rPr>
        <w:t>FINANSINIŲ ATASKAITŲ AIŠKINAMASIS RAŠTAS</w:t>
      </w:r>
      <w:bookmarkStart w:id="0" w:name="_Toc200345190"/>
      <w:bookmarkStart w:id="1" w:name="_Toc233421898"/>
    </w:p>
    <w:p w14:paraId="480E6B21" w14:textId="351E4182" w:rsidR="00F30D22" w:rsidRPr="00F30D22" w:rsidRDefault="00F75240" w:rsidP="00BB31AE">
      <w:pPr>
        <w:spacing w:line="276" w:lineRule="auto"/>
        <w:jc w:val="center"/>
        <w:rPr>
          <w:rFonts w:cs="Times New Roman"/>
          <w:b/>
          <w:szCs w:val="24"/>
        </w:rPr>
      </w:pPr>
      <w:r>
        <w:rPr>
          <w:rFonts w:cs="Times New Roman"/>
          <w:b/>
          <w:szCs w:val="24"/>
        </w:rPr>
        <w:t>20</w:t>
      </w:r>
      <w:r w:rsidR="00D856BF">
        <w:rPr>
          <w:rFonts w:cs="Times New Roman"/>
          <w:b/>
          <w:szCs w:val="24"/>
        </w:rPr>
        <w:t>20</w:t>
      </w:r>
      <w:r w:rsidR="00E949B1">
        <w:rPr>
          <w:rFonts w:cs="Times New Roman"/>
          <w:b/>
          <w:szCs w:val="24"/>
        </w:rPr>
        <w:t xml:space="preserve"> </w:t>
      </w:r>
      <w:r w:rsidR="000978E4" w:rsidRPr="00186CA5">
        <w:rPr>
          <w:rFonts w:cs="Times New Roman"/>
          <w:b/>
          <w:szCs w:val="24"/>
        </w:rPr>
        <w:t>M</w:t>
      </w:r>
      <w:r w:rsidR="00EF7276" w:rsidRPr="00186CA5">
        <w:rPr>
          <w:rFonts w:cs="Times New Roman"/>
          <w:b/>
          <w:szCs w:val="24"/>
        </w:rPr>
        <w:t>.</w:t>
      </w:r>
      <w:r w:rsidR="000978E4" w:rsidRPr="00186CA5">
        <w:rPr>
          <w:rFonts w:cs="Times New Roman"/>
          <w:b/>
          <w:szCs w:val="24"/>
        </w:rPr>
        <w:t xml:space="preserve"> </w:t>
      </w:r>
      <w:r w:rsidR="00D856BF">
        <w:rPr>
          <w:rFonts w:cs="Times New Roman"/>
          <w:b/>
          <w:szCs w:val="24"/>
        </w:rPr>
        <w:t>KOVO</w:t>
      </w:r>
      <w:r w:rsidR="00451956">
        <w:rPr>
          <w:rFonts w:cs="Times New Roman"/>
          <w:b/>
          <w:szCs w:val="24"/>
        </w:rPr>
        <w:t xml:space="preserve"> </w:t>
      </w:r>
      <w:r w:rsidR="00F719F7">
        <w:rPr>
          <w:rFonts w:cs="Times New Roman"/>
          <w:b/>
          <w:szCs w:val="24"/>
        </w:rPr>
        <w:t>1</w:t>
      </w:r>
      <w:r w:rsidR="00D856BF">
        <w:rPr>
          <w:rFonts w:cs="Times New Roman"/>
          <w:b/>
          <w:szCs w:val="24"/>
        </w:rPr>
        <w:t>6</w:t>
      </w:r>
      <w:r w:rsidR="00F30D22" w:rsidRPr="00186CA5">
        <w:rPr>
          <w:rFonts w:cs="Times New Roman"/>
          <w:b/>
          <w:szCs w:val="24"/>
        </w:rPr>
        <w:t xml:space="preserve"> D.</w:t>
      </w:r>
      <w:r w:rsidR="00D879B8">
        <w:rPr>
          <w:rFonts w:cs="Times New Roman"/>
          <w:b/>
          <w:szCs w:val="24"/>
        </w:rPr>
        <w:t xml:space="preserve"> NR</w:t>
      </w:r>
      <w:r w:rsidR="00186CA5">
        <w:rPr>
          <w:rFonts w:cs="Times New Roman"/>
          <w:b/>
          <w:szCs w:val="24"/>
        </w:rPr>
        <w:t>.</w:t>
      </w:r>
      <w:r w:rsidR="00970E6B">
        <w:rPr>
          <w:rFonts w:cs="Times New Roman"/>
          <w:b/>
          <w:szCs w:val="24"/>
        </w:rPr>
        <w:t xml:space="preserve"> </w:t>
      </w:r>
    </w:p>
    <w:p w14:paraId="6C30B8D6" w14:textId="77777777" w:rsidR="00F30D22" w:rsidRDefault="00F30D22" w:rsidP="00BB31AE">
      <w:pPr>
        <w:spacing w:line="276" w:lineRule="auto"/>
        <w:jc w:val="center"/>
        <w:rPr>
          <w:b/>
        </w:rPr>
      </w:pPr>
    </w:p>
    <w:p w14:paraId="242FE081" w14:textId="77777777" w:rsidR="00F30D22" w:rsidRDefault="00F30D22" w:rsidP="00BB31AE">
      <w:pPr>
        <w:spacing w:line="276" w:lineRule="auto"/>
        <w:jc w:val="center"/>
        <w:rPr>
          <w:b/>
        </w:rPr>
      </w:pPr>
    </w:p>
    <w:p w14:paraId="5BC48AF4" w14:textId="77777777" w:rsidR="006F09AF" w:rsidRPr="009B487B" w:rsidRDefault="006F09AF" w:rsidP="004926C1">
      <w:pPr>
        <w:pStyle w:val="Heading1"/>
        <w:numPr>
          <w:ilvl w:val="0"/>
          <w:numId w:val="46"/>
        </w:numPr>
        <w:tabs>
          <w:tab w:val="left" w:pos="284"/>
        </w:tabs>
        <w:spacing w:before="0" w:after="120" w:line="276" w:lineRule="auto"/>
        <w:ind w:left="0" w:firstLine="0"/>
        <w:jc w:val="center"/>
        <w:rPr>
          <w:rFonts w:ascii="Times New Roman" w:hAnsi="Times New Roman" w:cs="Times New Roman"/>
          <w:sz w:val="24"/>
          <w:szCs w:val="24"/>
        </w:rPr>
      </w:pPr>
      <w:r w:rsidRPr="009B487B">
        <w:rPr>
          <w:rFonts w:ascii="Times New Roman" w:hAnsi="Times New Roman" w:cs="Times New Roman"/>
          <w:sz w:val="24"/>
          <w:szCs w:val="24"/>
        </w:rPr>
        <w:t>BENDROSIOS NUOSTATOS</w:t>
      </w:r>
      <w:bookmarkEnd w:id="0"/>
      <w:bookmarkEnd w:id="1"/>
    </w:p>
    <w:p w14:paraId="1E13A788" w14:textId="77777777" w:rsidR="006F09AF" w:rsidRPr="009B487B" w:rsidRDefault="006F09AF" w:rsidP="00335EC8">
      <w:pPr>
        <w:spacing w:line="276" w:lineRule="auto"/>
        <w:ind w:firstLine="720"/>
        <w:jc w:val="both"/>
        <w:rPr>
          <w:rFonts w:cs="Times New Roman"/>
          <w:noProof/>
          <w:szCs w:val="24"/>
        </w:rPr>
      </w:pPr>
    </w:p>
    <w:p w14:paraId="730ECDAA" w14:textId="77777777" w:rsidR="00FF7FFB" w:rsidRPr="002D087E" w:rsidRDefault="004373EE" w:rsidP="006C6343">
      <w:pPr>
        <w:spacing w:line="276" w:lineRule="auto"/>
        <w:ind w:firstLine="720"/>
        <w:jc w:val="both"/>
        <w:rPr>
          <w:rFonts w:cs="Times New Roman"/>
          <w:szCs w:val="24"/>
        </w:rPr>
      </w:pPr>
      <w:r w:rsidRPr="00FF7FFB">
        <w:rPr>
          <w:rFonts w:cs="Times New Roman"/>
          <w:iCs/>
          <w:szCs w:val="24"/>
        </w:rPr>
        <w:tab/>
      </w:r>
      <w:r w:rsidR="00BA0AE8" w:rsidRPr="00FF7FFB">
        <w:rPr>
          <w:rFonts w:cs="Times New Roman"/>
          <w:iCs/>
          <w:szCs w:val="24"/>
        </w:rPr>
        <w:t>V</w:t>
      </w:r>
      <w:r w:rsidRPr="00FF7FFB">
        <w:rPr>
          <w:rFonts w:cs="Times New Roman"/>
          <w:iCs/>
          <w:szCs w:val="24"/>
        </w:rPr>
        <w:t>alstybės įmonės Ignalinos atominės elektrinės eksploatavimo nutraukimo</w:t>
      </w:r>
      <w:r w:rsidRPr="00FF7FFB">
        <w:rPr>
          <w:rFonts w:cs="Times New Roman"/>
          <w:szCs w:val="24"/>
        </w:rPr>
        <w:t xml:space="preserve"> fondas (toliau – </w:t>
      </w:r>
      <w:r w:rsidR="00512F1A" w:rsidRPr="00FF7FFB">
        <w:rPr>
          <w:rFonts w:cs="Times New Roman"/>
          <w:szCs w:val="24"/>
        </w:rPr>
        <w:t>IA</w:t>
      </w:r>
      <w:r w:rsidRPr="00FF7FFB">
        <w:rPr>
          <w:rFonts w:cs="Times New Roman"/>
          <w:szCs w:val="24"/>
        </w:rPr>
        <w:t>ENF</w:t>
      </w:r>
      <w:r w:rsidR="00526251" w:rsidRPr="00FF7FFB">
        <w:rPr>
          <w:rFonts w:cs="Times New Roman"/>
          <w:szCs w:val="24"/>
        </w:rPr>
        <w:t>, Fondas</w:t>
      </w:r>
      <w:r w:rsidRPr="00FF7FFB">
        <w:rPr>
          <w:rFonts w:cs="Times New Roman"/>
          <w:szCs w:val="24"/>
        </w:rPr>
        <w:t xml:space="preserve">) yra valstybės </w:t>
      </w:r>
      <w:r w:rsidR="001D49DB" w:rsidRPr="00FF7FFB">
        <w:rPr>
          <w:rFonts w:cs="Times New Roman"/>
          <w:szCs w:val="24"/>
        </w:rPr>
        <w:t xml:space="preserve">išteklių </w:t>
      </w:r>
      <w:r w:rsidRPr="00FF7FFB">
        <w:rPr>
          <w:rFonts w:cs="Times New Roman"/>
          <w:szCs w:val="24"/>
        </w:rPr>
        <w:t xml:space="preserve">fondas, įsteigtas Lietuvos Respublikos </w:t>
      </w:r>
      <w:r w:rsidRPr="00FF7FFB">
        <w:rPr>
          <w:rFonts w:cs="Times New Roman"/>
          <w:iCs/>
          <w:szCs w:val="24"/>
        </w:rPr>
        <w:t>valstybės įmonės Ignalinos atominės elektrinės eksploatavimo nutraukimo</w:t>
      </w:r>
      <w:r w:rsidRPr="00FF7FFB">
        <w:rPr>
          <w:rFonts w:cs="Times New Roman"/>
          <w:szCs w:val="24"/>
        </w:rPr>
        <w:t xml:space="preserve"> fondo įstatymu. </w:t>
      </w:r>
      <w:r w:rsidR="00FF7FFB" w:rsidRPr="006C6343">
        <w:rPr>
          <w:rFonts w:cs="Times New Roman"/>
          <w:szCs w:val="24"/>
        </w:rPr>
        <w:t>Fondo lėšas sudaro:</w:t>
      </w:r>
    </w:p>
    <w:p w14:paraId="19F4FAFB" w14:textId="77777777" w:rsidR="00FF7FFB" w:rsidRPr="002D087E" w:rsidRDefault="00FF7FFB" w:rsidP="006C6343">
      <w:pPr>
        <w:spacing w:line="276" w:lineRule="auto"/>
        <w:ind w:firstLine="1296"/>
        <w:jc w:val="both"/>
        <w:rPr>
          <w:rFonts w:cs="Times New Roman"/>
          <w:szCs w:val="24"/>
        </w:rPr>
      </w:pPr>
      <w:r w:rsidRPr="002D087E">
        <w:rPr>
          <w:rFonts w:cs="Times New Roman"/>
          <w:szCs w:val="24"/>
        </w:rPr>
        <w:t>1</w:t>
      </w:r>
      <w:r w:rsidRPr="006C6343">
        <w:rPr>
          <w:rFonts w:cs="Times New Roman"/>
          <w:szCs w:val="24"/>
        </w:rPr>
        <w:t>) užsienio šalių, tarptautinių organizacijų bei finansų institucijų ir Lietuvos Respublikos juridinių bei fizinių asmenų savanoriški tiksliniai įnašai;</w:t>
      </w:r>
    </w:p>
    <w:p w14:paraId="664D2B59" w14:textId="77777777" w:rsidR="00FF7FFB" w:rsidRPr="002D087E" w:rsidRDefault="00FF7FFB" w:rsidP="006C6343">
      <w:pPr>
        <w:spacing w:line="276" w:lineRule="auto"/>
        <w:ind w:firstLine="1296"/>
        <w:jc w:val="both"/>
        <w:rPr>
          <w:rFonts w:cs="Times New Roman"/>
          <w:szCs w:val="24"/>
        </w:rPr>
      </w:pPr>
      <w:r w:rsidRPr="002D087E">
        <w:rPr>
          <w:rFonts w:cs="Times New Roman"/>
          <w:szCs w:val="24"/>
        </w:rPr>
        <w:t>2</w:t>
      </w:r>
      <w:r w:rsidRPr="006C6343">
        <w:rPr>
          <w:rFonts w:cs="Times New Roman"/>
          <w:szCs w:val="24"/>
        </w:rPr>
        <w:t>) lėšos, gautos už Ignalinos</w:t>
      </w:r>
      <w:r w:rsidR="00D22683">
        <w:rPr>
          <w:rFonts w:cs="Times New Roman"/>
          <w:szCs w:val="24"/>
        </w:rPr>
        <w:t xml:space="preserve"> atominės elektrinės </w:t>
      </w:r>
      <w:r w:rsidR="00D22683" w:rsidRPr="004926C1">
        <w:rPr>
          <w:rFonts w:cs="Times New Roman"/>
          <w:szCs w:val="24"/>
        </w:rPr>
        <w:t>(toliau – Ignalinos</w:t>
      </w:r>
      <w:r w:rsidRPr="004926C1">
        <w:rPr>
          <w:rFonts w:cs="Times New Roman"/>
          <w:szCs w:val="24"/>
        </w:rPr>
        <w:t xml:space="preserve"> AE</w:t>
      </w:r>
      <w:r w:rsidR="00D22683" w:rsidRPr="00BB31AE">
        <w:rPr>
          <w:rFonts w:cs="Times New Roman"/>
          <w:szCs w:val="24"/>
        </w:rPr>
        <w:t>)</w:t>
      </w:r>
      <w:r w:rsidRPr="006C6343">
        <w:rPr>
          <w:rFonts w:cs="Times New Roman"/>
          <w:szCs w:val="24"/>
        </w:rPr>
        <w:t xml:space="preserve"> parduotą turtą;</w:t>
      </w:r>
    </w:p>
    <w:p w14:paraId="3984F011" w14:textId="77777777" w:rsidR="00FF7FFB" w:rsidRPr="002D087E" w:rsidRDefault="00FF7FFB" w:rsidP="006C6343">
      <w:pPr>
        <w:spacing w:line="276" w:lineRule="auto"/>
        <w:ind w:firstLine="1296"/>
        <w:jc w:val="both"/>
        <w:rPr>
          <w:rFonts w:cs="Times New Roman"/>
          <w:szCs w:val="24"/>
        </w:rPr>
      </w:pPr>
      <w:r w:rsidRPr="002D087E">
        <w:rPr>
          <w:rFonts w:cs="Times New Roman"/>
          <w:szCs w:val="24"/>
        </w:rPr>
        <w:t>3</w:t>
      </w:r>
      <w:r w:rsidRPr="006C6343">
        <w:rPr>
          <w:rFonts w:cs="Times New Roman"/>
          <w:szCs w:val="24"/>
        </w:rPr>
        <w:t>) lėšos, gautos už laikinai investuotas Fondo lėšas;</w:t>
      </w:r>
    </w:p>
    <w:p w14:paraId="3BFA83E2" w14:textId="77777777" w:rsidR="00FF7FFB" w:rsidRPr="006C6343" w:rsidRDefault="00FF7FFB" w:rsidP="006C6343">
      <w:pPr>
        <w:spacing w:line="276" w:lineRule="auto"/>
        <w:ind w:firstLine="1296"/>
        <w:jc w:val="both"/>
        <w:rPr>
          <w:rFonts w:cs="Times New Roman"/>
          <w:szCs w:val="24"/>
        </w:rPr>
      </w:pPr>
      <w:r w:rsidRPr="002D087E">
        <w:rPr>
          <w:rFonts w:cs="Times New Roman"/>
          <w:szCs w:val="24"/>
        </w:rPr>
        <w:t>4</w:t>
      </w:r>
      <w:r w:rsidRPr="006C6343">
        <w:rPr>
          <w:rFonts w:cs="Times New Roman"/>
          <w:szCs w:val="24"/>
        </w:rPr>
        <w:t>) kitos teisėtai įgytos lėšos.</w:t>
      </w:r>
    </w:p>
    <w:p w14:paraId="14A2486D" w14:textId="77777777" w:rsidR="00183604" w:rsidRDefault="00FF7FFB" w:rsidP="006C6343">
      <w:pPr>
        <w:spacing w:line="276" w:lineRule="auto"/>
        <w:ind w:firstLine="1296"/>
        <w:jc w:val="both"/>
        <w:rPr>
          <w:rFonts w:cs="Times New Roman"/>
          <w:szCs w:val="24"/>
        </w:rPr>
      </w:pPr>
      <w:r w:rsidRPr="006C6343">
        <w:rPr>
          <w:rFonts w:cs="Times New Roman"/>
          <w:szCs w:val="24"/>
        </w:rPr>
        <w:t xml:space="preserve">Fondo lėšų skyrimo, administravimo, laikymo ir naudojimo tvarką nustato </w:t>
      </w:r>
      <w:r w:rsidR="00D61ADF">
        <w:rPr>
          <w:rFonts w:cs="Times New Roman"/>
          <w:szCs w:val="24"/>
        </w:rPr>
        <w:t xml:space="preserve">Lietuvos Respublikos </w:t>
      </w:r>
      <w:r w:rsidRPr="006C6343">
        <w:rPr>
          <w:rFonts w:cs="Times New Roman"/>
          <w:szCs w:val="24"/>
        </w:rPr>
        <w:t>Vyriausybės patvirtinti Fondo nuostatai.</w:t>
      </w:r>
      <w:r>
        <w:rPr>
          <w:rFonts w:cs="Times New Roman"/>
          <w:szCs w:val="24"/>
        </w:rPr>
        <w:t xml:space="preserve"> </w:t>
      </w:r>
      <w:r w:rsidR="00512F1A" w:rsidRPr="002D087E">
        <w:rPr>
          <w:rFonts w:cs="Times New Roman"/>
          <w:szCs w:val="24"/>
        </w:rPr>
        <w:t>IA</w:t>
      </w:r>
      <w:r w:rsidR="004373EE" w:rsidRPr="002D087E">
        <w:rPr>
          <w:rFonts w:cs="Times New Roman"/>
          <w:szCs w:val="24"/>
        </w:rPr>
        <w:t>ENF nuostatai patvirtinti Lietuvos Respublikos Vyriausybės 2002 m. baland</w:t>
      </w:r>
      <w:r w:rsidR="004373EE" w:rsidRPr="007A07B8">
        <w:rPr>
          <w:rFonts w:cs="Times New Roman"/>
          <w:szCs w:val="24"/>
        </w:rPr>
        <w:t>žio 17 d. nutarimu Nr.</w:t>
      </w:r>
      <w:r w:rsidR="004373EE" w:rsidRPr="009B487B">
        <w:rPr>
          <w:rFonts w:cs="Times New Roman"/>
          <w:szCs w:val="24"/>
        </w:rPr>
        <w:t xml:space="preserve"> 536 „Dėl Valstybės įmonės Ignalinos atominės elektrinės eksploatavimo nutraukimo fondo nuostatų patvirtinimo“.</w:t>
      </w:r>
    </w:p>
    <w:p w14:paraId="30C1307A" w14:textId="77777777" w:rsidR="001443AF" w:rsidRPr="002D087E" w:rsidRDefault="001443AF" w:rsidP="006C6343">
      <w:pPr>
        <w:tabs>
          <w:tab w:val="num" w:pos="1260"/>
        </w:tabs>
        <w:spacing w:line="276" w:lineRule="auto"/>
        <w:jc w:val="both"/>
        <w:rPr>
          <w:rFonts w:cs="Times New Roman"/>
          <w:szCs w:val="24"/>
        </w:rPr>
      </w:pPr>
      <w:r w:rsidRPr="002D087E">
        <w:rPr>
          <w:rFonts w:cs="Times New Roman"/>
          <w:szCs w:val="24"/>
        </w:rPr>
        <w:tab/>
      </w:r>
      <w:r w:rsidRPr="006C6343">
        <w:rPr>
          <w:rFonts w:cs="Times New Roman"/>
          <w:szCs w:val="24"/>
        </w:rPr>
        <w:t>Fondo tikslas – kaupti ir naudoti lėšas šiems poreikiams finansuoti:</w:t>
      </w:r>
    </w:p>
    <w:p w14:paraId="7E6D789B" w14:textId="77777777" w:rsidR="001443AF" w:rsidRPr="002D087E" w:rsidRDefault="001443AF" w:rsidP="006C6343">
      <w:pPr>
        <w:spacing w:line="276" w:lineRule="auto"/>
        <w:ind w:firstLine="1296"/>
        <w:jc w:val="both"/>
        <w:rPr>
          <w:rFonts w:cs="Times New Roman"/>
          <w:szCs w:val="24"/>
        </w:rPr>
      </w:pPr>
      <w:r w:rsidRPr="006C6343">
        <w:rPr>
          <w:rFonts w:cs="Times New Roman"/>
          <w:szCs w:val="24"/>
        </w:rPr>
        <w:t>1) Ignalinos AE eksploatavimo nutraukimo techniniams projektams;</w:t>
      </w:r>
    </w:p>
    <w:p w14:paraId="48B8CCAB" w14:textId="77777777" w:rsidR="001443AF" w:rsidRPr="002D087E" w:rsidRDefault="001443AF" w:rsidP="006C6343">
      <w:pPr>
        <w:spacing w:line="276" w:lineRule="auto"/>
        <w:ind w:firstLine="1296"/>
        <w:jc w:val="both"/>
        <w:rPr>
          <w:rFonts w:cs="Times New Roman"/>
          <w:szCs w:val="24"/>
        </w:rPr>
      </w:pPr>
      <w:r w:rsidRPr="006C6343">
        <w:rPr>
          <w:rFonts w:cs="Times New Roman"/>
          <w:szCs w:val="24"/>
        </w:rPr>
        <w:t>2) Ignalinos AE sustabdytų blokų priežiūrai ir fizinei saugai užtikrinti;</w:t>
      </w:r>
    </w:p>
    <w:p w14:paraId="7490876C" w14:textId="77777777" w:rsidR="001443AF" w:rsidRPr="002D087E" w:rsidRDefault="001443AF" w:rsidP="006C6343">
      <w:pPr>
        <w:spacing w:line="276" w:lineRule="auto"/>
        <w:ind w:firstLine="1296"/>
        <w:jc w:val="both"/>
        <w:rPr>
          <w:rFonts w:cs="Times New Roman"/>
          <w:szCs w:val="24"/>
        </w:rPr>
      </w:pPr>
      <w:r w:rsidRPr="006C6343">
        <w:rPr>
          <w:rFonts w:cs="Times New Roman"/>
          <w:szCs w:val="24"/>
        </w:rPr>
        <w:t xml:space="preserve">3) neigiamiems socialiniams ir ekonominiams Ignalinos AE eksploatavimo nutraukimo padariniams Lietuvos Respublikos Ignalinos atominės elektrinės regione sušvelninti – Lietuvos Respublikos valstybės įmonės Ignalinos atominės elektrinės darbuotojų papildomų užimtumo ir socialinių garantijų įstatymo nuostatoms įgyvendinti, teisės aktų nustatyta tvarka Ignalinos AE regiono gyventojams daliai elektros energijos kainos kompensuoti ir kitoms </w:t>
      </w:r>
      <w:r w:rsidR="00D61ADF">
        <w:rPr>
          <w:rFonts w:cs="Times New Roman"/>
          <w:szCs w:val="24"/>
        </w:rPr>
        <w:t xml:space="preserve">Lietuvos Respublikos </w:t>
      </w:r>
      <w:r w:rsidRPr="006C6343">
        <w:rPr>
          <w:rFonts w:cs="Times New Roman"/>
          <w:szCs w:val="24"/>
        </w:rPr>
        <w:t>Vyriausybės patvirtintoms priemonėms;</w:t>
      </w:r>
    </w:p>
    <w:p w14:paraId="67A82920" w14:textId="77777777" w:rsidR="001443AF" w:rsidRPr="002D087E" w:rsidRDefault="001443AF" w:rsidP="006C6343">
      <w:pPr>
        <w:spacing w:line="276" w:lineRule="auto"/>
        <w:ind w:firstLine="1296"/>
        <w:jc w:val="both"/>
        <w:rPr>
          <w:rFonts w:cs="Times New Roman"/>
          <w:szCs w:val="24"/>
        </w:rPr>
      </w:pPr>
      <w:r w:rsidRPr="006C6343">
        <w:rPr>
          <w:rFonts w:cs="Times New Roman"/>
          <w:szCs w:val="24"/>
        </w:rPr>
        <w:t>4) Ignalinos AE radioaktyviosioms atliekoms, įskaitant panaudotą branduolinį kurą, tvarkyti, saugoti, laidoti ir jų kapinynų institucinei priežiūrai vykdyti;</w:t>
      </w:r>
    </w:p>
    <w:p w14:paraId="393EAA3C" w14:textId="77777777" w:rsidR="001443AF" w:rsidRPr="002D087E" w:rsidRDefault="001443AF" w:rsidP="006C6343">
      <w:pPr>
        <w:spacing w:line="276" w:lineRule="auto"/>
        <w:ind w:firstLine="1296"/>
        <w:jc w:val="both"/>
        <w:rPr>
          <w:rFonts w:cs="Times New Roman"/>
          <w:szCs w:val="24"/>
        </w:rPr>
      </w:pPr>
      <w:r w:rsidRPr="006C6343">
        <w:rPr>
          <w:rFonts w:cs="Times New Roman"/>
          <w:szCs w:val="24"/>
        </w:rPr>
        <w:t>5) branduolinei žalai atlyginti;</w:t>
      </w:r>
    </w:p>
    <w:p w14:paraId="34159212" w14:textId="77777777" w:rsidR="001443AF" w:rsidRPr="002D087E" w:rsidRDefault="001443AF" w:rsidP="006C6343">
      <w:pPr>
        <w:spacing w:line="276" w:lineRule="auto"/>
        <w:ind w:firstLine="1296"/>
        <w:jc w:val="both"/>
        <w:rPr>
          <w:rFonts w:cs="Times New Roman"/>
          <w:szCs w:val="24"/>
        </w:rPr>
      </w:pPr>
      <w:r w:rsidRPr="006C6343">
        <w:rPr>
          <w:rFonts w:cs="Times New Roman"/>
          <w:szCs w:val="24"/>
        </w:rPr>
        <w:t>6) Fondo administravimo išlaidoms padengti</w:t>
      </w:r>
    </w:p>
    <w:p w14:paraId="3A9180F3" w14:textId="77777777" w:rsidR="001443AF" w:rsidRPr="006C6343" w:rsidRDefault="00960883" w:rsidP="007A07B8">
      <w:pPr>
        <w:tabs>
          <w:tab w:val="num" w:pos="1260"/>
        </w:tabs>
        <w:spacing w:line="276" w:lineRule="auto"/>
        <w:jc w:val="both"/>
        <w:rPr>
          <w:rFonts w:cs="Times New Roman"/>
          <w:szCs w:val="24"/>
        </w:rPr>
      </w:pPr>
      <w:r>
        <w:rPr>
          <w:rFonts w:cs="Times New Roman"/>
          <w:szCs w:val="24"/>
        </w:rPr>
        <w:tab/>
      </w:r>
      <w:r w:rsidRPr="006C6343">
        <w:rPr>
          <w:rFonts w:cs="Times New Roman"/>
          <w:szCs w:val="24"/>
        </w:rPr>
        <w:t>Fondo lėšos Ignalinos atominės elektrinės eksploatavimo nutraukimo tarpinstituciniame veiklos plane</w:t>
      </w:r>
      <w:r w:rsidR="00BB31AE">
        <w:rPr>
          <w:rFonts w:cs="Times New Roman"/>
          <w:szCs w:val="24"/>
        </w:rPr>
        <w:t xml:space="preserve">, </w:t>
      </w:r>
      <w:r w:rsidR="00BB31AE">
        <w:t xml:space="preserve">patvirtintame Lietuvos Respublikos Vyriausybės </w:t>
      </w:r>
      <w:r w:rsidR="00BB31AE" w:rsidRPr="0057211A">
        <w:rPr>
          <w:szCs w:val="24"/>
        </w:rPr>
        <w:t>2015 m. vasario 9 d. nutarimu Nr. 137</w:t>
      </w:r>
      <w:r w:rsidR="00D61ADF">
        <w:rPr>
          <w:szCs w:val="24"/>
        </w:rPr>
        <w:t xml:space="preserve"> „</w:t>
      </w:r>
      <w:r w:rsidR="00D61ADF" w:rsidRPr="00D61ADF">
        <w:rPr>
          <w:szCs w:val="24"/>
        </w:rPr>
        <w:t>Dėl Ignalinos atominės elektrinės eksploatavimo nutraukimo tarpinstitucinio veiklos plano patvirtinimo“</w:t>
      </w:r>
      <w:r w:rsidR="004038F5">
        <w:rPr>
          <w:szCs w:val="24"/>
        </w:rPr>
        <w:t xml:space="preserve"> (toliau – Ignalinos</w:t>
      </w:r>
      <w:r w:rsidR="004038F5" w:rsidRPr="00D420DA">
        <w:t xml:space="preserve"> atominės elektrinės eksploata</w:t>
      </w:r>
      <w:r w:rsidR="004038F5">
        <w:t>vimo nutraukimo tarpinstitucinis</w:t>
      </w:r>
      <w:r w:rsidR="004038F5" w:rsidRPr="00D420DA">
        <w:t xml:space="preserve"> veiklos plan</w:t>
      </w:r>
      <w:r w:rsidR="004038F5">
        <w:t>as)</w:t>
      </w:r>
      <w:r w:rsidR="00BB31AE">
        <w:t>,</w:t>
      </w:r>
      <w:r w:rsidRPr="006C6343">
        <w:rPr>
          <w:rFonts w:cs="Times New Roman"/>
          <w:szCs w:val="24"/>
        </w:rPr>
        <w:t xml:space="preserve"> nustatytoms priemonėms finansuoti skiriamos vadovaujantis Lietuvos Respublikos Seimo patvirtinta atitinkamų metų Fondo lėšų sąmata.</w:t>
      </w:r>
    </w:p>
    <w:p w14:paraId="7B0CBDE5" w14:textId="77777777" w:rsidR="00960883" w:rsidRPr="006C6343" w:rsidRDefault="00960883" w:rsidP="007A07B8">
      <w:pPr>
        <w:tabs>
          <w:tab w:val="num" w:pos="1260"/>
        </w:tabs>
        <w:spacing w:line="276" w:lineRule="auto"/>
        <w:jc w:val="both"/>
        <w:rPr>
          <w:rFonts w:cs="Times New Roman"/>
          <w:szCs w:val="24"/>
        </w:rPr>
      </w:pPr>
      <w:r>
        <w:rPr>
          <w:rFonts w:cs="Times New Roman"/>
          <w:szCs w:val="24"/>
        </w:rPr>
        <w:lastRenderedPageBreak/>
        <w:tab/>
      </w:r>
      <w:r w:rsidRPr="006C6343">
        <w:rPr>
          <w:rFonts w:cs="Times New Roman"/>
          <w:szCs w:val="24"/>
        </w:rPr>
        <w:t>Lėšos, gautos už Ignalinos AE parduotą turtą, gali būti naudojamos Ignalinos atominės elektrinės eksploatavimo nutraukimo tarpinstituciniame veiklos plane nustatytoms Ignalinos AE vykdomoms priemonėms finansuoti ir Fondo administravimo išlaidoms padengti.</w:t>
      </w:r>
    </w:p>
    <w:p w14:paraId="32DDEF4E" w14:textId="77777777" w:rsidR="00960883" w:rsidRPr="002D087E" w:rsidRDefault="00960883" w:rsidP="007A07B8">
      <w:pPr>
        <w:tabs>
          <w:tab w:val="num" w:pos="1260"/>
        </w:tabs>
        <w:spacing w:line="276" w:lineRule="auto"/>
        <w:jc w:val="both"/>
        <w:rPr>
          <w:rFonts w:cs="Times New Roman"/>
          <w:szCs w:val="24"/>
        </w:rPr>
      </w:pPr>
      <w:r>
        <w:rPr>
          <w:rFonts w:cs="Times New Roman"/>
          <w:szCs w:val="24"/>
        </w:rPr>
        <w:tab/>
      </w:r>
      <w:r w:rsidRPr="006C6343">
        <w:rPr>
          <w:rFonts w:cs="Times New Roman"/>
          <w:szCs w:val="24"/>
        </w:rPr>
        <w:t>Sprendimą dėl Fondo lėšų skyrimo Ignalinos atominės elektrinės eksploatavimo nutraukimo tarpinstitucinio veiklos plano priemonėms finansuoti priima Fondo valdytojas, atsižvelgdamas į Fondo tarybos rekomendacijas.</w:t>
      </w:r>
    </w:p>
    <w:p w14:paraId="07325995" w14:textId="075A7A9B" w:rsidR="00183604" w:rsidRPr="007A07B8" w:rsidRDefault="004373EE" w:rsidP="006C6343">
      <w:pPr>
        <w:tabs>
          <w:tab w:val="num" w:pos="1260"/>
        </w:tabs>
        <w:spacing w:line="276" w:lineRule="auto"/>
        <w:jc w:val="both"/>
        <w:rPr>
          <w:rFonts w:cs="Times New Roman"/>
          <w:color w:val="000000"/>
          <w:szCs w:val="24"/>
        </w:rPr>
      </w:pPr>
      <w:r w:rsidRPr="002D087E">
        <w:rPr>
          <w:rFonts w:cs="Times New Roman"/>
          <w:color w:val="000000"/>
          <w:szCs w:val="24"/>
        </w:rPr>
        <w:tab/>
      </w:r>
      <w:r w:rsidR="00526251" w:rsidRPr="00C81E56">
        <w:rPr>
          <w:rFonts w:cs="Times New Roman"/>
          <w:color w:val="000000"/>
          <w:szCs w:val="24"/>
        </w:rPr>
        <w:t>IAE</w:t>
      </w:r>
      <w:r w:rsidRPr="00C81E56">
        <w:rPr>
          <w:rFonts w:cs="Times New Roman"/>
          <w:color w:val="000000"/>
          <w:szCs w:val="24"/>
        </w:rPr>
        <w:t xml:space="preserve">NF steigėja yra Lietuvos Respublikos Vyriausybė. Fondo valdytoja yra </w:t>
      </w:r>
      <w:r w:rsidR="00EF0115" w:rsidRPr="00C81E56">
        <w:rPr>
          <w:rFonts w:cs="Times New Roman"/>
          <w:color w:val="000000"/>
          <w:szCs w:val="24"/>
        </w:rPr>
        <w:t>Lietuvos Respublikos e</w:t>
      </w:r>
      <w:r w:rsidRPr="00C81E56">
        <w:rPr>
          <w:rFonts w:cs="Times New Roman"/>
          <w:color w:val="000000"/>
          <w:szCs w:val="24"/>
        </w:rPr>
        <w:t>nergetikos ministerija.</w:t>
      </w:r>
      <w:r w:rsidR="00B524FE" w:rsidRPr="00C81E56">
        <w:rPr>
          <w:rFonts w:cs="Times New Roman"/>
          <w:color w:val="000000"/>
          <w:szCs w:val="24"/>
        </w:rPr>
        <w:t xml:space="preserve"> </w:t>
      </w:r>
      <w:r w:rsidR="0003293B" w:rsidRPr="002F700C">
        <w:rPr>
          <w:color w:val="000000"/>
        </w:rPr>
        <w:t xml:space="preserve">Vadovaujantis Lietuvos Respublikos Vyriausybės </w:t>
      </w:r>
      <w:r w:rsidR="0003293B">
        <w:t>2018 m. gegužės 23 d. nutarimu Nr. 488 „Dėl centralizuoto viešojo sektoriaus subjektų buhalterinės apskaitos organizavimo tvarkos aprašo patvirtinimo“</w:t>
      </w:r>
      <w:r w:rsidR="0003293B" w:rsidRPr="002F700C">
        <w:rPr>
          <w:color w:val="000000"/>
        </w:rPr>
        <w:t xml:space="preserve"> ir </w:t>
      </w:r>
      <w:r w:rsidR="0003293B">
        <w:rPr>
          <w:rFonts w:cs="Times New Roman"/>
          <w:szCs w:val="24"/>
          <w:lang w:val="en-US"/>
        </w:rPr>
        <w:t xml:space="preserve">2018 m. </w:t>
      </w:r>
      <w:proofErr w:type="spellStart"/>
      <w:r w:rsidR="0003293B">
        <w:rPr>
          <w:rFonts w:cs="Times New Roman"/>
          <w:szCs w:val="24"/>
          <w:lang w:val="en-US"/>
        </w:rPr>
        <w:t>birželio</w:t>
      </w:r>
      <w:proofErr w:type="spellEnd"/>
      <w:r w:rsidR="0003293B">
        <w:rPr>
          <w:rFonts w:cs="Times New Roman"/>
          <w:szCs w:val="24"/>
          <w:lang w:val="en-US"/>
        </w:rPr>
        <w:t xml:space="preserve"> 25 d. </w:t>
      </w:r>
      <w:r w:rsidR="0003293B" w:rsidRPr="00A338B1">
        <w:rPr>
          <w:color w:val="000000"/>
        </w:rPr>
        <w:t>Lietuvos Respublikos energetikos ministerij</w:t>
      </w:r>
      <w:r w:rsidR="0003293B">
        <w:rPr>
          <w:color w:val="000000"/>
        </w:rPr>
        <w:t xml:space="preserve">os ir </w:t>
      </w:r>
      <w:r w:rsidR="0003293B" w:rsidRPr="002F700C">
        <w:rPr>
          <w:color w:val="000000"/>
        </w:rPr>
        <w:t>Nacionalini</w:t>
      </w:r>
      <w:r w:rsidR="0003293B">
        <w:rPr>
          <w:color w:val="000000"/>
        </w:rPr>
        <w:t>o</w:t>
      </w:r>
      <w:r w:rsidR="0003293B" w:rsidRPr="002F700C">
        <w:rPr>
          <w:color w:val="000000"/>
        </w:rPr>
        <w:t xml:space="preserve"> bendrųjų funkcijų centr</w:t>
      </w:r>
      <w:r w:rsidR="0003293B">
        <w:rPr>
          <w:color w:val="000000"/>
        </w:rPr>
        <w:t>o</w:t>
      </w:r>
      <w:r w:rsidR="0003293B" w:rsidRPr="002F700C">
        <w:rPr>
          <w:color w:val="000000"/>
        </w:rPr>
        <w:t xml:space="preserve"> (toliau – NBFC)</w:t>
      </w:r>
      <w:r w:rsidR="0003293B">
        <w:rPr>
          <w:color w:val="000000"/>
        </w:rPr>
        <w:t xml:space="preserve"> pasirašyta </w:t>
      </w:r>
      <w:r w:rsidR="0003293B" w:rsidRPr="002F700C">
        <w:rPr>
          <w:color w:val="000000"/>
        </w:rPr>
        <w:t>buhalterinės apskaitos organizavimo sutartimi</w:t>
      </w:r>
      <w:r w:rsidR="0003293B">
        <w:rPr>
          <w:color w:val="000000"/>
        </w:rPr>
        <w:t xml:space="preserve"> </w:t>
      </w:r>
      <w:r w:rsidR="0003293B">
        <w:rPr>
          <w:rFonts w:cs="Times New Roman"/>
          <w:szCs w:val="24"/>
          <w:lang w:val="en-US"/>
        </w:rPr>
        <w:t>Nr. CFAS-62/8-55</w:t>
      </w:r>
      <w:r w:rsidR="0003293B" w:rsidRPr="002F700C">
        <w:rPr>
          <w:color w:val="000000"/>
        </w:rPr>
        <w:t xml:space="preserve">, nuo 2018 m. liepos 3 d. </w:t>
      </w:r>
      <w:r w:rsidR="0003293B">
        <w:rPr>
          <w:color w:val="000000"/>
        </w:rPr>
        <w:t>IAENF</w:t>
      </w:r>
      <w:r w:rsidR="0003293B" w:rsidRPr="002F700C">
        <w:rPr>
          <w:color w:val="000000"/>
        </w:rPr>
        <w:t xml:space="preserve"> buhalterinės apskaitos tvarkymo funkcijas centralizuotai atlieka šiam tikslui įsteigtas NBFC</w:t>
      </w:r>
      <w:r w:rsidR="00C81E56" w:rsidRPr="00C81E56">
        <w:rPr>
          <w:rFonts w:cs="Times New Roman"/>
          <w:color w:val="000000"/>
          <w:szCs w:val="24"/>
        </w:rPr>
        <w:t>.</w:t>
      </w:r>
      <w:r w:rsidR="00C81E56">
        <w:rPr>
          <w:rFonts w:cs="Times New Roman"/>
          <w:color w:val="000000"/>
          <w:szCs w:val="24"/>
        </w:rPr>
        <w:t xml:space="preserve"> </w:t>
      </w:r>
      <w:r w:rsidR="00FC1AF6">
        <w:rPr>
          <w:rFonts w:cs="Times New Roman"/>
          <w:color w:val="000000"/>
          <w:szCs w:val="24"/>
        </w:rPr>
        <w:t xml:space="preserve">Nuo 2019 m. sausio 1 d. </w:t>
      </w:r>
      <w:r w:rsidR="00FF7FFB" w:rsidRPr="002D087E">
        <w:rPr>
          <w:rFonts w:cs="Times New Roman"/>
          <w:color w:val="000000"/>
          <w:szCs w:val="24"/>
        </w:rPr>
        <w:t>Fond</w:t>
      </w:r>
      <w:r w:rsidR="00E5764B">
        <w:rPr>
          <w:rFonts w:cs="Times New Roman"/>
          <w:color w:val="000000"/>
          <w:szCs w:val="24"/>
        </w:rPr>
        <w:t>ą</w:t>
      </w:r>
      <w:r w:rsidR="00FF7FFB" w:rsidRPr="002D087E">
        <w:rPr>
          <w:rFonts w:cs="Times New Roman"/>
          <w:color w:val="000000"/>
          <w:szCs w:val="24"/>
        </w:rPr>
        <w:t xml:space="preserve"> administr</w:t>
      </w:r>
      <w:r w:rsidR="00E5764B">
        <w:rPr>
          <w:rFonts w:cs="Times New Roman"/>
          <w:color w:val="000000"/>
          <w:szCs w:val="24"/>
        </w:rPr>
        <w:t>uo</w:t>
      </w:r>
      <w:r w:rsidR="0095507B">
        <w:rPr>
          <w:rFonts w:cs="Times New Roman"/>
          <w:color w:val="000000"/>
          <w:szCs w:val="24"/>
        </w:rPr>
        <w:t>ja</w:t>
      </w:r>
      <w:r w:rsidR="00FF7FFB" w:rsidRPr="002D087E">
        <w:rPr>
          <w:rFonts w:cs="Times New Roman"/>
          <w:color w:val="000000"/>
          <w:szCs w:val="24"/>
        </w:rPr>
        <w:t xml:space="preserve"> </w:t>
      </w:r>
      <w:r w:rsidR="007705B5">
        <w:rPr>
          <w:rFonts w:cs="Times New Roman"/>
          <w:color w:val="000000"/>
          <w:szCs w:val="24"/>
        </w:rPr>
        <w:t>–</w:t>
      </w:r>
      <w:r w:rsidR="00FF7FFB" w:rsidRPr="002D087E">
        <w:rPr>
          <w:rFonts w:cs="Times New Roman"/>
          <w:color w:val="000000"/>
          <w:szCs w:val="24"/>
        </w:rPr>
        <w:t xml:space="preserve"> </w:t>
      </w:r>
      <w:r w:rsidR="00E5764B">
        <w:rPr>
          <w:rFonts w:cs="Times New Roman"/>
          <w:szCs w:val="24"/>
        </w:rPr>
        <w:t>VšĮ „Lietuvos e</w:t>
      </w:r>
      <w:r w:rsidR="00FF7FFB" w:rsidRPr="007A07B8">
        <w:rPr>
          <w:rFonts w:cs="Times New Roman"/>
          <w:szCs w:val="24"/>
        </w:rPr>
        <w:t>nergetikos agentūra</w:t>
      </w:r>
      <w:r w:rsidR="00E5764B">
        <w:rPr>
          <w:rFonts w:cs="Times New Roman"/>
          <w:szCs w:val="24"/>
        </w:rPr>
        <w:t>“</w:t>
      </w:r>
      <w:r w:rsidR="00D61ADF">
        <w:rPr>
          <w:rFonts w:cs="Times New Roman"/>
          <w:szCs w:val="24"/>
        </w:rPr>
        <w:t>.</w:t>
      </w:r>
    </w:p>
    <w:p w14:paraId="63891374" w14:textId="699840C5" w:rsidR="004373EE" w:rsidRPr="006C6343" w:rsidRDefault="00B524FE" w:rsidP="006C6343">
      <w:pPr>
        <w:tabs>
          <w:tab w:val="num" w:pos="1260"/>
        </w:tabs>
        <w:spacing w:line="276" w:lineRule="auto"/>
        <w:jc w:val="both"/>
        <w:rPr>
          <w:rFonts w:cs="Times New Roman"/>
          <w:szCs w:val="24"/>
        </w:rPr>
      </w:pPr>
      <w:r w:rsidRPr="006C6343">
        <w:rPr>
          <w:rFonts w:cs="Times New Roman"/>
          <w:color w:val="000000"/>
          <w:szCs w:val="24"/>
        </w:rPr>
        <w:tab/>
      </w:r>
      <w:r w:rsidR="00183604" w:rsidRPr="006C6343">
        <w:rPr>
          <w:rFonts w:cs="Times New Roman"/>
          <w:color w:val="000000"/>
          <w:szCs w:val="24"/>
        </w:rPr>
        <w:tab/>
      </w:r>
      <w:r w:rsidR="004373EE" w:rsidRPr="006C6343">
        <w:rPr>
          <w:rFonts w:cs="Times New Roman"/>
          <w:color w:val="000000"/>
          <w:szCs w:val="24"/>
        </w:rPr>
        <w:t xml:space="preserve">Fondo valdytojo patariamasis organas yra Fondo taryba. Fondo tarybos, kurios pirmininkas yra </w:t>
      </w:r>
      <w:r w:rsidR="00A8785A">
        <w:rPr>
          <w:rFonts w:cs="Times New Roman"/>
          <w:color w:val="000000"/>
          <w:szCs w:val="24"/>
        </w:rPr>
        <w:t>Lietuvos Respublikos e</w:t>
      </w:r>
      <w:r w:rsidR="004373EE" w:rsidRPr="006C6343">
        <w:rPr>
          <w:rFonts w:cs="Times New Roman"/>
          <w:color w:val="000000"/>
          <w:szCs w:val="24"/>
        </w:rPr>
        <w:t>nergetikos ministerijos atstovas, asmeninę sudėtį tvirtina Fondo valdytojas</w:t>
      </w:r>
      <w:r w:rsidR="00183604" w:rsidRPr="006C6343">
        <w:rPr>
          <w:rFonts w:cs="Times New Roman"/>
          <w:color w:val="000000"/>
          <w:szCs w:val="24"/>
        </w:rPr>
        <w:t>.</w:t>
      </w:r>
      <w:r w:rsidR="00960883" w:rsidRPr="006C6343">
        <w:rPr>
          <w:rFonts w:cs="Times New Roman"/>
          <w:color w:val="000000"/>
          <w:szCs w:val="24"/>
        </w:rPr>
        <w:t xml:space="preserve"> </w:t>
      </w:r>
      <w:r w:rsidR="00960883" w:rsidRPr="006C6343">
        <w:rPr>
          <w:rFonts w:cs="Times New Roman"/>
          <w:szCs w:val="24"/>
        </w:rPr>
        <w:t>Fondo taryba rengia ir teikia Fondo valdytojui rekomendacijas dėl Fondo lėšų skyrimo Ignalinos atominės elektrinės eksploatavimo nutraukimo tarpinstitucinio veiklos plano priemonėms finansuoti.</w:t>
      </w:r>
    </w:p>
    <w:p w14:paraId="1CBC2BC0" w14:textId="77777777" w:rsidR="00960883" w:rsidRPr="002D087E" w:rsidRDefault="00960883" w:rsidP="006C6343">
      <w:pPr>
        <w:tabs>
          <w:tab w:val="num" w:pos="1260"/>
        </w:tabs>
        <w:spacing w:line="276" w:lineRule="auto"/>
        <w:jc w:val="both"/>
        <w:rPr>
          <w:rFonts w:cs="Times New Roman"/>
          <w:color w:val="000000"/>
          <w:szCs w:val="24"/>
        </w:rPr>
      </w:pPr>
      <w:r w:rsidRPr="006C6343">
        <w:rPr>
          <w:rFonts w:cs="Times New Roman"/>
          <w:szCs w:val="24"/>
        </w:rPr>
        <w:tab/>
        <w:t>Fondas neturi kontroliuojamų ir (arba) asocijuotųjų subjektų.</w:t>
      </w:r>
    </w:p>
    <w:p w14:paraId="79E719B9" w14:textId="77777777" w:rsidR="006F09AF" w:rsidRPr="007A07B8" w:rsidRDefault="002F5A52" w:rsidP="006C6343">
      <w:pPr>
        <w:spacing w:line="276" w:lineRule="auto"/>
        <w:jc w:val="both"/>
        <w:rPr>
          <w:rFonts w:cs="Times New Roman"/>
          <w:szCs w:val="24"/>
        </w:rPr>
      </w:pPr>
      <w:r w:rsidRPr="007A07B8">
        <w:rPr>
          <w:rFonts w:cs="Times New Roman"/>
          <w:szCs w:val="24"/>
        </w:rPr>
        <w:tab/>
      </w:r>
      <w:r w:rsidR="00512F1A" w:rsidRPr="006C6343">
        <w:rPr>
          <w:rFonts w:cs="Times New Roman"/>
          <w:szCs w:val="24"/>
        </w:rPr>
        <w:t>IA</w:t>
      </w:r>
      <w:r w:rsidRPr="006C6343">
        <w:rPr>
          <w:rFonts w:cs="Times New Roman"/>
          <w:szCs w:val="24"/>
        </w:rPr>
        <w:t xml:space="preserve">ENF lėšos kaupiamos atskiroje Lietuvos Respublikos valstybės iždo sąskaitoje, </w:t>
      </w:r>
      <w:r w:rsidR="00512F1A" w:rsidRPr="006C6343">
        <w:rPr>
          <w:rFonts w:cs="Times New Roman"/>
          <w:szCs w:val="24"/>
        </w:rPr>
        <w:t xml:space="preserve">atidarytoje </w:t>
      </w:r>
      <w:r w:rsidR="00A8785A">
        <w:rPr>
          <w:rFonts w:cs="Times New Roman"/>
          <w:color w:val="000000"/>
          <w:szCs w:val="24"/>
        </w:rPr>
        <w:t>Lietuvos Respublikos f</w:t>
      </w:r>
      <w:r w:rsidR="00512F1A" w:rsidRPr="006C6343">
        <w:rPr>
          <w:rFonts w:cs="Times New Roman"/>
          <w:szCs w:val="24"/>
        </w:rPr>
        <w:t>inansų ministerijos</w:t>
      </w:r>
      <w:r w:rsidRPr="006C6343">
        <w:rPr>
          <w:rFonts w:cs="Times New Roman"/>
          <w:szCs w:val="24"/>
        </w:rPr>
        <w:t xml:space="preserve"> Lietuvos </w:t>
      </w:r>
      <w:r w:rsidRPr="007A07B8">
        <w:rPr>
          <w:rFonts w:cs="Times New Roman"/>
          <w:szCs w:val="24"/>
        </w:rPr>
        <w:t>banke.</w:t>
      </w:r>
    </w:p>
    <w:p w14:paraId="31D2B828" w14:textId="77777777" w:rsidR="001443AF" w:rsidRPr="002D087E" w:rsidRDefault="001443AF" w:rsidP="006C6343">
      <w:pPr>
        <w:spacing w:line="276" w:lineRule="auto"/>
        <w:ind w:firstLine="1296"/>
        <w:jc w:val="both"/>
        <w:rPr>
          <w:rFonts w:cs="Times New Roman"/>
          <w:szCs w:val="24"/>
        </w:rPr>
      </w:pPr>
      <w:r w:rsidRPr="006C6343">
        <w:rPr>
          <w:rFonts w:cs="Times New Roman"/>
          <w:szCs w:val="24"/>
        </w:rPr>
        <w:t>Fondas likviduojamas Fondo steigėjo sprendimu užbaigus Ignalinos AE eksploatavimo nutraukimo darbus, palaidojus radioaktyviąsias atliekas ir užtikrinus uždarytų kapinynų institucinės priežiūros finansavimą</w:t>
      </w:r>
      <w:r w:rsidR="002D087E" w:rsidRPr="002D087E">
        <w:rPr>
          <w:rFonts w:cs="Times New Roman"/>
          <w:szCs w:val="24"/>
        </w:rPr>
        <w:t>.</w:t>
      </w:r>
    </w:p>
    <w:p w14:paraId="7BEFAA5F" w14:textId="77777777" w:rsidR="002D087E" w:rsidRPr="006C6343" w:rsidRDefault="002D087E" w:rsidP="006C6343">
      <w:pPr>
        <w:tabs>
          <w:tab w:val="left" w:pos="709"/>
        </w:tabs>
        <w:spacing w:line="276" w:lineRule="auto"/>
        <w:jc w:val="both"/>
        <w:rPr>
          <w:rFonts w:cs="Times New Roman"/>
          <w:szCs w:val="24"/>
          <w:lang w:val="x-none"/>
        </w:rPr>
      </w:pPr>
      <w:r w:rsidRPr="006C6343">
        <w:rPr>
          <w:rFonts w:cs="Times New Roman"/>
          <w:szCs w:val="24"/>
          <w:lang w:val="x-none"/>
        </w:rPr>
        <w:tab/>
      </w:r>
      <w:r w:rsidRPr="006C6343">
        <w:rPr>
          <w:rFonts w:cs="Times New Roman"/>
          <w:szCs w:val="24"/>
          <w:lang w:val="x-none"/>
        </w:rPr>
        <w:tab/>
        <w:t xml:space="preserve">Finansinių ataskaitų duomenys pateikti </w:t>
      </w:r>
      <w:r>
        <w:rPr>
          <w:rFonts w:cs="Times New Roman"/>
          <w:szCs w:val="24"/>
        </w:rPr>
        <w:t>eurais</w:t>
      </w:r>
      <w:r w:rsidRPr="006C6343">
        <w:rPr>
          <w:rFonts w:cs="Times New Roman"/>
          <w:szCs w:val="24"/>
          <w:lang w:val="x-none"/>
        </w:rPr>
        <w:t xml:space="preserve"> ir centais.</w:t>
      </w:r>
    </w:p>
    <w:p w14:paraId="34680888" w14:textId="34E2F0E1" w:rsidR="002D087E" w:rsidRPr="006C6343" w:rsidRDefault="002D087E" w:rsidP="006C6343">
      <w:pPr>
        <w:spacing w:line="276" w:lineRule="auto"/>
        <w:ind w:firstLine="1296"/>
        <w:jc w:val="both"/>
        <w:rPr>
          <w:rFonts w:cs="Times New Roman"/>
          <w:noProof/>
          <w:color w:val="000000"/>
          <w:szCs w:val="24"/>
        </w:rPr>
      </w:pPr>
      <w:r w:rsidRPr="006C6343">
        <w:rPr>
          <w:rFonts w:eastAsia="Calibri" w:cs="Times New Roman"/>
          <w:color w:val="000000"/>
          <w:szCs w:val="24"/>
          <w:lang w:eastAsia="en-US"/>
        </w:rPr>
        <w:t xml:space="preserve">Finansinių ataskaitų rinkinys sudarytas </w:t>
      </w:r>
      <w:r w:rsidRPr="00935760">
        <w:rPr>
          <w:rFonts w:eastAsia="Calibri" w:cs="Times New Roman"/>
          <w:color w:val="000000"/>
          <w:szCs w:val="24"/>
          <w:lang w:eastAsia="en-US"/>
        </w:rPr>
        <w:t>201</w:t>
      </w:r>
      <w:r w:rsidR="0095507B">
        <w:rPr>
          <w:rFonts w:eastAsia="Calibri" w:cs="Times New Roman"/>
          <w:color w:val="000000"/>
          <w:szCs w:val="24"/>
          <w:lang w:eastAsia="en-US"/>
        </w:rPr>
        <w:t>9</w:t>
      </w:r>
      <w:r w:rsidRPr="00935760">
        <w:rPr>
          <w:rFonts w:eastAsia="Calibri" w:cs="Times New Roman"/>
          <w:color w:val="000000"/>
          <w:szCs w:val="24"/>
          <w:lang w:eastAsia="en-US"/>
        </w:rPr>
        <w:t xml:space="preserve"> m. </w:t>
      </w:r>
      <w:r w:rsidR="00451956">
        <w:rPr>
          <w:rFonts w:eastAsia="Calibri" w:cs="Times New Roman"/>
          <w:color w:val="000000"/>
          <w:szCs w:val="24"/>
          <w:lang w:eastAsia="en-US"/>
        </w:rPr>
        <w:t>gruodžio 31</w:t>
      </w:r>
      <w:r w:rsidRPr="006C6343">
        <w:rPr>
          <w:rFonts w:eastAsia="Calibri" w:cs="Times New Roman"/>
          <w:color w:val="000000"/>
          <w:szCs w:val="24"/>
          <w:lang w:eastAsia="en-US"/>
        </w:rPr>
        <w:t xml:space="preserve"> d. duomenimis</w:t>
      </w:r>
      <w:r w:rsidR="000C423D" w:rsidRPr="006C6343">
        <w:rPr>
          <w:rFonts w:eastAsia="Calibri" w:cs="Times New Roman"/>
          <w:color w:val="000000"/>
          <w:szCs w:val="24"/>
          <w:lang w:eastAsia="en-US"/>
        </w:rPr>
        <w:t>.</w:t>
      </w:r>
    </w:p>
    <w:p w14:paraId="161C135D" w14:textId="77777777" w:rsidR="002F7219" w:rsidRPr="002F7219" w:rsidRDefault="002F7219" w:rsidP="002F7219">
      <w:bookmarkStart w:id="2" w:name="_Toc200345191"/>
      <w:bookmarkStart w:id="3" w:name="_Toc233421899"/>
    </w:p>
    <w:p w14:paraId="4E1F94FA" w14:textId="77777777" w:rsidR="006F09AF" w:rsidRPr="009B487B" w:rsidRDefault="006F09AF" w:rsidP="00335EC8">
      <w:pPr>
        <w:pStyle w:val="Heading1"/>
        <w:spacing w:before="0" w:after="120" w:line="276" w:lineRule="auto"/>
        <w:jc w:val="center"/>
        <w:rPr>
          <w:rFonts w:ascii="Times New Roman" w:hAnsi="Times New Roman" w:cs="Times New Roman"/>
          <w:sz w:val="24"/>
          <w:szCs w:val="24"/>
        </w:rPr>
      </w:pPr>
      <w:bookmarkStart w:id="4" w:name="_Toc184434864"/>
      <w:bookmarkStart w:id="5" w:name="_Toc184434865"/>
      <w:bookmarkStart w:id="6" w:name="_Toc165137880"/>
      <w:bookmarkStart w:id="7" w:name="_Toc165137881"/>
      <w:bookmarkStart w:id="8" w:name="_Toc233421900"/>
      <w:bookmarkStart w:id="9" w:name="_Toc200345192"/>
      <w:bookmarkEnd w:id="2"/>
      <w:bookmarkEnd w:id="3"/>
      <w:bookmarkEnd w:id="4"/>
      <w:bookmarkEnd w:id="5"/>
      <w:bookmarkEnd w:id="6"/>
      <w:bookmarkEnd w:id="7"/>
      <w:r w:rsidRPr="009B487B">
        <w:rPr>
          <w:rFonts w:ascii="Times New Roman" w:hAnsi="Times New Roman" w:cs="Times New Roman"/>
          <w:sz w:val="24"/>
          <w:szCs w:val="24"/>
        </w:rPr>
        <w:t xml:space="preserve">II. APSKAITOS </w:t>
      </w:r>
      <w:r w:rsidR="00784EC8" w:rsidRPr="009B487B">
        <w:rPr>
          <w:rFonts w:ascii="Times New Roman" w:hAnsi="Times New Roman" w:cs="Times New Roman"/>
          <w:sz w:val="24"/>
          <w:szCs w:val="24"/>
        </w:rPr>
        <w:t>POLITIKA</w:t>
      </w:r>
      <w:bookmarkEnd w:id="8"/>
    </w:p>
    <w:bookmarkEnd w:id="9"/>
    <w:p w14:paraId="2CA30B85" w14:textId="77777777" w:rsidR="00451956" w:rsidRPr="00CB2FD2" w:rsidRDefault="00451956" w:rsidP="00451956">
      <w:pPr>
        <w:tabs>
          <w:tab w:val="left" w:pos="1298"/>
        </w:tabs>
        <w:spacing w:line="276" w:lineRule="auto"/>
        <w:jc w:val="both"/>
        <w:rPr>
          <w:sz w:val="18"/>
          <w:szCs w:val="18"/>
        </w:rPr>
      </w:pPr>
    </w:p>
    <w:p w14:paraId="05FDB8D9" w14:textId="77777777" w:rsidR="00451956" w:rsidRPr="00451956" w:rsidRDefault="00451956" w:rsidP="00451956">
      <w:pPr>
        <w:keepNext/>
        <w:tabs>
          <w:tab w:val="left" w:pos="1298"/>
        </w:tabs>
        <w:spacing w:after="120" w:line="276" w:lineRule="auto"/>
        <w:ind w:left="360"/>
        <w:jc w:val="center"/>
        <w:outlineLvl w:val="1"/>
        <w:rPr>
          <w:b/>
          <w:bCs/>
          <w:szCs w:val="24"/>
        </w:rPr>
      </w:pPr>
      <w:bookmarkStart w:id="10" w:name="_Toc233421902"/>
      <w:r w:rsidRPr="00451956">
        <w:rPr>
          <w:b/>
          <w:bCs/>
          <w:szCs w:val="24"/>
        </w:rPr>
        <w:t>Apskaitos tvarkymas</w:t>
      </w:r>
      <w:bookmarkEnd w:id="10"/>
    </w:p>
    <w:p w14:paraId="71A913E7" w14:textId="77777777" w:rsidR="00451956" w:rsidRPr="00451956" w:rsidRDefault="00451956" w:rsidP="00451956">
      <w:pPr>
        <w:tabs>
          <w:tab w:val="left" w:pos="1298"/>
        </w:tabs>
        <w:spacing w:line="276" w:lineRule="auto"/>
      </w:pPr>
    </w:p>
    <w:p w14:paraId="7E6D7229" w14:textId="77777777" w:rsidR="00451956" w:rsidRPr="00451956" w:rsidRDefault="00451956" w:rsidP="00451956">
      <w:pPr>
        <w:numPr>
          <w:ilvl w:val="0"/>
          <w:numId w:val="2"/>
        </w:numPr>
        <w:tabs>
          <w:tab w:val="clear" w:pos="4188"/>
          <w:tab w:val="num" w:pos="360"/>
          <w:tab w:val="left" w:pos="1134"/>
        </w:tabs>
        <w:spacing w:line="276" w:lineRule="auto"/>
        <w:ind w:left="0" w:firstLine="720"/>
        <w:jc w:val="both"/>
        <w:rPr>
          <w:szCs w:val="24"/>
        </w:rPr>
      </w:pPr>
      <w:r w:rsidRPr="00451956">
        <w:rPr>
          <w:szCs w:val="24"/>
        </w:rPr>
        <w:t xml:space="preserve">Informaciją apie IAENF įplaukas ir išmokas, ir su jomis susijusią informaciją, reikalingą IAENF buhalterinei apskaitai tvarkyti ir finansinėms ataskaitoms sudaryti, IAENF apskaitos tvarkytojui teikia </w:t>
      </w:r>
      <w:r w:rsidR="00A8785A">
        <w:rPr>
          <w:szCs w:val="24"/>
        </w:rPr>
        <w:t>Lietuvos Respublikos finansų</w:t>
      </w:r>
      <w:r w:rsidRPr="00451956">
        <w:rPr>
          <w:szCs w:val="24"/>
        </w:rPr>
        <w:t xml:space="preserve"> ministerija ir IAENF administratorius, kurie dar papildomai teikia informaciją apie projektų vykdytojų įgyvendinant iš IAENF finansuojamus projektus patirtas sąnaudas ir projektų išlaidų</w:t>
      </w:r>
      <w:r w:rsidRPr="00451956">
        <w:rPr>
          <w:i/>
          <w:szCs w:val="24"/>
        </w:rPr>
        <w:t xml:space="preserve"> </w:t>
      </w:r>
      <w:r w:rsidRPr="00451956">
        <w:rPr>
          <w:szCs w:val="24"/>
        </w:rPr>
        <w:t>tinkamumą finansuoti.</w:t>
      </w:r>
    </w:p>
    <w:p w14:paraId="47C188CD" w14:textId="611E4803" w:rsidR="00451956" w:rsidRPr="00C81E56" w:rsidRDefault="00C81E56" w:rsidP="00451956">
      <w:pPr>
        <w:numPr>
          <w:ilvl w:val="0"/>
          <w:numId w:val="2"/>
        </w:numPr>
        <w:tabs>
          <w:tab w:val="clear" w:pos="4188"/>
          <w:tab w:val="num" w:pos="360"/>
          <w:tab w:val="num" w:pos="1134"/>
          <w:tab w:val="left" w:pos="1298"/>
        </w:tabs>
        <w:spacing w:line="276" w:lineRule="auto"/>
        <w:ind w:left="0" w:firstLine="720"/>
        <w:jc w:val="both"/>
        <w:rPr>
          <w:rFonts w:cs="Times New Roman"/>
          <w:color w:val="000000"/>
          <w:szCs w:val="24"/>
        </w:rPr>
      </w:pPr>
      <w:r w:rsidRPr="006F37DC">
        <w:rPr>
          <w:color w:val="000000"/>
        </w:rPr>
        <w:t xml:space="preserve">Sudarant IAENF metinį finansinių ataskaitų rinkinį </w:t>
      </w:r>
      <w:r w:rsidR="00451956" w:rsidRPr="00C81E56">
        <w:rPr>
          <w:color w:val="000000"/>
        </w:rPr>
        <w:t>vadovauja</w:t>
      </w:r>
      <w:r w:rsidRPr="006F37DC">
        <w:rPr>
          <w:color w:val="000000"/>
        </w:rPr>
        <w:t>masi</w:t>
      </w:r>
      <w:r w:rsidR="00451956" w:rsidRPr="00C81E56">
        <w:rPr>
          <w:color w:val="000000"/>
        </w:rPr>
        <w:t xml:space="preserve"> Lietuvos Respublikos buhalterinės apskaitos įstatymu, Lietuvos Respublikos viešojo sektoriaus atskaitomybės įstatymu, </w:t>
      </w:r>
      <w:r w:rsidR="00D22683" w:rsidRPr="00C81E56">
        <w:rPr>
          <w:color w:val="000000"/>
        </w:rPr>
        <w:t xml:space="preserve">Viešojo sektoriaus apskaitos ir finansinės atskaitomybės standartais (toliau </w:t>
      </w:r>
      <w:r w:rsidR="00D22683" w:rsidRPr="00C81E56">
        <w:rPr>
          <w:rFonts w:cs="Times New Roman"/>
          <w:color w:val="000000"/>
          <w:szCs w:val="24"/>
        </w:rPr>
        <w:t>–</w:t>
      </w:r>
      <w:r w:rsidR="00D22683" w:rsidRPr="00C81E56">
        <w:rPr>
          <w:color w:val="000000"/>
        </w:rPr>
        <w:t xml:space="preserve"> </w:t>
      </w:r>
      <w:r w:rsidR="00451956" w:rsidRPr="00C81E56">
        <w:rPr>
          <w:color w:val="000000"/>
        </w:rPr>
        <w:t>VSAFAS</w:t>
      </w:r>
      <w:r w:rsidR="00D22683" w:rsidRPr="00C81E56">
        <w:rPr>
          <w:color w:val="000000"/>
        </w:rPr>
        <w:t>)</w:t>
      </w:r>
      <w:r w:rsidR="00451956" w:rsidRPr="00C81E56">
        <w:rPr>
          <w:color w:val="000000"/>
        </w:rPr>
        <w:t xml:space="preserve">, kitais teisės aktais ir buhalterinės apskaitos tvarkymo, finansinių ir sąmatos įvykdymo ataskaitų rengimo rekomendacijomis ir </w:t>
      </w:r>
      <w:r w:rsidR="00D22683" w:rsidRPr="00C81E56">
        <w:rPr>
          <w:rFonts w:cs="Times New Roman"/>
          <w:iCs/>
          <w:color w:val="000000"/>
          <w:szCs w:val="24"/>
        </w:rPr>
        <w:t xml:space="preserve">VĮ Ignalinos </w:t>
      </w:r>
      <w:r w:rsidR="00B20A85" w:rsidRPr="00C81E56">
        <w:rPr>
          <w:rFonts w:cs="Times New Roman"/>
          <w:iCs/>
          <w:color w:val="000000"/>
          <w:szCs w:val="24"/>
        </w:rPr>
        <w:t>AE</w:t>
      </w:r>
      <w:r w:rsidR="00D22683" w:rsidRPr="00C81E56">
        <w:rPr>
          <w:rFonts w:cs="Times New Roman"/>
          <w:iCs/>
          <w:color w:val="000000"/>
          <w:szCs w:val="24"/>
        </w:rPr>
        <w:t xml:space="preserve"> eksploatavimo nutraukimo</w:t>
      </w:r>
      <w:r w:rsidR="00D22683" w:rsidRPr="00C81E56">
        <w:rPr>
          <w:rFonts w:cs="Times New Roman"/>
          <w:color w:val="000000"/>
          <w:szCs w:val="24"/>
        </w:rPr>
        <w:t xml:space="preserve"> fondo buhalterinės apskaitos vadovu (toliau – </w:t>
      </w:r>
      <w:r w:rsidR="00D22683" w:rsidRPr="00C81E56">
        <w:rPr>
          <w:color w:val="000000"/>
        </w:rPr>
        <w:t>apskaitos vadovas)</w:t>
      </w:r>
      <w:r w:rsidR="00451956" w:rsidRPr="00C81E56">
        <w:rPr>
          <w:color w:val="000000"/>
        </w:rPr>
        <w:t>.</w:t>
      </w:r>
    </w:p>
    <w:p w14:paraId="66AA0EB1" w14:textId="77777777" w:rsidR="00451956" w:rsidRPr="00451956" w:rsidRDefault="00451956" w:rsidP="00451956">
      <w:pPr>
        <w:numPr>
          <w:ilvl w:val="0"/>
          <w:numId w:val="2"/>
        </w:numPr>
        <w:tabs>
          <w:tab w:val="clear" w:pos="4188"/>
          <w:tab w:val="num" w:pos="360"/>
          <w:tab w:val="left" w:pos="1134"/>
          <w:tab w:val="left" w:pos="1298"/>
        </w:tabs>
        <w:spacing w:line="276" w:lineRule="auto"/>
        <w:ind w:left="0" w:firstLine="720"/>
        <w:jc w:val="both"/>
        <w:rPr>
          <w:color w:val="000000"/>
        </w:rPr>
      </w:pPr>
      <w:r w:rsidRPr="008F06A9">
        <w:rPr>
          <w:color w:val="000000"/>
        </w:rPr>
        <w:t>Už teisingą fondo duomenų apie lėšų judėjimą banko</w:t>
      </w:r>
      <w:r w:rsidRPr="00451956">
        <w:rPr>
          <w:color w:val="000000"/>
        </w:rPr>
        <w:t xml:space="preserve"> sąskaitoje, finansinį turtą, palūkanas, apie priemones, į kurias investuoja IAENF lėšas pagal </w:t>
      </w:r>
      <w:r w:rsidRPr="00451956">
        <w:rPr>
          <w:szCs w:val="24"/>
        </w:rPr>
        <w:t xml:space="preserve">Laikinai laisvų valstybės piniginių išteklių </w:t>
      </w:r>
      <w:r w:rsidRPr="00451956">
        <w:rPr>
          <w:szCs w:val="24"/>
        </w:rPr>
        <w:lastRenderedPageBreak/>
        <w:t>investavimo taisyklių</w:t>
      </w:r>
      <w:r w:rsidRPr="00451956">
        <w:rPr>
          <w:rFonts w:cs="Times New Roman"/>
          <w:szCs w:val="24"/>
        </w:rPr>
        <w:t>, patvirtintų Lietuvos Respublikos finansų ministro 2001 m. vasario 28 d. įsakymu Nr. 49 „</w:t>
      </w:r>
      <w:r w:rsidRPr="00451956">
        <w:rPr>
          <w:szCs w:val="24"/>
        </w:rPr>
        <w:t>Dėl Laikinai laisvų valstybės piniginių išteklių investavimo taisyklių patvirtinimo“ (toliau – Laikinai laisvų valstybės piniginių išteklių investavimo taisyklės),</w:t>
      </w:r>
      <w:r w:rsidRPr="00451956">
        <w:rPr>
          <w:color w:val="000000"/>
        </w:rPr>
        <w:t xml:space="preserve"> nuostatas, investicijų likučius ir pasikeitimus per ataskaitinį laikotarpį yra atsakinga </w:t>
      </w:r>
      <w:r w:rsidR="00A8785A">
        <w:rPr>
          <w:color w:val="000000"/>
        </w:rPr>
        <w:t>Lietuvos Respublikos finansų</w:t>
      </w:r>
      <w:r w:rsidRPr="00451956">
        <w:rPr>
          <w:color w:val="000000"/>
        </w:rPr>
        <w:t xml:space="preserve"> ministerija. Tam, kad būtų užtikrintas efektyvus IAENF buhalterinės apskaitos tvarkymas turi būti užtikrinami efektyvūs buhalterinės apskaitos informacijos mainai tarp </w:t>
      </w:r>
      <w:r w:rsidR="00A8785A">
        <w:rPr>
          <w:color w:val="000000"/>
        </w:rPr>
        <w:t>Lietuvos Respublikos finansų</w:t>
      </w:r>
      <w:r w:rsidRPr="00451956">
        <w:rPr>
          <w:color w:val="000000"/>
        </w:rPr>
        <w:t xml:space="preserve"> ministerijos ir IAENF apskaitos tvarkytojo. </w:t>
      </w:r>
      <w:r w:rsidR="00A8785A">
        <w:rPr>
          <w:color w:val="000000"/>
        </w:rPr>
        <w:t>Lietuvos Respublikos finansų</w:t>
      </w:r>
      <w:r w:rsidRPr="00451956">
        <w:rPr>
          <w:color w:val="000000"/>
        </w:rPr>
        <w:t xml:space="preserve"> ministerija, pasibaigus mėnesiui periodiškai teikia IAENF apskaitos tvarkytojui informaciją apie IAENF eksploatavimo fondo duomenis, susijusią su IAENF investicijomis ir pinigų įplaukomis bei išlaidomis bei fondo lėšų srautų ataskaitą.</w:t>
      </w:r>
    </w:p>
    <w:p w14:paraId="25027D8F" w14:textId="77777777" w:rsidR="00451956" w:rsidRPr="00451956" w:rsidRDefault="00451956" w:rsidP="00451956">
      <w:pPr>
        <w:tabs>
          <w:tab w:val="left" w:pos="1298"/>
        </w:tabs>
        <w:spacing w:line="276" w:lineRule="auto"/>
        <w:jc w:val="both"/>
        <w:rPr>
          <w:color w:val="000000"/>
        </w:rPr>
      </w:pPr>
    </w:p>
    <w:p w14:paraId="6B97A7F2" w14:textId="77777777" w:rsidR="00451956" w:rsidRPr="00451956" w:rsidRDefault="00451956" w:rsidP="00451956">
      <w:pPr>
        <w:keepNext/>
        <w:tabs>
          <w:tab w:val="left" w:pos="1298"/>
        </w:tabs>
        <w:spacing w:after="120" w:line="276" w:lineRule="auto"/>
        <w:ind w:left="360"/>
        <w:jc w:val="center"/>
        <w:outlineLvl w:val="1"/>
        <w:rPr>
          <w:b/>
          <w:bCs/>
          <w:szCs w:val="24"/>
        </w:rPr>
      </w:pPr>
      <w:bookmarkStart w:id="11" w:name="_Toc233421903"/>
      <w:r w:rsidRPr="00451956">
        <w:rPr>
          <w:b/>
          <w:bCs/>
          <w:szCs w:val="24"/>
        </w:rPr>
        <w:t>Apskaitos sistema</w:t>
      </w:r>
      <w:bookmarkEnd w:id="11"/>
    </w:p>
    <w:p w14:paraId="3412D651" w14:textId="77777777" w:rsidR="00451956" w:rsidRPr="00451956" w:rsidRDefault="00451956" w:rsidP="00451956">
      <w:pPr>
        <w:tabs>
          <w:tab w:val="left" w:pos="1298"/>
        </w:tabs>
        <w:spacing w:line="276" w:lineRule="auto"/>
        <w:rPr>
          <w:color w:val="000000"/>
        </w:rPr>
      </w:pPr>
    </w:p>
    <w:p w14:paraId="51B4AE60" w14:textId="77777777" w:rsidR="00451956" w:rsidRPr="00451956" w:rsidRDefault="00451956" w:rsidP="00451956">
      <w:pPr>
        <w:numPr>
          <w:ilvl w:val="0"/>
          <w:numId w:val="2"/>
        </w:numPr>
        <w:tabs>
          <w:tab w:val="clear" w:pos="4188"/>
          <w:tab w:val="num" w:pos="360"/>
          <w:tab w:val="num" w:pos="1134"/>
          <w:tab w:val="left" w:pos="1298"/>
        </w:tabs>
        <w:spacing w:line="276" w:lineRule="auto"/>
        <w:ind w:left="0" w:firstLine="720"/>
        <w:jc w:val="both"/>
        <w:rPr>
          <w:color w:val="000000"/>
        </w:rPr>
      </w:pPr>
      <w:r w:rsidRPr="00451956">
        <w:rPr>
          <w:color w:val="000000"/>
        </w:rPr>
        <w:t>Apskaitai tvarkyti yra naudojamas kompiuterinės programinės įrangos paketas „</w:t>
      </w:r>
      <w:r w:rsidRPr="00451956">
        <w:rPr>
          <w:rFonts w:cs="Times New Roman"/>
          <w:color w:val="000000"/>
          <w:szCs w:val="24"/>
        </w:rPr>
        <w:t>Microsoft Dynamics NAV 5.1“</w:t>
      </w:r>
      <w:r w:rsidRPr="00451956">
        <w:rPr>
          <w:color w:val="000000"/>
        </w:rPr>
        <w:t xml:space="preserve">, kuris sukonfigūruotas taip, kad būtų galima tvarkyti IAENF apskaitą remiantis teisės aktų ir šio apskaitos vadovo reikalavimais. </w:t>
      </w:r>
    </w:p>
    <w:p w14:paraId="1B92879F" w14:textId="77777777" w:rsidR="00451956" w:rsidRPr="00451956" w:rsidRDefault="00451956" w:rsidP="00451956">
      <w:pPr>
        <w:numPr>
          <w:ilvl w:val="0"/>
          <w:numId w:val="2"/>
        </w:numPr>
        <w:tabs>
          <w:tab w:val="clear" w:pos="4188"/>
          <w:tab w:val="num" w:pos="360"/>
          <w:tab w:val="num" w:pos="1134"/>
          <w:tab w:val="left" w:pos="1298"/>
        </w:tabs>
        <w:spacing w:line="276" w:lineRule="auto"/>
        <w:ind w:left="0" w:firstLine="720"/>
        <w:jc w:val="both"/>
      </w:pPr>
      <w:r w:rsidRPr="00451956">
        <w:t xml:space="preserve">Apskaitos įrašai susisteminami apskaitos registruose. Apskaitos registru vadinama buhalterinių įrašų suvestinė, kurioje pagal tam tikrą sistemą registruojami, rūšiuojami, sumuojami ir apibendrinami ūkinių operacijų ir ūkinių įvykių apskaitos dokumentų duomenys. IAENF apskaitos tvarkytojas pasirenka registrų formą, turinį ir skaičių. </w:t>
      </w:r>
    </w:p>
    <w:p w14:paraId="5F69A412" w14:textId="77777777" w:rsidR="00451956" w:rsidRPr="00451956" w:rsidRDefault="00451956" w:rsidP="00451956">
      <w:pPr>
        <w:tabs>
          <w:tab w:val="num" w:pos="0"/>
          <w:tab w:val="left" w:pos="1298"/>
        </w:tabs>
        <w:spacing w:line="276" w:lineRule="auto"/>
        <w:ind w:firstLine="720"/>
        <w:jc w:val="both"/>
      </w:pPr>
    </w:p>
    <w:p w14:paraId="72C8210D" w14:textId="77777777" w:rsidR="00451956" w:rsidRPr="00451956" w:rsidRDefault="00451956" w:rsidP="00A8785A">
      <w:pPr>
        <w:keepNext/>
        <w:tabs>
          <w:tab w:val="left" w:pos="0"/>
        </w:tabs>
        <w:spacing w:line="276" w:lineRule="auto"/>
        <w:jc w:val="center"/>
        <w:outlineLvl w:val="1"/>
        <w:rPr>
          <w:rFonts w:cs="Times New Roman"/>
          <w:b/>
          <w:bCs/>
          <w:szCs w:val="24"/>
        </w:rPr>
      </w:pPr>
      <w:r w:rsidRPr="00451956">
        <w:rPr>
          <w:rFonts w:cs="Times New Roman"/>
          <w:b/>
          <w:bCs/>
          <w:szCs w:val="24"/>
        </w:rPr>
        <w:t>Bendrieji apskaitos principai, metodai ir taisyklės</w:t>
      </w:r>
    </w:p>
    <w:p w14:paraId="02A8D9C0" w14:textId="77777777" w:rsidR="00451956" w:rsidRPr="00451956" w:rsidRDefault="00451956" w:rsidP="00451956">
      <w:pPr>
        <w:tabs>
          <w:tab w:val="num" w:pos="0"/>
          <w:tab w:val="left" w:pos="1298"/>
        </w:tabs>
        <w:spacing w:line="276" w:lineRule="auto"/>
        <w:ind w:firstLine="720"/>
        <w:jc w:val="both"/>
      </w:pPr>
    </w:p>
    <w:p w14:paraId="22B64F21" w14:textId="77777777" w:rsidR="00451956" w:rsidRPr="00451956" w:rsidRDefault="00451956" w:rsidP="00451956">
      <w:pPr>
        <w:numPr>
          <w:ilvl w:val="0"/>
          <w:numId w:val="2"/>
        </w:numPr>
        <w:tabs>
          <w:tab w:val="clear" w:pos="4188"/>
          <w:tab w:val="num" w:pos="360"/>
          <w:tab w:val="left" w:pos="1134"/>
          <w:tab w:val="left" w:pos="1298"/>
        </w:tabs>
        <w:spacing w:line="276" w:lineRule="auto"/>
        <w:ind w:left="0" w:firstLine="720"/>
        <w:jc w:val="both"/>
        <w:rPr>
          <w:color w:val="000000"/>
        </w:rPr>
      </w:pPr>
      <w:bookmarkStart w:id="12" w:name="_Ref113193490"/>
      <w:bookmarkStart w:id="13" w:name="_Toc116445020"/>
      <w:bookmarkStart w:id="14" w:name="_Toc117389205"/>
      <w:bookmarkStart w:id="15" w:name="_Toc117398938"/>
      <w:bookmarkStart w:id="16" w:name="_Toc117399142"/>
      <w:bookmarkStart w:id="17" w:name="_Toc117497717"/>
      <w:r w:rsidRPr="00451956">
        <w:t xml:space="preserve">IAENF </w:t>
      </w:r>
      <w:r w:rsidRPr="00451956">
        <w:rPr>
          <w:rFonts w:cs="Times New Roman"/>
          <w:szCs w:val="24"/>
        </w:rPr>
        <w:t xml:space="preserve">apskaitai taikoma apskaitos politika, kuri užtikrina, kad Fondo finansinių ataskaitų duomenys atitinka kiekvieno taikytino VSAFAS reikalavimus ir </w:t>
      </w:r>
      <w:r w:rsidRPr="00451956">
        <w:rPr>
          <w:rFonts w:cs="Times New Roman"/>
          <w:color w:val="000000"/>
          <w:szCs w:val="24"/>
        </w:rPr>
        <w:t>sąmatos vykdymo ataskaitų duomenys atitinka jų sudarymą reglamentuojančių teisės aktų nuostatas.</w:t>
      </w:r>
    </w:p>
    <w:p w14:paraId="47065731" w14:textId="77777777" w:rsidR="00451956" w:rsidRPr="00451956" w:rsidRDefault="00451956" w:rsidP="00451956">
      <w:pPr>
        <w:numPr>
          <w:ilvl w:val="0"/>
          <w:numId w:val="2"/>
        </w:numPr>
        <w:tabs>
          <w:tab w:val="clear" w:pos="4188"/>
          <w:tab w:val="num" w:pos="360"/>
          <w:tab w:val="left" w:pos="1260"/>
          <w:tab w:val="left" w:pos="1298"/>
        </w:tabs>
        <w:spacing w:line="276" w:lineRule="auto"/>
        <w:ind w:left="0" w:firstLine="720"/>
        <w:jc w:val="both"/>
        <w:rPr>
          <w:szCs w:val="24"/>
        </w:rPr>
      </w:pPr>
      <w:r w:rsidRPr="00451956">
        <w:t>Tvarkant IAENF apskaitą ir rengiant finansines ataskaitas, vadovaujamasi VSAFAS ir Viešojo sektoriaus atskaitomybės įstatyme nustatytais</w:t>
      </w:r>
      <w:r w:rsidRPr="00451956">
        <w:rPr>
          <w:rFonts w:cs="Times New Roman"/>
          <w:szCs w:val="24"/>
        </w:rPr>
        <w:t xml:space="preserve"> šiais bendraisiais apskaitos principais</w:t>
      </w:r>
      <w:bookmarkEnd w:id="12"/>
      <w:bookmarkEnd w:id="13"/>
      <w:bookmarkEnd w:id="14"/>
      <w:bookmarkEnd w:id="15"/>
      <w:bookmarkEnd w:id="16"/>
      <w:bookmarkEnd w:id="17"/>
      <w:r w:rsidRPr="00451956">
        <w:rPr>
          <w:szCs w:val="24"/>
        </w:rPr>
        <w:t xml:space="preserve">: </w:t>
      </w:r>
    </w:p>
    <w:p w14:paraId="594BD81A" w14:textId="77777777" w:rsidR="00451956" w:rsidRPr="00451956" w:rsidRDefault="00451956" w:rsidP="00451956">
      <w:pPr>
        <w:numPr>
          <w:ilvl w:val="1"/>
          <w:numId w:val="2"/>
        </w:numPr>
        <w:tabs>
          <w:tab w:val="left" w:pos="1260"/>
          <w:tab w:val="left" w:pos="1298"/>
          <w:tab w:val="left" w:pos="1440"/>
        </w:tabs>
        <w:spacing w:line="276" w:lineRule="auto"/>
        <w:ind w:left="1440" w:hanging="720"/>
        <w:jc w:val="both"/>
        <w:rPr>
          <w:szCs w:val="24"/>
        </w:rPr>
      </w:pPr>
      <w:r w:rsidRPr="00451956">
        <w:rPr>
          <w:szCs w:val="24"/>
        </w:rPr>
        <w:t>kaupimo;</w:t>
      </w:r>
    </w:p>
    <w:p w14:paraId="4DAE4D76" w14:textId="77777777" w:rsidR="00451956" w:rsidRPr="00451956" w:rsidRDefault="00451956" w:rsidP="00451956">
      <w:pPr>
        <w:numPr>
          <w:ilvl w:val="1"/>
          <w:numId w:val="2"/>
        </w:numPr>
        <w:tabs>
          <w:tab w:val="left" w:pos="1260"/>
          <w:tab w:val="left" w:pos="1298"/>
          <w:tab w:val="left" w:pos="1440"/>
        </w:tabs>
        <w:spacing w:line="276" w:lineRule="auto"/>
        <w:ind w:left="1440" w:hanging="720"/>
        <w:jc w:val="both"/>
        <w:rPr>
          <w:szCs w:val="24"/>
        </w:rPr>
      </w:pPr>
      <w:r w:rsidRPr="00451956">
        <w:rPr>
          <w:szCs w:val="24"/>
        </w:rPr>
        <w:t>subjekto;</w:t>
      </w:r>
    </w:p>
    <w:p w14:paraId="32DE96E9" w14:textId="77777777" w:rsidR="00451956" w:rsidRPr="00451956" w:rsidRDefault="00451956" w:rsidP="00451956">
      <w:pPr>
        <w:numPr>
          <w:ilvl w:val="1"/>
          <w:numId w:val="2"/>
        </w:numPr>
        <w:tabs>
          <w:tab w:val="left" w:pos="1260"/>
          <w:tab w:val="left" w:pos="1298"/>
          <w:tab w:val="left" w:pos="1440"/>
        </w:tabs>
        <w:spacing w:line="276" w:lineRule="auto"/>
        <w:ind w:left="1440" w:hanging="720"/>
        <w:jc w:val="both"/>
        <w:rPr>
          <w:szCs w:val="24"/>
        </w:rPr>
      </w:pPr>
      <w:r w:rsidRPr="00451956">
        <w:rPr>
          <w:szCs w:val="24"/>
        </w:rPr>
        <w:t>veiklos tęstinumo;</w:t>
      </w:r>
    </w:p>
    <w:p w14:paraId="205049D4" w14:textId="77777777" w:rsidR="00451956" w:rsidRPr="00451956" w:rsidRDefault="00451956" w:rsidP="00451956">
      <w:pPr>
        <w:numPr>
          <w:ilvl w:val="1"/>
          <w:numId w:val="2"/>
        </w:numPr>
        <w:tabs>
          <w:tab w:val="left" w:pos="1260"/>
          <w:tab w:val="left" w:pos="1298"/>
          <w:tab w:val="left" w:pos="1440"/>
        </w:tabs>
        <w:spacing w:line="276" w:lineRule="auto"/>
        <w:ind w:left="1440" w:hanging="720"/>
        <w:jc w:val="both"/>
        <w:rPr>
          <w:szCs w:val="24"/>
        </w:rPr>
      </w:pPr>
      <w:r w:rsidRPr="00451956">
        <w:rPr>
          <w:szCs w:val="24"/>
        </w:rPr>
        <w:t>periodiškumo;</w:t>
      </w:r>
    </w:p>
    <w:p w14:paraId="432D140B" w14:textId="77777777" w:rsidR="00451956" w:rsidRPr="00451956" w:rsidRDefault="00451956" w:rsidP="00451956">
      <w:pPr>
        <w:numPr>
          <w:ilvl w:val="1"/>
          <w:numId w:val="2"/>
        </w:numPr>
        <w:tabs>
          <w:tab w:val="left" w:pos="1260"/>
          <w:tab w:val="left" w:pos="1298"/>
          <w:tab w:val="left" w:pos="1440"/>
        </w:tabs>
        <w:spacing w:line="276" w:lineRule="auto"/>
        <w:ind w:left="1440" w:hanging="720"/>
        <w:jc w:val="both"/>
        <w:rPr>
          <w:szCs w:val="24"/>
        </w:rPr>
      </w:pPr>
      <w:r w:rsidRPr="00451956">
        <w:rPr>
          <w:szCs w:val="24"/>
        </w:rPr>
        <w:t>pastovumo;</w:t>
      </w:r>
    </w:p>
    <w:p w14:paraId="3366D585" w14:textId="77777777" w:rsidR="00451956" w:rsidRPr="00451956" w:rsidRDefault="00451956" w:rsidP="00451956">
      <w:pPr>
        <w:numPr>
          <w:ilvl w:val="1"/>
          <w:numId w:val="2"/>
        </w:numPr>
        <w:tabs>
          <w:tab w:val="left" w:pos="1260"/>
          <w:tab w:val="left" w:pos="1298"/>
          <w:tab w:val="left" w:pos="1440"/>
        </w:tabs>
        <w:spacing w:line="276" w:lineRule="auto"/>
        <w:ind w:left="1440" w:hanging="720"/>
        <w:jc w:val="both"/>
        <w:rPr>
          <w:szCs w:val="24"/>
        </w:rPr>
      </w:pPr>
      <w:r w:rsidRPr="00451956">
        <w:rPr>
          <w:szCs w:val="24"/>
        </w:rPr>
        <w:t>piniginio mato;</w:t>
      </w:r>
    </w:p>
    <w:p w14:paraId="0B1A1BE6" w14:textId="77777777" w:rsidR="00451956" w:rsidRPr="00451956" w:rsidRDefault="00451956" w:rsidP="00451956">
      <w:pPr>
        <w:numPr>
          <w:ilvl w:val="1"/>
          <w:numId w:val="2"/>
        </w:numPr>
        <w:tabs>
          <w:tab w:val="left" w:pos="1260"/>
          <w:tab w:val="left" w:pos="1298"/>
          <w:tab w:val="left" w:pos="1440"/>
        </w:tabs>
        <w:spacing w:line="276" w:lineRule="auto"/>
        <w:ind w:left="1440" w:hanging="720"/>
        <w:jc w:val="both"/>
        <w:rPr>
          <w:szCs w:val="24"/>
        </w:rPr>
      </w:pPr>
      <w:r w:rsidRPr="00451956">
        <w:rPr>
          <w:szCs w:val="24"/>
        </w:rPr>
        <w:t>palyginimo;</w:t>
      </w:r>
    </w:p>
    <w:p w14:paraId="03ACEC19" w14:textId="77777777" w:rsidR="00451956" w:rsidRPr="00451956" w:rsidRDefault="00451956" w:rsidP="00451956">
      <w:pPr>
        <w:numPr>
          <w:ilvl w:val="1"/>
          <w:numId w:val="2"/>
        </w:numPr>
        <w:tabs>
          <w:tab w:val="left" w:pos="1260"/>
          <w:tab w:val="left" w:pos="1298"/>
          <w:tab w:val="left" w:pos="1440"/>
        </w:tabs>
        <w:spacing w:line="276" w:lineRule="auto"/>
        <w:ind w:left="1440" w:hanging="720"/>
        <w:jc w:val="both"/>
        <w:rPr>
          <w:szCs w:val="24"/>
        </w:rPr>
      </w:pPr>
      <w:r w:rsidRPr="00451956">
        <w:rPr>
          <w:szCs w:val="24"/>
        </w:rPr>
        <w:t>atsargumo;</w:t>
      </w:r>
    </w:p>
    <w:p w14:paraId="1BEA2EA3" w14:textId="77777777" w:rsidR="00451956" w:rsidRPr="00451956" w:rsidRDefault="00451956" w:rsidP="00451956">
      <w:pPr>
        <w:numPr>
          <w:ilvl w:val="1"/>
          <w:numId w:val="2"/>
        </w:numPr>
        <w:tabs>
          <w:tab w:val="left" w:pos="1260"/>
          <w:tab w:val="left" w:pos="1298"/>
          <w:tab w:val="left" w:pos="1440"/>
        </w:tabs>
        <w:spacing w:line="276" w:lineRule="auto"/>
        <w:ind w:left="1440" w:hanging="720"/>
        <w:jc w:val="both"/>
        <w:rPr>
          <w:szCs w:val="24"/>
        </w:rPr>
      </w:pPr>
      <w:r w:rsidRPr="00451956">
        <w:rPr>
          <w:szCs w:val="24"/>
        </w:rPr>
        <w:t>neutralumo;</w:t>
      </w:r>
    </w:p>
    <w:p w14:paraId="020BD57F" w14:textId="77777777" w:rsidR="00451956" w:rsidRPr="00451956" w:rsidRDefault="00451956" w:rsidP="00451956">
      <w:pPr>
        <w:numPr>
          <w:ilvl w:val="1"/>
          <w:numId w:val="2"/>
        </w:numPr>
        <w:tabs>
          <w:tab w:val="left" w:pos="1260"/>
          <w:tab w:val="left" w:pos="1298"/>
          <w:tab w:val="left" w:pos="1440"/>
        </w:tabs>
        <w:spacing w:line="276" w:lineRule="auto"/>
        <w:ind w:left="1440" w:hanging="720"/>
        <w:jc w:val="both"/>
        <w:rPr>
          <w:szCs w:val="24"/>
        </w:rPr>
      </w:pPr>
      <w:r w:rsidRPr="00451956">
        <w:rPr>
          <w:szCs w:val="24"/>
        </w:rPr>
        <w:t>turinio viršenybės prieš formą.</w:t>
      </w:r>
    </w:p>
    <w:p w14:paraId="1B0A180B" w14:textId="77777777" w:rsidR="00451956" w:rsidRPr="00451956" w:rsidRDefault="00451956" w:rsidP="00451956">
      <w:pPr>
        <w:numPr>
          <w:ilvl w:val="0"/>
          <w:numId w:val="2"/>
        </w:numPr>
        <w:tabs>
          <w:tab w:val="clear" w:pos="4188"/>
          <w:tab w:val="num" w:pos="360"/>
          <w:tab w:val="left" w:pos="1260"/>
          <w:tab w:val="left" w:pos="1298"/>
        </w:tabs>
        <w:spacing w:line="276" w:lineRule="auto"/>
        <w:ind w:left="0" w:firstLine="720"/>
        <w:jc w:val="both"/>
        <w:rPr>
          <w:szCs w:val="24"/>
        </w:rPr>
      </w:pPr>
      <w:r w:rsidRPr="00451956">
        <w:t>IAENF</w:t>
      </w:r>
      <w:r w:rsidRPr="00451956">
        <w:rPr>
          <w:szCs w:val="24"/>
        </w:rPr>
        <w:t xml:space="preserve"> </w:t>
      </w:r>
      <w:r w:rsidRPr="00451956">
        <w:rPr>
          <w:color w:val="000000"/>
          <w:szCs w:val="24"/>
        </w:rPr>
        <w:t>sąmatos vykdymo ataskaitų rinkinys</w:t>
      </w:r>
      <w:r w:rsidRPr="00451956">
        <w:rPr>
          <w:szCs w:val="24"/>
        </w:rPr>
        <w:t xml:space="preserve"> sudaromas vadovaujantis </w:t>
      </w:r>
      <w:r w:rsidRPr="00451956">
        <w:t>Viešojo sektoriaus atskaitomybės įstatyme nustatytais</w:t>
      </w:r>
      <w:r w:rsidRPr="00451956">
        <w:rPr>
          <w:rFonts w:cs="Times New Roman"/>
          <w:szCs w:val="24"/>
        </w:rPr>
        <w:t xml:space="preserve"> </w:t>
      </w:r>
      <w:r w:rsidRPr="00451956">
        <w:rPr>
          <w:szCs w:val="24"/>
        </w:rPr>
        <w:t>šiais bendraisiais apskaitos principais:</w:t>
      </w:r>
    </w:p>
    <w:p w14:paraId="6D492C99" w14:textId="77777777" w:rsidR="00451956" w:rsidRPr="00451956" w:rsidRDefault="00451956" w:rsidP="00451956">
      <w:pPr>
        <w:numPr>
          <w:ilvl w:val="1"/>
          <w:numId w:val="2"/>
        </w:numPr>
        <w:tabs>
          <w:tab w:val="left" w:pos="1260"/>
          <w:tab w:val="left" w:pos="1298"/>
          <w:tab w:val="left" w:pos="1440"/>
        </w:tabs>
        <w:spacing w:line="276" w:lineRule="auto"/>
        <w:ind w:left="1440" w:hanging="720"/>
        <w:jc w:val="both"/>
        <w:rPr>
          <w:szCs w:val="24"/>
        </w:rPr>
      </w:pPr>
      <w:r w:rsidRPr="00451956">
        <w:rPr>
          <w:szCs w:val="24"/>
        </w:rPr>
        <w:t>pinigų;</w:t>
      </w:r>
    </w:p>
    <w:p w14:paraId="2B40C8D1" w14:textId="77777777" w:rsidR="00451956" w:rsidRPr="00451956" w:rsidRDefault="00451956" w:rsidP="00451956">
      <w:pPr>
        <w:numPr>
          <w:ilvl w:val="1"/>
          <w:numId w:val="2"/>
        </w:numPr>
        <w:tabs>
          <w:tab w:val="left" w:pos="1260"/>
          <w:tab w:val="left" w:pos="1298"/>
          <w:tab w:val="left" w:pos="1440"/>
        </w:tabs>
        <w:spacing w:line="276" w:lineRule="auto"/>
        <w:ind w:left="1440" w:hanging="720"/>
        <w:jc w:val="both"/>
        <w:rPr>
          <w:szCs w:val="24"/>
        </w:rPr>
      </w:pPr>
      <w:r w:rsidRPr="00451956">
        <w:rPr>
          <w:szCs w:val="24"/>
        </w:rPr>
        <w:t>subjekto;</w:t>
      </w:r>
    </w:p>
    <w:p w14:paraId="6F64CEAB" w14:textId="77777777" w:rsidR="00451956" w:rsidRPr="00451956" w:rsidRDefault="00451956" w:rsidP="00451956">
      <w:pPr>
        <w:numPr>
          <w:ilvl w:val="1"/>
          <w:numId w:val="2"/>
        </w:numPr>
        <w:tabs>
          <w:tab w:val="left" w:pos="1260"/>
          <w:tab w:val="left" w:pos="1298"/>
          <w:tab w:val="left" w:pos="1440"/>
        </w:tabs>
        <w:spacing w:line="276" w:lineRule="auto"/>
        <w:ind w:left="1440" w:hanging="720"/>
        <w:jc w:val="both"/>
        <w:rPr>
          <w:szCs w:val="24"/>
        </w:rPr>
      </w:pPr>
      <w:r w:rsidRPr="00451956">
        <w:rPr>
          <w:szCs w:val="24"/>
        </w:rPr>
        <w:t>periodiškumo;</w:t>
      </w:r>
    </w:p>
    <w:p w14:paraId="095960AC" w14:textId="77777777" w:rsidR="00451956" w:rsidRPr="00451956" w:rsidRDefault="00451956" w:rsidP="00451956">
      <w:pPr>
        <w:numPr>
          <w:ilvl w:val="1"/>
          <w:numId w:val="2"/>
        </w:numPr>
        <w:tabs>
          <w:tab w:val="left" w:pos="1260"/>
          <w:tab w:val="left" w:pos="1298"/>
          <w:tab w:val="left" w:pos="1440"/>
        </w:tabs>
        <w:spacing w:line="276" w:lineRule="auto"/>
        <w:ind w:left="1440" w:hanging="720"/>
        <w:jc w:val="both"/>
        <w:rPr>
          <w:szCs w:val="24"/>
        </w:rPr>
      </w:pPr>
      <w:r w:rsidRPr="00451956">
        <w:rPr>
          <w:szCs w:val="24"/>
        </w:rPr>
        <w:t>pastovumo;</w:t>
      </w:r>
    </w:p>
    <w:p w14:paraId="44DE6559" w14:textId="77777777" w:rsidR="00451956" w:rsidRPr="00451956" w:rsidRDefault="00451956" w:rsidP="00451956">
      <w:pPr>
        <w:numPr>
          <w:ilvl w:val="1"/>
          <w:numId w:val="2"/>
        </w:numPr>
        <w:tabs>
          <w:tab w:val="left" w:pos="1260"/>
          <w:tab w:val="left" w:pos="1298"/>
          <w:tab w:val="left" w:pos="1440"/>
        </w:tabs>
        <w:spacing w:line="276" w:lineRule="auto"/>
        <w:ind w:left="1440" w:hanging="720"/>
        <w:jc w:val="both"/>
        <w:rPr>
          <w:szCs w:val="24"/>
        </w:rPr>
      </w:pPr>
      <w:r w:rsidRPr="00451956">
        <w:rPr>
          <w:szCs w:val="24"/>
        </w:rPr>
        <w:t>piniginio mato.</w:t>
      </w:r>
    </w:p>
    <w:p w14:paraId="22E2F062" w14:textId="77777777" w:rsidR="00451956" w:rsidRPr="00451956" w:rsidRDefault="00451956" w:rsidP="00451956">
      <w:pPr>
        <w:numPr>
          <w:ilvl w:val="0"/>
          <w:numId w:val="2"/>
        </w:numPr>
        <w:tabs>
          <w:tab w:val="clear" w:pos="4188"/>
          <w:tab w:val="num" w:pos="360"/>
          <w:tab w:val="left" w:pos="1260"/>
          <w:tab w:val="left" w:pos="1298"/>
        </w:tabs>
        <w:spacing w:line="276" w:lineRule="auto"/>
        <w:ind w:left="0" w:firstLine="720"/>
        <w:jc w:val="both"/>
        <w:rPr>
          <w:szCs w:val="24"/>
        </w:rPr>
      </w:pPr>
      <w:r w:rsidRPr="00451956">
        <w:rPr>
          <w:szCs w:val="24"/>
        </w:rPr>
        <w:lastRenderedPageBreak/>
        <w:t>Remiantis subjekto principu IA</w:t>
      </w:r>
      <w:r w:rsidRPr="00451956">
        <w:t>ENF</w:t>
      </w:r>
      <w:r w:rsidRPr="00451956">
        <w:rPr>
          <w:szCs w:val="24"/>
        </w:rPr>
        <w:t xml:space="preserve"> laikomas atskiru apskaitos vienetu. IA</w:t>
      </w:r>
      <w:r w:rsidRPr="00451956">
        <w:t>ENF</w:t>
      </w:r>
      <w:r w:rsidRPr="00451956">
        <w:rPr>
          <w:szCs w:val="24"/>
        </w:rPr>
        <w:t xml:space="preserve"> apskaitos tvarkytojas Fondo buhalterinę apskaitą tvarko atskirai nuo savo buhalterinės apskaitos, sudaro atskirus Fondo finansinių ataskaitų ir </w:t>
      </w:r>
      <w:r w:rsidRPr="00451956">
        <w:rPr>
          <w:color w:val="000000"/>
          <w:szCs w:val="24"/>
        </w:rPr>
        <w:t>sąmatos vykdymo</w:t>
      </w:r>
      <w:r w:rsidRPr="00451956">
        <w:rPr>
          <w:szCs w:val="24"/>
        </w:rPr>
        <w:t xml:space="preserve"> ataskaitų rinkinius. IAENF apskaitoje registruojamas tik Fondo valdomas arba jo disponuojamas turtas, finansavimo sumos ir įsipareigojimai, pajamos ir sąnaudos.</w:t>
      </w:r>
    </w:p>
    <w:p w14:paraId="772CAC66" w14:textId="77777777" w:rsidR="00451956" w:rsidRPr="00451956" w:rsidRDefault="00451956" w:rsidP="00451956">
      <w:pPr>
        <w:numPr>
          <w:ilvl w:val="0"/>
          <w:numId w:val="2"/>
        </w:numPr>
        <w:tabs>
          <w:tab w:val="clear" w:pos="4188"/>
          <w:tab w:val="num" w:pos="360"/>
          <w:tab w:val="left" w:pos="1260"/>
          <w:tab w:val="left" w:pos="1298"/>
        </w:tabs>
        <w:spacing w:line="276" w:lineRule="auto"/>
        <w:ind w:left="0" w:firstLine="720"/>
        <w:jc w:val="both"/>
      </w:pPr>
      <w:r w:rsidRPr="00451956">
        <w:t>IAENF</w:t>
      </w:r>
      <w:r w:rsidRPr="00451956">
        <w:rPr>
          <w:szCs w:val="24"/>
        </w:rPr>
        <w:t xml:space="preserve"> leidžiamos vykdyti ūkinės operacijos nustatytos teisės aktuose. Pagal turinio viršenybės prieš formą principą IA</w:t>
      </w:r>
      <w:r w:rsidRPr="00451956">
        <w:t>ENF</w:t>
      </w:r>
      <w:r w:rsidRPr="00451956">
        <w:rPr>
          <w:szCs w:val="24"/>
        </w:rPr>
        <w:t xml:space="preserve"> ūkiniai įvykiai ir ūkinės operacijos vertinami ir pripažįstami pagal jų ekonominę prasmę ir turinį, neatsižvelgiant į tai, ar tokios formos sandorį leidžia sudaryti jo veiklą reglamentuojantys teisės aktai</w:t>
      </w:r>
      <w:r w:rsidRPr="00451956">
        <w:t xml:space="preserve">. </w:t>
      </w:r>
    </w:p>
    <w:p w14:paraId="07DECC3B" w14:textId="77777777" w:rsidR="00451956" w:rsidRPr="00451956" w:rsidRDefault="00451956" w:rsidP="00451956">
      <w:pPr>
        <w:numPr>
          <w:ilvl w:val="0"/>
          <w:numId w:val="2"/>
        </w:numPr>
        <w:tabs>
          <w:tab w:val="clear" w:pos="4188"/>
          <w:tab w:val="num" w:pos="360"/>
          <w:tab w:val="left" w:pos="1260"/>
          <w:tab w:val="left" w:pos="1298"/>
        </w:tabs>
        <w:spacing w:line="276" w:lineRule="auto"/>
        <w:ind w:left="0" w:firstLine="720"/>
        <w:jc w:val="both"/>
        <w:rPr>
          <w:rFonts w:cs="Times New Roman"/>
          <w:szCs w:val="24"/>
        </w:rPr>
      </w:pPr>
      <w:bookmarkStart w:id="18" w:name="_Ref188416273"/>
      <w:r w:rsidRPr="00451956">
        <w:rPr>
          <w:rFonts w:cs="Times New Roman"/>
          <w:szCs w:val="24"/>
        </w:rPr>
        <w:t xml:space="preserve">IAENF parinkta apskaitos politika taikoma nuolat ir gali būti keičiama tik VSAFAS numatytais atvejais. Tais atvejais apskaitos politika keičiama tik vadovaujantis 7-uoju VSAFAS „Apskaitos politikos, apskaitinių įverčių keitimas ir klaidų taisymas“ ir taikoma vienodai visiems finansinių ataskaitų straipsniams, kuriems turi įtakos apskaitos politikos keitimas. </w:t>
      </w:r>
    </w:p>
    <w:p w14:paraId="094D9AA0" w14:textId="77777777" w:rsidR="00451956" w:rsidRPr="00451956" w:rsidRDefault="00451956" w:rsidP="00451956">
      <w:pPr>
        <w:numPr>
          <w:ilvl w:val="0"/>
          <w:numId w:val="2"/>
        </w:numPr>
        <w:tabs>
          <w:tab w:val="clear" w:pos="4188"/>
          <w:tab w:val="num" w:pos="360"/>
          <w:tab w:val="left" w:pos="1260"/>
          <w:tab w:val="left" w:pos="1298"/>
        </w:tabs>
        <w:spacing w:line="276" w:lineRule="auto"/>
        <w:ind w:left="0" w:firstLine="720"/>
        <w:jc w:val="both"/>
        <w:rPr>
          <w:rFonts w:cs="Times New Roman"/>
          <w:snapToGrid w:val="0"/>
          <w:szCs w:val="24"/>
        </w:rPr>
      </w:pPr>
      <w:r w:rsidRPr="00451956">
        <w:t xml:space="preserve">IAENF apskaitoje taikomi visų </w:t>
      </w:r>
      <w:r w:rsidRPr="00451956">
        <w:rPr>
          <w:rFonts w:cs="Times New Roman"/>
          <w:snapToGrid w:val="0"/>
          <w:szCs w:val="24"/>
        </w:rPr>
        <w:t>VSAFAS reikalavimai, išskyrus:</w:t>
      </w:r>
    </w:p>
    <w:p w14:paraId="01319F88" w14:textId="77777777" w:rsidR="00451956" w:rsidRPr="00451956" w:rsidRDefault="00451956" w:rsidP="00451956">
      <w:pPr>
        <w:numPr>
          <w:ilvl w:val="1"/>
          <w:numId w:val="2"/>
        </w:numPr>
        <w:tabs>
          <w:tab w:val="left" w:pos="1298"/>
          <w:tab w:val="left" w:pos="1440"/>
        </w:tabs>
        <w:spacing w:line="276" w:lineRule="auto"/>
        <w:ind w:left="0" w:firstLine="720"/>
        <w:jc w:val="both"/>
        <w:rPr>
          <w:rFonts w:cs="Times New Roman"/>
          <w:snapToGrid w:val="0"/>
          <w:szCs w:val="24"/>
        </w:rPr>
      </w:pPr>
      <w:r w:rsidRPr="00451956">
        <w:t>8-ojo VSAFAS „Atsargos“;</w:t>
      </w:r>
    </w:p>
    <w:p w14:paraId="67C1C8BF" w14:textId="77777777" w:rsidR="00451956" w:rsidRPr="00451956" w:rsidRDefault="00451956" w:rsidP="00451956">
      <w:pPr>
        <w:numPr>
          <w:ilvl w:val="1"/>
          <w:numId w:val="2"/>
        </w:numPr>
        <w:tabs>
          <w:tab w:val="left" w:pos="1298"/>
          <w:tab w:val="left" w:pos="1440"/>
        </w:tabs>
        <w:spacing w:line="276" w:lineRule="auto"/>
        <w:ind w:left="0" w:firstLine="720"/>
        <w:jc w:val="both"/>
        <w:rPr>
          <w:rFonts w:cs="Times New Roman"/>
          <w:snapToGrid w:val="0"/>
          <w:szCs w:val="24"/>
        </w:rPr>
      </w:pPr>
      <w:r w:rsidRPr="00451956">
        <w:rPr>
          <w:rFonts w:cs="Times New Roman"/>
          <w:snapToGrid w:val="0"/>
          <w:szCs w:val="24"/>
        </w:rPr>
        <w:t>12-ojo VSAFAS „Ilgalaikis materialusis turtas“;</w:t>
      </w:r>
    </w:p>
    <w:p w14:paraId="103F24E7" w14:textId="77777777" w:rsidR="00451956" w:rsidRPr="00451956" w:rsidRDefault="00451956" w:rsidP="00451956">
      <w:pPr>
        <w:numPr>
          <w:ilvl w:val="1"/>
          <w:numId w:val="2"/>
        </w:numPr>
        <w:tabs>
          <w:tab w:val="left" w:pos="1298"/>
          <w:tab w:val="left" w:pos="1440"/>
        </w:tabs>
        <w:spacing w:line="276" w:lineRule="auto"/>
        <w:ind w:left="0" w:firstLine="720"/>
        <w:jc w:val="both"/>
        <w:rPr>
          <w:rFonts w:cs="Times New Roman"/>
          <w:snapToGrid w:val="0"/>
          <w:szCs w:val="24"/>
        </w:rPr>
      </w:pPr>
      <w:r w:rsidRPr="00451956">
        <w:t>13-ojo VSAFAS „Nematerialusis turtas“</w:t>
      </w:r>
      <w:r w:rsidRPr="00451956">
        <w:rPr>
          <w:rFonts w:cs="Times New Roman"/>
          <w:snapToGrid w:val="0"/>
          <w:szCs w:val="24"/>
        </w:rPr>
        <w:t>;</w:t>
      </w:r>
    </w:p>
    <w:p w14:paraId="617764DE" w14:textId="77777777" w:rsidR="00451956" w:rsidRPr="00451956" w:rsidRDefault="00451956" w:rsidP="00451956">
      <w:pPr>
        <w:numPr>
          <w:ilvl w:val="1"/>
          <w:numId w:val="2"/>
        </w:numPr>
        <w:tabs>
          <w:tab w:val="left" w:pos="1298"/>
          <w:tab w:val="left" w:pos="1440"/>
        </w:tabs>
        <w:spacing w:line="276" w:lineRule="auto"/>
        <w:ind w:left="0" w:firstLine="720"/>
        <w:jc w:val="both"/>
        <w:rPr>
          <w:rFonts w:cs="Times New Roman"/>
          <w:snapToGrid w:val="0"/>
          <w:szCs w:val="24"/>
        </w:rPr>
      </w:pPr>
      <w:r w:rsidRPr="00451956">
        <w:t>14-ojo VSAFAS „Jungimai ir investicijos į asocijuotuosius subjektus“;</w:t>
      </w:r>
    </w:p>
    <w:p w14:paraId="3C658645" w14:textId="77777777" w:rsidR="00451956" w:rsidRPr="00451956" w:rsidRDefault="00451956" w:rsidP="00451956">
      <w:pPr>
        <w:numPr>
          <w:ilvl w:val="1"/>
          <w:numId w:val="2"/>
        </w:numPr>
        <w:tabs>
          <w:tab w:val="left" w:pos="1260"/>
          <w:tab w:val="left" w:pos="1298"/>
        </w:tabs>
        <w:spacing w:line="276" w:lineRule="auto"/>
        <w:ind w:left="0" w:firstLine="720"/>
        <w:jc w:val="both"/>
        <w:rPr>
          <w:rFonts w:cs="Times New Roman"/>
          <w:snapToGrid w:val="0"/>
          <w:szCs w:val="24"/>
        </w:rPr>
      </w:pPr>
      <w:r w:rsidRPr="00451956">
        <w:t>15-ojo VSAFAS „Konsoliduotųjų finansinių ataskaitų rinkinys ir investicijos į kontroliuojamus subjektus“;</w:t>
      </w:r>
    </w:p>
    <w:p w14:paraId="1DDCD4F1" w14:textId="77777777" w:rsidR="00451956" w:rsidRPr="00451956" w:rsidRDefault="00451956" w:rsidP="00451956">
      <w:pPr>
        <w:numPr>
          <w:ilvl w:val="1"/>
          <w:numId w:val="2"/>
        </w:numPr>
        <w:tabs>
          <w:tab w:val="left" w:pos="1260"/>
          <w:tab w:val="left" w:pos="1298"/>
        </w:tabs>
        <w:spacing w:line="276" w:lineRule="auto"/>
        <w:ind w:left="0" w:firstLine="720"/>
        <w:jc w:val="both"/>
      </w:pPr>
      <w:r w:rsidRPr="00451956">
        <w:t>16-ojo VSAFAS „Biologinis turtas ir mineraliniai ištekliai“;</w:t>
      </w:r>
    </w:p>
    <w:p w14:paraId="3BE1ED27" w14:textId="77777777" w:rsidR="00451956" w:rsidRPr="00451956" w:rsidRDefault="00451956" w:rsidP="00451956">
      <w:pPr>
        <w:numPr>
          <w:ilvl w:val="1"/>
          <w:numId w:val="2"/>
        </w:numPr>
        <w:tabs>
          <w:tab w:val="left" w:pos="1260"/>
          <w:tab w:val="left" w:pos="1298"/>
        </w:tabs>
        <w:spacing w:line="276" w:lineRule="auto"/>
        <w:ind w:left="0" w:firstLine="720"/>
        <w:jc w:val="both"/>
      </w:pPr>
      <w:r w:rsidRPr="00451956">
        <w:t>24-ojo VSAFAS „Su darbo santykiais susijusios išmokos“.</w:t>
      </w:r>
    </w:p>
    <w:p w14:paraId="6553D592" w14:textId="77777777" w:rsidR="00451956" w:rsidRPr="00451956" w:rsidRDefault="00451956" w:rsidP="00451956">
      <w:pPr>
        <w:numPr>
          <w:ilvl w:val="0"/>
          <w:numId w:val="2"/>
        </w:numPr>
        <w:tabs>
          <w:tab w:val="clear" w:pos="4188"/>
          <w:tab w:val="num" w:pos="360"/>
          <w:tab w:val="left" w:pos="1260"/>
          <w:tab w:val="left" w:pos="1298"/>
        </w:tabs>
        <w:spacing w:line="276" w:lineRule="auto"/>
        <w:ind w:left="0" w:firstLine="720"/>
        <w:jc w:val="both"/>
      </w:pPr>
      <w:r w:rsidRPr="00451956">
        <w:t>Visos ūkinės operacijos ir ūkiniai įvykiai registruojami eurais ir centais. Rengiant metines finansinės atskaitomybės ataskaitas taikomas reikšmingumo kriterijus yra 0,25 proc. nuo viso turto.</w:t>
      </w:r>
    </w:p>
    <w:p w14:paraId="5C352B29" w14:textId="77777777" w:rsidR="00451956" w:rsidRPr="00451956" w:rsidRDefault="00451956" w:rsidP="00451956">
      <w:pPr>
        <w:tabs>
          <w:tab w:val="left" w:pos="1298"/>
        </w:tabs>
        <w:spacing w:line="276" w:lineRule="auto"/>
        <w:jc w:val="both"/>
        <w:rPr>
          <w:bCs/>
          <w:iCs/>
        </w:rPr>
      </w:pPr>
      <w:bookmarkStart w:id="19" w:name="_Ref140565456"/>
      <w:bookmarkEnd w:id="18"/>
    </w:p>
    <w:p w14:paraId="7EC5BE06" w14:textId="77777777" w:rsidR="00451956" w:rsidRPr="00451956" w:rsidRDefault="00451956" w:rsidP="00451956">
      <w:pPr>
        <w:keepNext/>
        <w:tabs>
          <w:tab w:val="left" w:pos="1298"/>
        </w:tabs>
        <w:spacing w:after="120" w:line="276" w:lineRule="auto"/>
        <w:jc w:val="center"/>
        <w:outlineLvl w:val="1"/>
        <w:rPr>
          <w:b/>
          <w:bCs/>
          <w:szCs w:val="24"/>
        </w:rPr>
      </w:pPr>
      <w:bookmarkStart w:id="20" w:name="_Toc200345194"/>
      <w:bookmarkStart w:id="21" w:name="_Toc233421905"/>
      <w:bookmarkEnd w:id="19"/>
      <w:r w:rsidRPr="00451956">
        <w:rPr>
          <w:b/>
          <w:bCs/>
          <w:szCs w:val="24"/>
        </w:rPr>
        <w:t>Finansinis turtas</w:t>
      </w:r>
      <w:bookmarkEnd w:id="20"/>
      <w:bookmarkEnd w:id="21"/>
    </w:p>
    <w:p w14:paraId="0317EF3C" w14:textId="77777777" w:rsidR="00451956" w:rsidRPr="00451956" w:rsidRDefault="00451956" w:rsidP="00451956">
      <w:pPr>
        <w:tabs>
          <w:tab w:val="left" w:pos="1298"/>
        </w:tabs>
        <w:spacing w:line="276" w:lineRule="auto"/>
      </w:pPr>
    </w:p>
    <w:p w14:paraId="4841786F" w14:textId="77777777" w:rsidR="00451956" w:rsidRPr="00451956" w:rsidRDefault="00451956" w:rsidP="00451956">
      <w:pPr>
        <w:numPr>
          <w:ilvl w:val="0"/>
          <w:numId w:val="2"/>
        </w:numPr>
        <w:tabs>
          <w:tab w:val="clear" w:pos="4188"/>
          <w:tab w:val="num" w:pos="360"/>
          <w:tab w:val="left" w:pos="1260"/>
          <w:tab w:val="left" w:pos="1298"/>
        </w:tabs>
        <w:spacing w:line="276" w:lineRule="auto"/>
        <w:ind w:left="0" w:firstLine="720"/>
        <w:jc w:val="both"/>
      </w:pPr>
      <w:r w:rsidRPr="00451956">
        <w:t>Finansinio turto apskaita tvarkoma pagal 17-ojo VSAFAS „Finansinis turtas ir finansiniai įsipareigojimai“ reikalavimus</w:t>
      </w:r>
      <w:r w:rsidRPr="00451956">
        <w:rPr>
          <w:color w:val="000000"/>
        </w:rPr>
        <w:t>.</w:t>
      </w:r>
    </w:p>
    <w:p w14:paraId="12B6178A" w14:textId="77777777" w:rsidR="00451956" w:rsidRPr="00451956" w:rsidRDefault="00451956" w:rsidP="00451956">
      <w:pPr>
        <w:numPr>
          <w:ilvl w:val="0"/>
          <w:numId w:val="2"/>
        </w:numPr>
        <w:tabs>
          <w:tab w:val="clear" w:pos="4188"/>
          <w:tab w:val="num" w:pos="360"/>
          <w:tab w:val="left" w:pos="1260"/>
          <w:tab w:val="left" w:pos="1298"/>
        </w:tabs>
        <w:spacing w:line="276" w:lineRule="auto"/>
        <w:ind w:left="0" w:firstLine="720"/>
        <w:jc w:val="both"/>
      </w:pPr>
      <w:r w:rsidRPr="00451956">
        <w:t xml:space="preserve">Pirminio pripažinimo metu finansinis turtas įvertinamas ir apskaitoje registruojamas įsigijimo savikaina </w:t>
      </w:r>
      <w:r w:rsidRPr="00451956">
        <w:rPr>
          <w:lang w:eastAsia="en-US"/>
        </w:rPr>
        <w:t>pagal jo pagrindimo dokumentus.</w:t>
      </w:r>
    </w:p>
    <w:p w14:paraId="6EB1D21C" w14:textId="77777777" w:rsidR="00451956" w:rsidRPr="00451956" w:rsidRDefault="00451956" w:rsidP="00451956">
      <w:pPr>
        <w:numPr>
          <w:ilvl w:val="0"/>
          <w:numId w:val="2"/>
        </w:numPr>
        <w:tabs>
          <w:tab w:val="clear" w:pos="4188"/>
          <w:tab w:val="num" w:pos="360"/>
          <w:tab w:val="left" w:pos="1260"/>
          <w:tab w:val="left" w:pos="1298"/>
        </w:tabs>
        <w:spacing w:line="276" w:lineRule="auto"/>
        <w:ind w:left="0" w:firstLine="720"/>
        <w:jc w:val="both"/>
        <w:rPr>
          <w:rFonts w:cs="Times New Roman"/>
          <w:i/>
          <w:szCs w:val="24"/>
        </w:rPr>
      </w:pPr>
      <w:r w:rsidRPr="00451956">
        <w:t xml:space="preserve">IAENF </w:t>
      </w:r>
      <w:r w:rsidRPr="00451956">
        <w:rPr>
          <w:rFonts w:cs="Times New Roman"/>
          <w:szCs w:val="24"/>
        </w:rPr>
        <w:t>finansinis turtas yra skirstomas į ilgalaikį ir trumpalaikį. Nustatant, ar finansinis turtas priskirtinas ilgalaikiam ar trumpalaikiam, įvertinamas pinigų ar kito finansinio turto už jį atgavimas per 12 mėnesių skaičiuojant nuo einamojo ataskaitinio laikotarpio paskutinės dienos.</w:t>
      </w:r>
    </w:p>
    <w:p w14:paraId="36D6793A" w14:textId="64751A93" w:rsidR="00451956" w:rsidRPr="00451956" w:rsidRDefault="00451956" w:rsidP="00451956">
      <w:pPr>
        <w:numPr>
          <w:ilvl w:val="0"/>
          <w:numId w:val="2"/>
        </w:numPr>
        <w:tabs>
          <w:tab w:val="clear" w:pos="4188"/>
          <w:tab w:val="num" w:pos="360"/>
          <w:tab w:val="left" w:pos="1260"/>
          <w:tab w:val="left" w:pos="1298"/>
        </w:tabs>
        <w:spacing w:line="276" w:lineRule="auto"/>
        <w:ind w:left="0" w:firstLine="720"/>
        <w:jc w:val="both"/>
        <w:rPr>
          <w:szCs w:val="24"/>
        </w:rPr>
      </w:pPr>
      <w:r w:rsidRPr="00451956">
        <w:t>Prie IAENF finansinio turto priskiriamos: l</w:t>
      </w:r>
      <w:r w:rsidRPr="00451956">
        <w:rPr>
          <w:rFonts w:cs="Times New Roman"/>
          <w:szCs w:val="24"/>
        </w:rPr>
        <w:t>aikinai laisvos IAENF lėšos</w:t>
      </w:r>
      <w:r w:rsidR="00A354EA">
        <w:rPr>
          <w:rFonts w:cs="Times New Roman"/>
          <w:szCs w:val="24"/>
        </w:rPr>
        <w:t>,</w:t>
      </w:r>
      <w:r w:rsidRPr="00451956">
        <w:rPr>
          <w:rFonts w:cs="Times New Roman"/>
          <w:szCs w:val="24"/>
        </w:rPr>
        <w:t xml:space="preserve"> investuojamos laikantis </w:t>
      </w:r>
      <w:r w:rsidRPr="00451956">
        <w:rPr>
          <w:szCs w:val="24"/>
        </w:rPr>
        <w:t>Laikinai laisvų valstybės piniginių išteklių investavimo taisyklių</w:t>
      </w:r>
      <w:r w:rsidRPr="00451956">
        <w:t>, išankstiniai apmokėjimai ir gautinos sumos.</w:t>
      </w:r>
    </w:p>
    <w:p w14:paraId="5CF5860D" w14:textId="39F764E8" w:rsidR="00451956" w:rsidRPr="00451956" w:rsidRDefault="00451956" w:rsidP="00451956">
      <w:pPr>
        <w:numPr>
          <w:ilvl w:val="0"/>
          <w:numId w:val="2"/>
        </w:numPr>
        <w:tabs>
          <w:tab w:val="clear" w:pos="4188"/>
          <w:tab w:val="num" w:pos="360"/>
          <w:tab w:val="left" w:pos="1260"/>
          <w:tab w:val="left" w:pos="1298"/>
        </w:tabs>
        <w:spacing w:line="276" w:lineRule="auto"/>
        <w:ind w:left="0" w:firstLine="720"/>
        <w:jc w:val="both"/>
        <w:rPr>
          <w:rFonts w:cs="Times New Roman"/>
          <w:szCs w:val="24"/>
        </w:rPr>
      </w:pPr>
      <w:r w:rsidRPr="00451956">
        <w:rPr>
          <w:rFonts w:cs="Times New Roman"/>
          <w:szCs w:val="24"/>
        </w:rPr>
        <w:t xml:space="preserve">Laikinai laisvos IAENF lėšos gali būti investuojamos tik į šį finansinį turtą, laikantis </w:t>
      </w:r>
      <w:r w:rsidRPr="00451956">
        <w:rPr>
          <w:szCs w:val="24"/>
        </w:rPr>
        <w:t>Laikinai laisvų valstybės piniginių išteklių investavimo taisyklių nustatytų apribojimų</w:t>
      </w:r>
      <w:r w:rsidRPr="00451956">
        <w:rPr>
          <w:rFonts w:cs="Times New Roman"/>
          <w:szCs w:val="24"/>
        </w:rPr>
        <w:t>:</w:t>
      </w:r>
    </w:p>
    <w:p w14:paraId="522494B6" w14:textId="77777777" w:rsidR="00451956" w:rsidRPr="00451956" w:rsidRDefault="00451956" w:rsidP="00451956">
      <w:pPr>
        <w:numPr>
          <w:ilvl w:val="1"/>
          <w:numId w:val="2"/>
        </w:numPr>
        <w:tabs>
          <w:tab w:val="left" w:pos="1298"/>
        </w:tabs>
        <w:spacing w:line="276" w:lineRule="auto"/>
        <w:ind w:left="0" w:firstLine="720"/>
        <w:jc w:val="both"/>
        <w:rPr>
          <w:rFonts w:cs="Times New Roman"/>
          <w:szCs w:val="24"/>
        </w:rPr>
      </w:pPr>
      <w:r w:rsidRPr="00451956">
        <w:rPr>
          <w:rFonts w:cs="Times New Roman"/>
          <w:szCs w:val="24"/>
        </w:rPr>
        <w:t>Lietuvos Respublikos Vyriausybės ir užsienio valstybių vyriausybių išleistus skolos vertybinius popierius ir pinigų rinkos priemones;</w:t>
      </w:r>
    </w:p>
    <w:p w14:paraId="6069EAD9" w14:textId="77777777" w:rsidR="00451956" w:rsidRPr="00451956" w:rsidRDefault="00451956" w:rsidP="00451956">
      <w:pPr>
        <w:numPr>
          <w:ilvl w:val="1"/>
          <w:numId w:val="2"/>
        </w:numPr>
        <w:tabs>
          <w:tab w:val="left" w:pos="1298"/>
        </w:tabs>
        <w:spacing w:line="276" w:lineRule="auto"/>
        <w:ind w:left="0" w:firstLine="720"/>
        <w:jc w:val="both"/>
        <w:rPr>
          <w:rFonts w:cs="Times New Roman"/>
          <w:szCs w:val="24"/>
        </w:rPr>
      </w:pPr>
      <w:r w:rsidRPr="00451956">
        <w:rPr>
          <w:rFonts w:cs="Times New Roman"/>
          <w:szCs w:val="24"/>
        </w:rPr>
        <w:t>Lietuvos banko, užsienio valstybės centrinio banko, Europos centrinio banko, tarptautinės organizacijos, kuriai priklauso bent viena Europos Sąjungos valstybė narė, išleistus skolos vertybinius popierius ir pinigų rinkos priemones;</w:t>
      </w:r>
    </w:p>
    <w:p w14:paraId="5A6373C7" w14:textId="77777777" w:rsidR="00451956" w:rsidRPr="00451956" w:rsidRDefault="00451956" w:rsidP="00451956">
      <w:pPr>
        <w:numPr>
          <w:ilvl w:val="1"/>
          <w:numId w:val="2"/>
        </w:numPr>
        <w:tabs>
          <w:tab w:val="left" w:pos="1298"/>
        </w:tabs>
        <w:spacing w:line="276" w:lineRule="auto"/>
        <w:ind w:left="0" w:firstLine="720"/>
        <w:jc w:val="both"/>
        <w:rPr>
          <w:rFonts w:cs="Times New Roman"/>
          <w:szCs w:val="24"/>
        </w:rPr>
      </w:pPr>
      <w:r w:rsidRPr="00451956">
        <w:rPr>
          <w:rFonts w:cs="Times New Roman"/>
          <w:szCs w:val="24"/>
        </w:rPr>
        <w:lastRenderedPageBreak/>
        <w:t>Lietuvos Respublikos ir užsienio valstybių komercinių bankų išleistus skolos vertybinius popierius ir pinigų rinkos priemones;</w:t>
      </w:r>
    </w:p>
    <w:p w14:paraId="345D772E" w14:textId="77777777" w:rsidR="00451956" w:rsidRPr="00451956" w:rsidRDefault="00451956" w:rsidP="00451956">
      <w:pPr>
        <w:numPr>
          <w:ilvl w:val="1"/>
          <w:numId w:val="2"/>
        </w:numPr>
        <w:tabs>
          <w:tab w:val="left" w:pos="1298"/>
        </w:tabs>
        <w:spacing w:line="276" w:lineRule="auto"/>
        <w:ind w:left="0" w:firstLine="720"/>
        <w:jc w:val="both"/>
        <w:rPr>
          <w:rFonts w:cs="Times New Roman"/>
          <w:szCs w:val="24"/>
        </w:rPr>
      </w:pPr>
      <w:r w:rsidRPr="00451956">
        <w:rPr>
          <w:rFonts w:cs="Times New Roman"/>
          <w:szCs w:val="24"/>
        </w:rPr>
        <w:t>terminuotuosius indėlius Lietuvos banke;</w:t>
      </w:r>
    </w:p>
    <w:p w14:paraId="00B1EA0B" w14:textId="77777777" w:rsidR="00451956" w:rsidRPr="00451956" w:rsidRDefault="00451956" w:rsidP="00451956">
      <w:pPr>
        <w:numPr>
          <w:ilvl w:val="1"/>
          <w:numId w:val="2"/>
        </w:numPr>
        <w:tabs>
          <w:tab w:val="left" w:pos="1298"/>
        </w:tabs>
        <w:spacing w:line="276" w:lineRule="auto"/>
        <w:ind w:left="0" w:firstLine="720"/>
        <w:jc w:val="both"/>
        <w:rPr>
          <w:rFonts w:cs="Times New Roman"/>
          <w:szCs w:val="24"/>
        </w:rPr>
      </w:pPr>
      <w:r w:rsidRPr="00451956">
        <w:rPr>
          <w:rFonts w:cs="Times New Roman"/>
          <w:szCs w:val="24"/>
        </w:rPr>
        <w:t>terminuotuosius indėlius Lietuvos Respublikos ir užsienio valstybių komerciniuose bankuose;</w:t>
      </w:r>
    </w:p>
    <w:p w14:paraId="446C62AA" w14:textId="77777777" w:rsidR="00451956" w:rsidRPr="00451956" w:rsidRDefault="00451956" w:rsidP="00451956">
      <w:pPr>
        <w:numPr>
          <w:ilvl w:val="1"/>
          <w:numId w:val="2"/>
        </w:numPr>
        <w:tabs>
          <w:tab w:val="left" w:pos="1298"/>
        </w:tabs>
        <w:spacing w:line="276" w:lineRule="auto"/>
        <w:ind w:left="0" w:firstLine="720"/>
        <w:jc w:val="both"/>
        <w:rPr>
          <w:rFonts w:cs="Times New Roman"/>
          <w:szCs w:val="24"/>
        </w:rPr>
      </w:pPr>
      <w:r w:rsidRPr="00451956">
        <w:rPr>
          <w:rFonts w:cs="Times New Roman"/>
          <w:szCs w:val="24"/>
        </w:rPr>
        <w:t>Lietuvos Respublikoje arba kitoje Europos Sąjungos valstybėje narėje įsteigto kolektyvinio investavimo subjekto viešai platinamus investicinius vienetus (akcijas), jeigu kolektyvinio investavimo subjekto investicijų portfelį sudaro šio apskaitos vadovo nurodyti skolos vertybiniai popieriai ir pinigų rinkos priemonės, taip pat Lietuvos Respublikos Vyriausybės ir užsienio valstybių vyriausybių, regioninės valdžios, savivaldybės išleisti arba garantuoti skolos vertybiniai popieriai ir pinigų rinkos priemonės.</w:t>
      </w:r>
    </w:p>
    <w:p w14:paraId="0D11F638" w14:textId="77777777" w:rsidR="00451956" w:rsidRPr="00451956" w:rsidRDefault="00743DEE" w:rsidP="00266889">
      <w:pPr>
        <w:numPr>
          <w:ilvl w:val="0"/>
          <w:numId w:val="2"/>
        </w:numPr>
        <w:tabs>
          <w:tab w:val="clear" w:pos="4188"/>
          <w:tab w:val="num" w:pos="709"/>
        </w:tabs>
        <w:spacing w:line="276" w:lineRule="auto"/>
        <w:ind w:left="851" w:hanging="4112"/>
        <w:jc w:val="both"/>
        <w:rPr>
          <w:rFonts w:cs="Times New Roman"/>
          <w:szCs w:val="24"/>
        </w:rPr>
      </w:pPr>
      <w:r>
        <w:rPr>
          <w:rFonts w:cs="Times New Roman"/>
          <w:color w:val="000000"/>
          <w:szCs w:val="24"/>
        </w:rPr>
        <w:t>19</w:t>
      </w:r>
      <w:r w:rsidR="00451956" w:rsidRPr="00451956">
        <w:rPr>
          <w:rFonts w:cs="Times New Roman"/>
          <w:color w:val="000000"/>
          <w:szCs w:val="24"/>
        </w:rPr>
        <w:t xml:space="preserve">. </w:t>
      </w:r>
      <w:r w:rsidR="00266889">
        <w:rPr>
          <w:rFonts w:cs="Times New Roman"/>
          <w:color w:val="000000"/>
          <w:szCs w:val="24"/>
        </w:rPr>
        <w:tab/>
      </w:r>
      <w:r w:rsidR="00451956" w:rsidRPr="00451956">
        <w:rPr>
          <w:rFonts w:cs="Times New Roman"/>
          <w:color w:val="000000"/>
          <w:szCs w:val="24"/>
        </w:rPr>
        <w:t>Finansinis turtas skirstomas į tris grupes:</w:t>
      </w:r>
    </w:p>
    <w:p w14:paraId="051F74D9" w14:textId="77777777" w:rsidR="00451956" w:rsidRPr="00451956" w:rsidRDefault="00451956" w:rsidP="00451956">
      <w:pPr>
        <w:numPr>
          <w:ilvl w:val="1"/>
          <w:numId w:val="2"/>
        </w:numPr>
        <w:spacing w:line="276" w:lineRule="auto"/>
        <w:ind w:left="0" w:firstLine="737"/>
        <w:jc w:val="both"/>
        <w:rPr>
          <w:rFonts w:cs="Times New Roman"/>
          <w:szCs w:val="24"/>
        </w:rPr>
      </w:pPr>
      <w:r w:rsidRPr="00451956">
        <w:rPr>
          <w:rFonts w:cs="Times New Roman"/>
          <w:color w:val="000000"/>
          <w:szCs w:val="24"/>
        </w:rPr>
        <w:t>parduoti laikomą finansinį turtą;</w:t>
      </w:r>
    </w:p>
    <w:p w14:paraId="22D26CA5" w14:textId="77777777" w:rsidR="00451956" w:rsidRPr="00451956" w:rsidRDefault="00451956" w:rsidP="00451956">
      <w:pPr>
        <w:numPr>
          <w:ilvl w:val="1"/>
          <w:numId w:val="2"/>
        </w:numPr>
        <w:spacing w:line="276" w:lineRule="auto"/>
        <w:ind w:left="0" w:firstLine="737"/>
        <w:jc w:val="both"/>
        <w:rPr>
          <w:rFonts w:cs="Times New Roman"/>
          <w:szCs w:val="24"/>
        </w:rPr>
      </w:pPr>
      <w:r w:rsidRPr="00451956">
        <w:rPr>
          <w:rFonts w:cs="Times New Roman"/>
          <w:color w:val="000000"/>
          <w:szCs w:val="24"/>
        </w:rPr>
        <w:t>iki išpirkimo termino laikomą finansinį turtą;</w:t>
      </w:r>
    </w:p>
    <w:p w14:paraId="7D9EB82D" w14:textId="77777777" w:rsidR="00451956" w:rsidRPr="00451956" w:rsidRDefault="00451956" w:rsidP="00451956">
      <w:pPr>
        <w:numPr>
          <w:ilvl w:val="1"/>
          <w:numId w:val="2"/>
        </w:numPr>
        <w:spacing w:line="276" w:lineRule="auto"/>
        <w:ind w:left="0" w:firstLine="737"/>
        <w:jc w:val="both"/>
        <w:rPr>
          <w:rFonts w:cs="Times New Roman"/>
          <w:szCs w:val="24"/>
        </w:rPr>
      </w:pPr>
      <w:r w:rsidRPr="00451956">
        <w:rPr>
          <w:rFonts w:cs="Times New Roman"/>
          <w:color w:val="000000"/>
          <w:szCs w:val="24"/>
        </w:rPr>
        <w:t>gautinas sumas.</w:t>
      </w:r>
    </w:p>
    <w:p w14:paraId="4D0C8611" w14:textId="77777777" w:rsidR="00451956" w:rsidRPr="00451956" w:rsidRDefault="00451956" w:rsidP="00451956">
      <w:pPr>
        <w:numPr>
          <w:ilvl w:val="0"/>
          <w:numId w:val="2"/>
        </w:numPr>
        <w:tabs>
          <w:tab w:val="clear" w:pos="4188"/>
          <w:tab w:val="num" w:pos="360"/>
          <w:tab w:val="left" w:pos="993"/>
        </w:tabs>
        <w:spacing w:line="276" w:lineRule="auto"/>
        <w:ind w:left="142" w:firstLine="567"/>
        <w:jc w:val="both"/>
        <w:rPr>
          <w:rFonts w:cs="Times New Roman"/>
          <w:szCs w:val="24"/>
        </w:rPr>
      </w:pPr>
      <w:r w:rsidRPr="00451956">
        <w:rPr>
          <w:color w:val="000000"/>
        </w:rPr>
        <w:t xml:space="preserve">Finansinis turtas priskiriamas prie iki išpirkimo termino laikomo finansinio turto tik tada, kai IAENF ketina ir sugebės jį laikyti iki išpirkimo termino. Iki išpirkimo termino laikomo finansinio turto pavyzdžiai gali būti obligacijos su nustatyta išpirkimo data. </w:t>
      </w:r>
      <w:r w:rsidRPr="00451956">
        <w:t>Įsigytos obligacijos fondo apskaitoje registruojamos ilgalaikio) finansinio turto (atsižvelgiant į obligacijų išpirkimo terminą) sąskaitoje įsigijimo savikaina. Kai obligacijos užregistruotos ilgalaikiame turte, likus mažiau kaip 12 mėn. iki jų išpirkimo termino, perkeliamos į trumpalaikį turtą.</w:t>
      </w:r>
    </w:p>
    <w:p w14:paraId="74800D6B" w14:textId="77777777" w:rsidR="00451956" w:rsidRPr="00451956" w:rsidRDefault="00451956" w:rsidP="00451956">
      <w:pPr>
        <w:numPr>
          <w:ilvl w:val="0"/>
          <w:numId w:val="2"/>
        </w:numPr>
        <w:tabs>
          <w:tab w:val="clear" w:pos="4188"/>
          <w:tab w:val="num" w:pos="360"/>
          <w:tab w:val="left" w:pos="993"/>
        </w:tabs>
        <w:spacing w:line="276" w:lineRule="auto"/>
        <w:ind w:left="142" w:firstLine="567"/>
        <w:jc w:val="both"/>
        <w:rPr>
          <w:rFonts w:cs="Times New Roman"/>
          <w:szCs w:val="24"/>
        </w:rPr>
      </w:pPr>
      <w:r w:rsidRPr="00451956">
        <w:rPr>
          <w:color w:val="000000"/>
        </w:rPr>
        <w:t>Kiekvieną kartą sudarant finansines ataskaitas, finansinis turtas iš naujo įvertinamas taip:</w:t>
      </w:r>
    </w:p>
    <w:p w14:paraId="6F8FBA81" w14:textId="6D2C4BD3" w:rsidR="00451956" w:rsidRPr="00451956" w:rsidRDefault="008F772B" w:rsidP="00451956">
      <w:pPr>
        <w:spacing w:line="276" w:lineRule="auto"/>
        <w:ind w:firstLine="709"/>
        <w:jc w:val="both"/>
        <w:rPr>
          <w:rFonts w:cs="Times New Roman"/>
          <w:szCs w:val="24"/>
        </w:rPr>
      </w:pPr>
      <w:r>
        <w:rPr>
          <w:color w:val="000000"/>
        </w:rPr>
        <w:t>21</w:t>
      </w:r>
      <w:r w:rsidR="00451956" w:rsidRPr="00451956">
        <w:rPr>
          <w:color w:val="000000"/>
        </w:rPr>
        <w:t xml:space="preserve">.1. </w:t>
      </w:r>
      <w:r w:rsidR="00451956" w:rsidRPr="00451956">
        <w:rPr>
          <w:rFonts w:cs="Times New Roman"/>
          <w:color w:val="000000"/>
          <w:szCs w:val="24"/>
        </w:rPr>
        <w:t>parduoti laikomas – tikrąja verte, išskyrus 17 VSAFAS nustatytus atvejus;</w:t>
      </w:r>
    </w:p>
    <w:p w14:paraId="77F2D1C8" w14:textId="28DADB74" w:rsidR="00451956" w:rsidRPr="00451956" w:rsidRDefault="008F772B" w:rsidP="00451956">
      <w:pPr>
        <w:spacing w:line="276" w:lineRule="auto"/>
        <w:ind w:firstLine="709"/>
        <w:jc w:val="both"/>
        <w:rPr>
          <w:rFonts w:cs="Times New Roman"/>
          <w:szCs w:val="24"/>
        </w:rPr>
      </w:pPr>
      <w:r>
        <w:rPr>
          <w:rFonts w:cs="Times New Roman"/>
          <w:color w:val="000000"/>
          <w:szCs w:val="24"/>
        </w:rPr>
        <w:t>21</w:t>
      </w:r>
      <w:r w:rsidR="00451956" w:rsidRPr="00451956">
        <w:rPr>
          <w:rFonts w:cs="Times New Roman"/>
          <w:color w:val="000000"/>
          <w:szCs w:val="24"/>
        </w:rPr>
        <w:t>.2. iki išpirkimo termino laikomas finansinis turtas – amortizuota savikaina;</w:t>
      </w:r>
    </w:p>
    <w:p w14:paraId="3966EDA7" w14:textId="1A2C7307" w:rsidR="00451956" w:rsidRPr="00451956" w:rsidRDefault="008F772B" w:rsidP="00451956">
      <w:pPr>
        <w:spacing w:line="276" w:lineRule="auto"/>
        <w:ind w:firstLine="709"/>
        <w:jc w:val="both"/>
        <w:rPr>
          <w:rFonts w:cs="Times New Roman"/>
          <w:szCs w:val="24"/>
        </w:rPr>
      </w:pPr>
      <w:r>
        <w:rPr>
          <w:rFonts w:cs="Times New Roman"/>
          <w:color w:val="000000"/>
          <w:szCs w:val="24"/>
        </w:rPr>
        <w:t>21</w:t>
      </w:r>
      <w:r w:rsidR="00451956" w:rsidRPr="00451956">
        <w:rPr>
          <w:rFonts w:cs="Times New Roman"/>
          <w:color w:val="000000"/>
          <w:szCs w:val="24"/>
        </w:rPr>
        <w:t>.3. po vienų metų gautinos sumos – amortizuota savikaina;</w:t>
      </w:r>
    </w:p>
    <w:p w14:paraId="3CB7ED38" w14:textId="2289ECFE" w:rsidR="00451956" w:rsidRPr="00451956" w:rsidRDefault="008F772B" w:rsidP="00451956">
      <w:pPr>
        <w:spacing w:line="276" w:lineRule="auto"/>
        <w:ind w:firstLine="709"/>
        <w:jc w:val="both"/>
        <w:rPr>
          <w:rFonts w:cs="Times New Roman"/>
          <w:szCs w:val="24"/>
        </w:rPr>
      </w:pPr>
      <w:r>
        <w:rPr>
          <w:rFonts w:cs="Times New Roman"/>
          <w:color w:val="000000"/>
          <w:szCs w:val="24"/>
        </w:rPr>
        <w:t>21</w:t>
      </w:r>
      <w:r w:rsidR="00451956" w:rsidRPr="00451956">
        <w:rPr>
          <w:rFonts w:cs="Times New Roman"/>
          <w:color w:val="000000"/>
          <w:szCs w:val="24"/>
        </w:rPr>
        <w:t xml:space="preserve">.4. išankstiniai apmokėjimai, per vienus metus gautinos sumos, </w:t>
      </w:r>
      <w:r w:rsidR="00451956" w:rsidRPr="00451956">
        <w:rPr>
          <w:rFonts w:cs="Times New Roman"/>
          <w:szCs w:val="24"/>
        </w:rPr>
        <w:t>išskyrus trumpalaikes paskolas, ir kitas trumpalaikis finansinis turtas – įsigijimo savikaina, atėmus nuvertėjimo nuostolius.</w:t>
      </w:r>
    </w:p>
    <w:p w14:paraId="7714571B" w14:textId="77777777" w:rsidR="00451956" w:rsidRPr="00451956" w:rsidRDefault="00451956" w:rsidP="00451956">
      <w:pPr>
        <w:numPr>
          <w:ilvl w:val="0"/>
          <w:numId w:val="2"/>
        </w:numPr>
        <w:tabs>
          <w:tab w:val="clear" w:pos="4188"/>
          <w:tab w:val="num" w:pos="360"/>
          <w:tab w:val="left" w:pos="1260"/>
          <w:tab w:val="left" w:pos="1298"/>
        </w:tabs>
        <w:spacing w:line="276" w:lineRule="auto"/>
        <w:ind w:left="0" w:firstLine="720"/>
        <w:jc w:val="both"/>
      </w:pPr>
      <w:r w:rsidRPr="00451956">
        <w:t>IAENF išankstinius apmokėjimus sudaro:</w:t>
      </w:r>
    </w:p>
    <w:p w14:paraId="625E97E0" w14:textId="77777777" w:rsidR="00451956" w:rsidRPr="00451956" w:rsidRDefault="00451956" w:rsidP="00451956">
      <w:pPr>
        <w:numPr>
          <w:ilvl w:val="1"/>
          <w:numId w:val="2"/>
        </w:numPr>
        <w:tabs>
          <w:tab w:val="left" w:pos="1260"/>
          <w:tab w:val="left" w:pos="1298"/>
          <w:tab w:val="num" w:pos="2520"/>
        </w:tabs>
        <w:spacing w:line="276" w:lineRule="auto"/>
        <w:ind w:left="0" w:firstLine="720"/>
        <w:jc w:val="both"/>
      </w:pPr>
      <w:r w:rsidRPr="00451956">
        <w:t>išankstiniai apmokėjimai;</w:t>
      </w:r>
    </w:p>
    <w:p w14:paraId="61F549F5" w14:textId="77777777" w:rsidR="00451956" w:rsidRPr="00451956" w:rsidRDefault="00451956" w:rsidP="00451956">
      <w:pPr>
        <w:numPr>
          <w:ilvl w:val="1"/>
          <w:numId w:val="2"/>
        </w:numPr>
        <w:tabs>
          <w:tab w:val="left" w:pos="1260"/>
          <w:tab w:val="left" w:pos="1298"/>
          <w:tab w:val="num" w:pos="2520"/>
        </w:tabs>
        <w:spacing w:line="276" w:lineRule="auto"/>
        <w:ind w:left="0" w:firstLine="720"/>
        <w:jc w:val="both"/>
      </w:pPr>
      <w:r w:rsidRPr="00451956">
        <w:t>ateinančių laikotarpių finansavimo sąnaudos.</w:t>
      </w:r>
    </w:p>
    <w:p w14:paraId="1A233730" w14:textId="77777777" w:rsidR="00451956" w:rsidRPr="00451956" w:rsidRDefault="00451956" w:rsidP="00451956">
      <w:pPr>
        <w:numPr>
          <w:ilvl w:val="0"/>
          <w:numId w:val="2"/>
        </w:numPr>
        <w:tabs>
          <w:tab w:val="clear" w:pos="4188"/>
          <w:tab w:val="num" w:pos="360"/>
          <w:tab w:val="left" w:pos="1260"/>
          <w:tab w:val="left" w:pos="1298"/>
        </w:tabs>
        <w:spacing w:line="276" w:lineRule="auto"/>
        <w:ind w:left="0" w:firstLine="720"/>
        <w:jc w:val="both"/>
      </w:pPr>
      <w:r w:rsidRPr="00451956">
        <w:t>IAENF gautinas sumas sudaro:</w:t>
      </w:r>
    </w:p>
    <w:p w14:paraId="5408F797" w14:textId="77777777" w:rsidR="00451956" w:rsidRPr="00451956" w:rsidRDefault="00451956" w:rsidP="00451956">
      <w:pPr>
        <w:numPr>
          <w:ilvl w:val="1"/>
          <w:numId w:val="2"/>
        </w:numPr>
        <w:tabs>
          <w:tab w:val="left" w:pos="1260"/>
          <w:tab w:val="left" w:pos="1298"/>
          <w:tab w:val="left" w:pos="1440"/>
        </w:tabs>
        <w:spacing w:line="276" w:lineRule="auto"/>
        <w:ind w:left="0" w:firstLine="720"/>
        <w:jc w:val="both"/>
      </w:pPr>
      <w:r w:rsidRPr="00451956">
        <w:t>gautinos finansavimo sumos;</w:t>
      </w:r>
    </w:p>
    <w:p w14:paraId="770F3CCF" w14:textId="77777777" w:rsidR="00451956" w:rsidRPr="00451956" w:rsidRDefault="00451956" w:rsidP="006F37DC">
      <w:pPr>
        <w:numPr>
          <w:ilvl w:val="1"/>
          <w:numId w:val="2"/>
        </w:numPr>
        <w:tabs>
          <w:tab w:val="left" w:pos="1276"/>
        </w:tabs>
        <w:spacing w:line="276" w:lineRule="auto"/>
        <w:ind w:left="0" w:firstLine="720"/>
        <w:jc w:val="both"/>
      </w:pPr>
      <w:r w:rsidRPr="00451956">
        <w:t xml:space="preserve">gautinos sumos už Ignalinos AE parduotą turtą; </w:t>
      </w:r>
    </w:p>
    <w:p w14:paraId="1E9CD30D" w14:textId="77777777" w:rsidR="00451956" w:rsidRPr="00451956" w:rsidRDefault="00451956" w:rsidP="00451956">
      <w:pPr>
        <w:numPr>
          <w:ilvl w:val="1"/>
          <w:numId w:val="2"/>
        </w:numPr>
        <w:tabs>
          <w:tab w:val="left" w:pos="1298"/>
          <w:tab w:val="left" w:pos="1440"/>
        </w:tabs>
        <w:spacing w:line="276" w:lineRule="auto"/>
        <w:ind w:left="0" w:firstLine="720"/>
        <w:jc w:val="both"/>
      </w:pPr>
      <w:r w:rsidRPr="00451956">
        <w:t>sukauptos gautinos sumos;</w:t>
      </w:r>
    </w:p>
    <w:p w14:paraId="01596B53" w14:textId="77777777" w:rsidR="00451956" w:rsidRPr="00451956" w:rsidRDefault="00451956" w:rsidP="00451956">
      <w:pPr>
        <w:numPr>
          <w:ilvl w:val="1"/>
          <w:numId w:val="2"/>
        </w:numPr>
        <w:tabs>
          <w:tab w:val="left" w:pos="1298"/>
          <w:tab w:val="left" w:pos="1440"/>
        </w:tabs>
        <w:spacing w:line="276" w:lineRule="auto"/>
        <w:ind w:left="0" w:firstLine="720"/>
        <w:jc w:val="both"/>
      </w:pPr>
      <w:r w:rsidRPr="00451956">
        <w:t>kitos gautinos sumos;</w:t>
      </w:r>
    </w:p>
    <w:p w14:paraId="5E76FB35" w14:textId="77777777" w:rsidR="00451956" w:rsidRPr="00451956" w:rsidRDefault="00451956" w:rsidP="00451956">
      <w:pPr>
        <w:numPr>
          <w:ilvl w:val="1"/>
          <w:numId w:val="2"/>
        </w:numPr>
        <w:tabs>
          <w:tab w:val="left" w:pos="1260"/>
          <w:tab w:val="left" w:pos="1298"/>
          <w:tab w:val="left" w:pos="1440"/>
        </w:tabs>
        <w:spacing w:line="276" w:lineRule="auto"/>
        <w:ind w:left="0" w:firstLine="720"/>
        <w:jc w:val="both"/>
      </w:pPr>
      <w:r w:rsidRPr="00451956">
        <w:t>gautinos palūkanos.</w:t>
      </w:r>
    </w:p>
    <w:p w14:paraId="159018F8" w14:textId="77777777" w:rsidR="00451956" w:rsidRPr="00451956" w:rsidRDefault="00451956" w:rsidP="00451956">
      <w:pPr>
        <w:numPr>
          <w:ilvl w:val="0"/>
          <w:numId w:val="2"/>
        </w:numPr>
        <w:tabs>
          <w:tab w:val="clear" w:pos="4188"/>
          <w:tab w:val="num" w:pos="360"/>
          <w:tab w:val="left" w:pos="1260"/>
          <w:tab w:val="left" w:pos="1298"/>
        </w:tabs>
        <w:spacing w:line="276" w:lineRule="auto"/>
        <w:ind w:left="0" w:firstLine="720"/>
        <w:jc w:val="both"/>
      </w:pPr>
      <w:r w:rsidRPr="00451956">
        <w:t>Išankstiniai apmokėjimai registruojami, kai avansu sumokama projektų vykdytojams – viešojo sektoriaus subjektams, o ateinančių laikotarpių finansavimo sąnaudos registruojamos, kai avansu sumokama projektų vykdytojams – ne viešojo sektoriaus subjektams. Išankstinių apmokėjimų ir ateinančių laikotarpių finansavimo sąnaudų sumažėjimas registruojamas kiekvieno ketvirčio pabaigoje pagal buhalterinę pažymą, surašomą pagal IAENF administratorių pateiktas IAENF lėšų naudojimo ataskaitas, taip:</w:t>
      </w:r>
    </w:p>
    <w:p w14:paraId="541A9292" w14:textId="77777777" w:rsidR="00451956" w:rsidRPr="00451956" w:rsidRDefault="00451956" w:rsidP="00451956">
      <w:pPr>
        <w:numPr>
          <w:ilvl w:val="1"/>
          <w:numId w:val="2"/>
        </w:numPr>
        <w:tabs>
          <w:tab w:val="left" w:pos="1260"/>
          <w:tab w:val="left" w:pos="1298"/>
          <w:tab w:val="num" w:pos="2520"/>
        </w:tabs>
        <w:spacing w:line="276" w:lineRule="auto"/>
        <w:ind w:left="0" w:firstLine="720"/>
        <w:jc w:val="both"/>
      </w:pPr>
      <w:r w:rsidRPr="00451956">
        <w:t xml:space="preserve">projektų vykdytojų – viešojo sektoriaus subjektų – patirtų sąnaudų, kurios buvo arba numatomos apmokėti iš gauto avanso, suma mažinami išankstiniai apmokėjimai ir registruojamos </w:t>
      </w:r>
      <w:r w:rsidRPr="00451956">
        <w:lastRenderedPageBreak/>
        <w:t>perduotos finansavimo sumos, jei avansas buvo sumokėtas iš IAENF gautų finansavimo sumų, arba finansavimo sąnaudos, jei avansas buvo sumokėtas iš IAENF pajamų;</w:t>
      </w:r>
    </w:p>
    <w:p w14:paraId="1A75D8E3" w14:textId="77777777" w:rsidR="00451956" w:rsidRPr="00451956" w:rsidRDefault="00451956" w:rsidP="00451956">
      <w:pPr>
        <w:numPr>
          <w:ilvl w:val="1"/>
          <w:numId w:val="2"/>
        </w:numPr>
        <w:tabs>
          <w:tab w:val="left" w:pos="1260"/>
          <w:tab w:val="left" w:pos="1298"/>
          <w:tab w:val="num" w:pos="2520"/>
        </w:tabs>
        <w:spacing w:line="276" w:lineRule="auto"/>
        <w:ind w:left="0" w:firstLine="720"/>
        <w:jc w:val="both"/>
      </w:pPr>
      <w:r w:rsidRPr="00451956">
        <w:t>projektų vykdytojų – ne viešojo sektoriaus subjektų, patirtų sąnaudų, kurios buvo arba numatomos apmokėti iš gauto avanso, suma mažinamos ateinančių laikotarpių finansavimo sąnaudos ir registruojamos finansavimo sąnaudos. Jei avansas buvo sumokėtas iš IAENF gautų finansavimo sumų, kartu registruojamos finansavimo pajamos ir panaudotos finansavimo sumos.</w:t>
      </w:r>
    </w:p>
    <w:p w14:paraId="360E3AE2" w14:textId="77777777" w:rsidR="00451956" w:rsidRPr="00451956" w:rsidRDefault="00451956" w:rsidP="00451956">
      <w:pPr>
        <w:numPr>
          <w:ilvl w:val="0"/>
          <w:numId w:val="2"/>
        </w:numPr>
        <w:tabs>
          <w:tab w:val="clear" w:pos="4188"/>
          <w:tab w:val="num" w:pos="360"/>
          <w:tab w:val="left" w:pos="1260"/>
          <w:tab w:val="left" w:pos="1298"/>
        </w:tabs>
        <w:spacing w:line="276" w:lineRule="auto"/>
        <w:ind w:left="0" w:firstLine="720"/>
        <w:jc w:val="both"/>
      </w:pPr>
      <w:r w:rsidRPr="00451956">
        <w:t>Gautinų finansavimo sumų apskaitos tvarka nustatyta šio apskaitos vadovo Apskaitos politikos Finansavimo sumų skyriuje.</w:t>
      </w:r>
    </w:p>
    <w:p w14:paraId="5AF5AF57" w14:textId="77777777" w:rsidR="00451956" w:rsidRPr="00451956" w:rsidRDefault="00451956" w:rsidP="00451956">
      <w:pPr>
        <w:numPr>
          <w:ilvl w:val="0"/>
          <w:numId w:val="2"/>
        </w:numPr>
        <w:tabs>
          <w:tab w:val="clear" w:pos="4188"/>
          <w:tab w:val="num" w:pos="360"/>
          <w:tab w:val="left" w:pos="1260"/>
          <w:tab w:val="left" w:pos="1298"/>
        </w:tabs>
        <w:spacing w:line="276" w:lineRule="auto"/>
        <w:ind w:left="0" w:firstLine="709"/>
        <w:jc w:val="both"/>
      </w:pPr>
      <w:r w:rsidRPr="00451956">
        <w:t>Gautinos sumos už Ignalinos AE parduotą turtą registruojamos kiekvieną mėnesį pagal VĮ Ignalinos AE pateiktas pajamų už parduotą turtą ataskaitas.</w:t>
      </w:r>
    </w:p>
    <w:p w14:paraId="1E548223" w14:textId="77777777" w:rsidR="00451956" w:rsidRPr="00451956" w:rsidRDefault="00451956" w:rsidP="00451956">
      <w:pPr>
        <w:numPr>
          <w:ilvl w:val="0"/>
          <w:numId w:val="2"/>
        </w:numPr>
        <w:tabs>
          <w:tab w:val="clear" w:pos="4188"/>
          <w:tab w:val="num" w:pos="360"/>
          <w:tab w:val="left" w:pos="1260"/>
          <w:tab w:val="left" w:pos="1298"/>
        </w:tabs>
        <w:spacing w:line="276" w:lineRule="auto"/>
        <w:ind w:left="0" w:firstLine="720"/>
        <w:jc w:val="both"/>
      </w:pPr>
      <w:r w:rsidRPr="00451956">
        <w:t>Gautinų palūkanų apskaitos tvarka nurodyta šio apskaitos vadovo IAENF dalies Pajamų skyriuje.</w:t>
      </w:r>
    </w:p>
    <w:p w14:paraId="2B1130EA" w14:textId="77777777" w:rsidR="00451956" w:rsidRPr="00451956" w:rsidRDefault="00451956" w:rsidP="00451956">
      <w:pPr>
        <w:numPr>
          <w:ilvl w:val="0"/>
          <w:numId w:val="2"/>
        </w:numPr>
        <w:tabs>
          <w:tab w:val="clear" w:pos="4188"/>
          <w:tab w:val="num" w:pos="360"/>
          <w:tab w:val="num" w:pos="1260"/>
          <w:tab w:val="left" w:pos="1298"/>
          <w:tab w:val="left" w:pos="1980"/>
          <w:tab w:val="left" w:pos="2160"/>
          <w:tab w:val="left" w:pos="2340"/>
        </w:tabs>
        <w:spacing w:line="276" w:lineRule="auto"/>
        <w:ind w:left="0" w:firstLine="720"/>
        <w:jc w:val="both"/>
        <w:rPr>
          <w:szCs w:val="24"/>
        </w:rPr>
      </w:pPr>
      <w:bookmarkStart w:id="22" w:name="_Ref214784860"/>
      <w:r w:rsidRPr="00451956">
        <w:rPr>
          <w:szCs w:val="24"/>
        </w:rPr>
        <w:t>Kitos gautinos sumos registruojamos pagal dokumentą, kuriuo patvirtinama IAENF teisė į gautiną sumą, šio dokumento išrašymo data.</w:t>
      </w:r>
      <w:bookmarkEnd w:id="22"/>
      <w:r w:rsidRPr="00451956">
        <w:rPr>
          <w:szCs w:val="24"/>
        </w:rPr>
        <w:t xml:space="preserve"> </w:t>
      </w:r>
    </w:p>
    <w:p w14:paraId="4D8E3D53" w14:textId="77777777" w:rsidR="00451956" w:rsidRPr="00451956" w:rsidRDefault="00451956" w:rsidP="00451956">
      <w:pPr>
        <w:numPr>
          <w:ilvl w:val="0"/>
          <w:numId w:val="2"/>
        </w:numPr>
        <w:tabs>
          <w:tab w:val="clear" w:pos="4188"/>
          <w:tab w:val="num" w:pos="360"/>
          <w:tab w:val="num" w:pos="1260"/>
          <w:tab w:val="left" w:pos="1298"/>
          <w:tab w:val="left" w:pos="1980"/>
          <w:tab w:val="left" w:pos="2160"/>
          <w:tab w:val="left" w:pos="2340"/>
        </w:tabs>
        <w:spacing w:line="276" w:lineRule="auto"/>
        <w:ind w:left="0" w:firstLine="720"/>
        <w:jc w:val="both"/>
        <w:rPr>
          <w:bCs/>
          <w:szCs w:val="24"/>
        </w:rPr>
      </w:pPr>
      <w:r w:rsidRPr="00451956">
        <w:rPr>
          <w:szCs w:val="24"/>
        </w:rPr>
        <w:t>Apskaitoje registruojamas gautinų sumų įsigijimo savikainos sumažėjimas (gautinos sumos nurašomos iš apskaitos registrų)</w:t>
      </w:r>
      <w:r w:rsidRPr="00451956">
        <w:rPr>
          <w:bCs/>
          <w:szCs w:val="24"/>
        </w:rPr>
        <w:t>, kai:</w:t>
      </w:r>
    </w:p>
    <w:p w14:paraId="64D37B75" w14:textId="77777777" w:rsidR="00451956" w:rsidRPr="00451956" w:rsidRDefault="00451956" w:rsidP="00451956">
      <w:pPr>
        <w:numPr>
          <w:ilvl w:val="1"/>
          <w:numId w:val="2"/>
        </w:numPr>
        <w:tabs>
          <w:tab w:val="left" w:pos="1298"/>
          <w:tab w:val="left" w:pos="1440"/>
          <w:tab w:val="left" w:pos="2160"/>
          <w:tab w:val="left" w:pos="2340"/>
        </w:tabs>
        <w:spacing w:line="276" w:lineRule="auto"/>
        <w:ind w:left="0" w:firstLine="720"/>
        <w:jc w:val="both"/>
        <w:rPr>
          <w:bCs/>
          <w:szCs w:val="24"/>
        </w:rPr>
      </w:pPr>
      <w:r w:rsidRPr="00451956">
        <w:rPr>
          <w:bCs/>
          <w:szCs w:val="24"/>
        </w:rPr>
        <w:t>jos gaunamos</w:t>
      </w:r>
      <w:r w:rsidRPr="00451956">
        <w:rPr>
          <w:lang w:eastAsia="en-US"/>
        </w:rPr>
        <w:t>;</w:t>
      </w:r>
    </w:p>
    <w:p w14:paraId="20341D55" w14:textId="77777777" w:rsidR="00451956" w:rsidRPr="00451956" w:rsidRDefault="00451956" w:rsidP="00451956">
      <w:pPr>
        <w:numPr>
          <w:ilvl w:val="1"/>
          <w:numId w:val="2"/>
        </w:numPr>
        <w:tabs>
          <w:tab w:val="left" w:pos="1298"/>
          <w:tab w:val="left" w:pos="1440"/>
          <w:tab w:val="num" w:pos="1980"/>
          <w:tab w:val="left" w:pos="2160"/>
          <w:tab w:val="left" w:pos="2340"/>
        </w:tabs>
        <w:spacing w:line="276" w:lineRule="auto"/>
        <w:ind w:left="0" w:firstLine="720"/>
        <w:jc w:val="both"/>
        <w:rPr>
          <w:bCs/>
          <w:szCs w:val="24"/>
        </w:rPr>
      </w:pPr>
      <w:r w:rsidRPr="00451956">
        <w:rPr>
          <w:bCs/>
          <w:szCs w:val="24"/>
        </w:rPr>
        <w:t>nurašomos tos gautinos sumos, kurių nuvertėjimo nuostoliai buvo užregistruoti anksčiau (atsisakoma teisių į gautiną sumą, sueina senaties terminas).</w:t>
      </w:r>
    </w:p>
    <w:p w14:paraId="0A5619F4" w14:textId="77777777" w:rsidR="00451956" w:rsidRPr="00451956" w:rsidRDefault="00451956" w:rsidP="00451956">
      <w:pPr>
        <w:numPr>
          <w:ilvl w:val="0"/>
          <w:numId w:val="2"/>
        </w:numPr>
        <w:tabs>
          <w:tab w:val="clear" w:pos="4188"/>
          <w:tab w:val="num" w:pos="360"/>
          <w:tab w:val="num" w:pos="1260"/>
          <w:tab w:val="left" w:pos="1298"/>
          <w:tab w:val="left" w:pos="1980"/>
          <w:tab w:val="left" w:pos="2160"/>
          <w:tab w:val="left" w:pos="2340"/>
        </w:tabs>
        <w:spacing w:line="276" w:lineRule="auto"/>
        <w:ind w:left="0" w:firstLine="720"/>
        <w:jc w:val="both"/>
        <w:rPr>
          <w:rFonts w:cs="Times New Roman"/>
          <w:szCs w:val="24"/>
        </w:rPr>
      </w:pPr>
      <w:bookmarkStart w:id="23" w:name="_Ref229808616"/>
      <w:r w:rsidRPr="00451956">
        <w:rPr>
          <w:szCs w:val="24"/>
        </w:rPr>
        <w:t>IAENF apskaitoje pripažįstamos sukauptos pajamos tais atvejais, kai nėra apskaitos dokumento,</w:t>
      </w:r>
      <w:r w:rsidRPr="00451956">
        <w:t xml:space="preserve"> pagal kurį būtų galima registruoti gautinas sumas, bet labai tikėtina, kad IAENF gaus konkrečią sumą. Tokiu atveju remiantis sutartimis, mokėjimų grafikais, lėšų panaudojimo ataskaitomis apskaičiuojama suma, kurią Fondas uždirbo arba kurią gaus jau patirtoms sąnaudoms apmokėti per laikotarpį, surašoma buhalterinė pažyma ir registruojamos sukauptos pajamos ir atitinkamos pajamos.</w:t>
      </w:r>
      <w:bookmarkEnd w:id="23"/>
      <w:r w:rsidRPr="00451956">
        <w:t xml:space="preserve"> </w:t>
      </w:r>
    </w:p>
    <w:p w14:paraId="242E517A" w14:textId="77777777" w:rsidR="00451956" w:rsidRPr="00451956" w:rsidRDefault="00451956" w:rsidP="00451956">
      <w:pPr>
        <w:numPr>
          <w:ilvl w:val="0"/>
          <w:numId w:val="2"/>
        </w:numPr>
        <w:tabs>
          <w:tab w:val="clear" w:pos="4188"/>
          <w:tab w:val="num" w:pos="360"/>
          <w:tab w:val="num" w:pos="1260"/>
          <w:tab w:val="left" w:pos="1298"/>
          <w:tab w:val="left" w:pos="1980"/>
          <w:tab w:val="left" w:pos="2160"/>
          <w:tab w:val="left" w:pos="2340"/>
        </w:tabs>
        <w:spacing w:line="276" w:lineRule="auto"/>
        <w:ind w:left="0" w:firstLine="720"/>
        <w:jc w:val="both"/>
        <w:rPr>
          <w:rFonts w:cs="Times New Roman"/>
          <w:szCs w:val="24"/>
        </w:rPr>
      </w:pPr>
      <w:r w:rsidRPr="00451956">
        <w:t>Apskaitoje registruojamas sukauptų gautinų sumų sumažėjimas, kai:</w:t>
      </w:r>
    </w:p>
    <w:p w14:paraId="1FF872C4" w14:textId="77777777" w:rsidR="00451956" w:rsidRPr="00451956" w:rsidRDefault="00451956" w:rsidP="00451956">
      <w:pPr>
        <w:numPr>
          <w:ilvl w:val="1"/>
          <w:numId w:val="2"/>
        </w:numPr>
        <w:tabs>
          <w:tab w:val="left" w:pos="1298"/>
          <w:tab w:val="left" w:pos="1980"/>
          <w:tab w:val="left" w:pos="2160"/>
          <w:tab w:val="left" w:pos="2340"/>
        </w:tabs>
        <w:spacing w:line="276" w:lineRule="auto"/>
        <w:ind w:left="0" w:firstLine="720"/>
        <w:jc w:val="both"/>
        <w:rPr>
          <w:rFonts w:cs="Times New Roman"/>
          <w:szCs w:val="24"/>
        </w:rPr>
      </w:pPr>
      <w:r w:rsidRPr="00451956">
        <w:t>gaunamas apskaitos dokumentas;</w:t>
      </w:r>
    </w:p>
    <w:p w14:paraId="19577A95" w14:textId="77777777" w:rsidR="00451956" w:rsidRPr="00451956" w:rsidRDefault="00451956" w:rsidP="00451956">
      <w:pPr>
        <w:numPr>
          <w:ilvl w:val="1"/>
          <w:numId w:val="2"/>
        </w:numPr>
        <w:tabs>
          <w:tab w:val="left" w:pos="1298"/>
          <w:tab w:val="left" w:pos="1980"/>
          <w:tab w:val="left" w:pos="2160"/>
          <w:tab w:val="left" w:pos="2340"/>
        </w:tabs>
        <w:spacing w:line="276" w:lineRule="auto"/>
        <w:ind w:left="0" w:firstLine="720"/>
        <w:jc w:val="both"/>
        <w:rPr>
          <w:rFonts w:cs="Times New Roman"/>
          <w:szCs w:val="24"/>
        </w:rPr>
      </w:pPr>
      <w:r w:rsidRPr="00451956">
        <w:t xml:space="preserve">apmokėta </w:t>
      </w:r>
      <w:r>
        <w:t>ne iš finansavimo sumų</w:t>
      </w:r>
      <w:r w:rsidRPr="00451956">
        <w:t>;</w:t>
      </w:r>
    </w:p>
    <w:p w14:paraId="4C067481" w14:textId="77777777" w:rsidR="00451956" w:rsidRPr="00451956" w:rsidRDefault="00451956" w:rsidP="00451956">
      <w:pPr>
        <w:numPr>
          <w:ilvl w:val="1"/>
          <w:numId w:val="2"/>
        </w:numPr>
        <w:tabs>
          <w:tab w:val="left" w:pos="1298"/>
          <w:tab w:val="left" w:pos="1980"/>
          <w:tab w:val="left" w:pos="2160"/>
          <w:tab w:val="left" w:pos="2340"/>
        </w:tabs>
        <w:spacing w:line="276" w:lineRule="auto"/>
        <w:ind w:left="0" w:firstLine="720"/>
        <w:jc w:val="both"/>
        <w:rPr>
          <w:rFonts w:cs="Times New Roman"/>
          <w:szCs w:val="24"/>
        </w:rPr>
      </w:pPr>
      <w:r w:rsidRPr="00451956">
        <w:t>gaunamos finansavimo sumos patirtoms sąnaudoms apmokėti, kurioms buvo sukaupto</w:t>
      </w:r>
      <w:r>
        <w:t>s pajamos</w:t>
      </w:r>
      <w:r w:rsidRPr="00451956">
        <w:t>.</w:t>
      </w:r>
    </w:p>
    <w:p w14:paraId="78F2FD17" w14:textId="77777777" w:rsidR="008630E9" w:rsidRDefault="008630E9" w:rsidP="00451956">
      <w:pPr>
        <w:tabs>
          <w:tab w:val="left" w:pos="1298"/>
        </w:tabs>
        <w:autoSpaceDE w:val="0"/>
        <w:autoSpaceDN w:val="0"/>
        <w:adjustRightInd w:val="0"/>
        <w:spacing w:after="120" w:line="276" w:lineRule="auto"/>
        <w:jc w:val="center"/>
        <w:rPr>
          <w:rFonts w:cs="Times New Roman"/>
          <w:b/>
          <w:szCs w:val="24"/>
        </w:rPr>
      </w:pPr>
    </w:p>
    <w:p w14:paraId="3D5BD552" w14:textId="07B9AB73" w:rsidR="00451956" w:rsidRPr="00451956" w:rsidRDefault="00451956" w:rsidP="00451956">
      <w:pPr>
        <w:tabs>
          <w:tab w:val="left" w:pos="1298"/>
        </w:tabs>
        <w:autoSpaceDE w:val="0"/>
        <w:autoSpaceDN w:val="0"/>
        <w:adjustRightInd w:val="0"/>
        <w:spacing w:after="120" w:line="276" w:lineRule="auto"/>
        <w:jc w:val="center"/>
        <w:rPr>
          <w:rFonts w:cs="Times New Roman"/>
          <w:b/>
          <w:szCs w:val="24"/>
        </w:rPr>
      </w:pPr>
      <w:r w:rsidRPr="00451956">
        <w:rPr>
          <w:rFonts w:cs="Times New Roman"/>
          <w:b/>
          <w:szCs w:val="24"/>
        </w:rPr>
        <w:t>Pinigai ir pinigų ekvivalentai</w:t>
      </w:r>
    </w:p>
    <w:p w14:paraId="07138C6D" w14:textId="77777777" w:rsidR="00451956" w:rsidRPr="00451956" w:rsidRDefault="00451956" w:rsidP="00451956">
      <w:pPr>
        <w:tabs>
          <w:tab w:val="left" w:pos="1298"/>
        </w:tabs>
        <w:autoSpaceDE w:val="0"/>
        <w:autoSpaceDN w:val="0"/>
        <w:adjustRightInd w:val="0"/>
        <w:spacing w:line="276" w:lineRule="auto"/>
        <w:ind w:firstLine="851"/>
        <w:jc w:val="center"/>
        <w:rPr>
          <w:rFonts w:cs="Times New Roman"/>
          <w:b/>
          <w:szCs w:val="24"/>
        </w:rPr>
      </w:pPr>
    </w:p>
    <w:p w14:paraId="13FED8B7" w14:textId="77777777" w:rsidR="00451956" w:rsidRPr="00451956" w:rsidRDefault="00451956" w:rsidP="00451956">
      <w:pPr>
        <w:numPr>
          <w:ilvl w:val="0"/>
          <w:numId w:val="2"/>
        </w:numPr>
        <w:tabs>
          <w:tab w:val="clear" w:pos="4188"/>
          <w:tab w:val="num" w:pos="360"/>
          <w:tab w:val="left" w:pos="1260"/>
          <w:tab w:val="left" w:pos="1298"/>
        </w:tabs>
        <w:spacing w:line="276" w:lineRule="auto"/>
        <w:ind w:left="0" w:firstLine="720"/>
        <w:jc w:val="both"/>
        <w:rPr>
          <w:rFonts w:cs="Times New Roman"/>
          <w:szCs w:val="24"/>
        </w:rPr>
      </w:pPr>
      <w:bookmarkStart w:id="24" w:name="_Ref95640307"/>
      <w:r w:rsidRPr="00451956">
        <w:rPr>
          <w:rFonts w:cs="Times New Roman"/>
          <w:szCs w:val="24"/>
        </w:rPr>
        <w:t>Indėliai iki 3 mėnesių bankų sąskaitose ir trumpalaikės likvidžios investicijos (iki 3 mėnesių) yra laikomi pinigų ekvivalentais.</w:t>
      </w:r>
    </w:p>
    <w:p w14:paraId="32CC90EA" w14:textId="77777777" w:rsidR="00451956" w:rsidRPr="00451956" w:rsidRDefault="00451956" w:rsidP="00451956">
      <w:pPr>
        <w:numPr>
          <w:ilvl w:val="0"/>
          <w:numId w:val="2"/>
        </w:numPr>
        <w:tabs>
          <w:tab w:val="clear" w:pos="4188"/>
          <w:tab w:val="num" w:pos="360"/>
          <w:tab w:val="num" w:pos="540"/>
          <w:tab w:val="num" w:pos="1260"/>
          <w:tab w:val="left" w:pos="1298"/>
        </w:tabs>
        <w:spacing w:line="276" w:lineRule="auto"/>
        <w:ind w:left="0" w:firstLine="720"/>
        <w:jc w:val="both"/>
        <w:rPr>
          <w:bCs/>
        </w:rPr>
      </w:pPr>
      <w:r w:rsidRPr="00451956">
        <w:rPr>
          <w:bCs/>
        </w:rPr>
        <w:t>Pinigai bankų sąskaitose apskaitoje registruojami įplaukus į banko sąskaitą lėšoms pagal banko sąskaitų išrašus</w:t>
      </w:r>
      <w:r w:rsidRPr="00451956">
        <w:t>.</w:t>
      </w:r>
    </w:p>
    <w:p w14:paraId="6CE02FD4" w14:textId="77777777" w:rsidR="00451956" w:rsidRPr="00451956" w:rsidRDefault="00451956" w:rsidP="00451956">
      <w:pPr>
        <w:numPr>
          <w:ilvl w:val="0"/>
          <w:numId w:val="2"/>
        </w:numPr>
        <w:tabs>
          <w:tab w:val="clear" w:pos="4188"/>
          <w:tab w:val="num" w:pos="360"/>
          <w:tab w:val="num" w:pos="540"/>
          <w:tab w:val="num" w:pos="1260"/>
          <w:tab w:val="left" w:pos="1298"/>
        </w:tabs>
        <w:spacing w:line="276" w:lineRule="auto"/>
        <w:ind w:left="0" w:firstLine="720"/>
        <w:jc w:val="both"/>
        <w:rPr>
          <w:bCs/>
        </w:rPr>
      </w:pPr>
      <w:r w:rsidRPr="00451956">
        <w:rPr>
          <w:bCs/>
        </w:rPr>
        <w:t>Pinigai kelyje registruojami IAENF sąskaitose, gavus įrodymų, kad IAENF kreditorius iki laikotarpio pabaigos pervedė IAENF mokėtiną sumą, tačiau ši suma dar neįplaukė į IAENF banko sąskaitą, arba IAENF pervedus mokėtiną sumą, tačiau į kreditoriaus banko sąskaitą ši suma iki laikotarpio pabaigos dar neįplaukė.</w:t>
      </w:r>
    </w:p>
    <w:p w14:paraId="6F97DB83" w14:textId="77777777" w:rsidR="00451956" w:rsidRPr="00451956" w:rsidRDefault="00451956" w:rsidP="00451956">
      <w:pPr>
        <w:numPr>
          <w:ilvl w:val="0"/>
          <w:numId w:val="2"/>
        </w:numPr>
        <w:tabs>
          <w:tab w:val="clear" w:pos="4188"/>
          <w:tab w:val="num" w:pos="360"/>
          <w:tab w:val="num" w:pos="540"/>
          <w:tab w:val="num" w:pos="1260"/>
          <w:tab w:val="left" w:pos="1298"/>
        </w:tabs>
        <w:spacing w:line="276" w:lineRule="auto"/>
        <w:ind w:left="0" w:firstLine="720"/>
        <w:jc w:val="both"/>
        <w:rPr>
          <w:bCs/>
        </w:rPr>
      </w:pPr>
      <w:r w:rsidRPr="00451956">
        <w:rPr>
          <w:bCs/>
        </w:rPr>
        <w:t xml:space="preserve">Trumpalaikės investicijos (iki 3 mėnesių) apskaitoje registruojamos tada, kai IAENF </w:t>
      </w:r>
      <w:r w:rsidRPr="00451956">
        <w:t>įgyja teisę gauti pinigus ar kitą trumpalaikį finansinį turtą. Teisės gauti pinigus arba kitą trumpalaikį finansinį turtą įgijimo momentas nustatomas trumpalaikių investicijų sutartimis.</w:t>
      </w:r>
    </w:p>
    <w:p w14:paraId="2FCD2867" w14:textId="77777777" w:rsidR="00451956" w:rsidRPr="00451956" w:rsidRDefault="00451956" w:rsidP="00451956">
      <w:pPr>
        <w:numPr>
          <w:ilvl w:val="0"/>
          <w:numId w:val="2"/>
        </w:numPr>
        <w:tabs>
          <w:tab w:val="clear" w:pos="4188"/>
          <w:tab w:val="num" w:pos="360"/>
          <w:tab w:val="num" w:pos="540"/>
          <w:tab w:val="left" w:pos="1260"/>
          <w:tab w:val="left" w:pos="1298"/>
        </w:tabs>
        <w:spacing w:line="276" w:lineRule="auto"/>
        <w:ind w:left="0" w:firstLine="720"/>
        <w:jc w:val="both"/>
        <w:rPr>
          <w:bCs/>
        </w:rPr>
      </w:pPr>
      <w:r w:rsidRPr="00451956">
        <w:rPr>
          <w:bCs/>
        </w:rPr>
        <w:lastRenderedPageBreak/>
        <w:t>Pinigų ir pinigų ekvivalentų sumažė</w:t>
      </w:r>
      <w:r w:rsidR="00B17C82">
        <w:rPr>
          <w:bCs/>
        </w:rPr>
        <w:t>jimas apskaitoje registruojamas</w:t>
      </w:r>
      <w:r w:rsidRPr="00451956">
        <w:rPr>
          <w:bCs/>
        </w:rPr>
        <w:t>, kai:</w:t>
      </w:r>
    </w:p>
    <w:p w14:paraId="6C93BBFA" w14:textId="62E6EDFF" w:rsidR="00451956" w:rsidRPr="00451956" w:rsidRDefault="00451956" w:rsidP="00451956">
      <w:pPr>
        <w:numPr>
          <w:ilvl w:val="1"/>
          <w:numId w:val="2"/>
        </w:numPr>
        <w:tabs>
          <w:tab w:val="left" w:pos="1298"/>
        </w:tabs>
        <w:spacing w:line="276" w:lineRule="auto"/>
        <w:ind w:left="0" w:firstLine="720"/>
        <w:jc w:val="both"/>
        <w:rPr>
          <w:bCs/>
        </w:rPr>
      </w:pPr>
      <w:r w:rsidRPr="00451956">
        <w:rPr>
          <w:bCs/>
        </w:rPr>
        <w:t>įvykdomi įsipareigojimai apmokant</w:t>
      </w:r>
      <w:r w:rsidR="00303959">
        <w:rPr>
          <w:bCs/>
        </w:rPr>
        <w:t>;</w:t>
      </w:r>
      <w:r w:rsidRPr="00451956">
        <w:rPr>
          <w:bCs/>
        </w:rPr>
        <w:t xml:space="preserve"> </w:t>
      </w:r>
    </w:p>
    <w:p w14:paraId="7A9F4760" w14:textId="5045480C" w:rsidR="00451956" w:rsidRPr="00451956" w:rsidRDefault="00451956" w:rsidP="00451956">
      <w:pPr>
        <w:numPr>
          <w:ilvl w:val="1"/>
          <w:numId w:val="2"/>
        </w:numPr>
        <w:tabs>
          <w:tab w:val="left" w:pos="1298"/>
        </w:tabs>
        <w:spacing w:line="276" w:lineRule="auto"/>
        <w:ind w:left="0" w:firstLine="720"/>
        <w:jc w:val="both"/>
        <w:rPr>
          <w:bCs/>
        </w:rPr>
      </w:pPr>
      <w:r w:rsidRPr="00451956">
        <w:rPr>
          <w:bCs/>
        </w:rPr>
        <w:t>pervedamos finansavimo sumos kitiems subjektams</w:t>
      </w:r>
      <w:r w:rsidR="00303959">
        <w:rPr>
          <w:bCs/>
        </w:rPr>
        <w:t>;</w:t>
      </w:r>
      <w:r w:rsidRPr="00451956">
        <w:rPr>
          <w:bCs/>
        </w:rPr>
        <w:t xml:space="preserve"> </w:t>
      </w:r>
    </w:p>
    <w:p w14:paraId="4B821AE5" w14:textId="77777777" w:rsidR="00451956" w:rsidRPr="00451956" w:rsidRDefault="00451956" w:rsidP="00451956">
      <w:pPr>
        <w:numPr>
          <w:ilvl w:val="1"/>
          <w:numId w:val="2"/>
        </w:numPr>
        <w:tabs>
          <w:tab w:val="left" w:pos="1298"/>
        </w:tabs>
        <w:spacing w:line="276" w:lineRule="auto"/>
        <w:ind w:left="0" w:firstLine="720"/>
        <w:jc w:val="both"/>
        <w:rPr>
          <w:bCs/>
        </w:rPr>
      </w:pPr>
      <w:r w:rsidRPr="00451956">
        <w:rPr>
          <w:bCs/>
        </w:rPr>
        <w:t>grąžinamos finansavimo sumos arba gautos paskolos.</w:t>
      </w:r>
    </w:p>
    <w:p w14:paraId="594EA81E" w14:textId="77777777" w:rsidR="00451956" w:rsidRPr="00451956" w:rsidRDefault="00451956" w:rsidP="00451956">
      <w:pPr>
        <w:tabs>
          <w:tab w:val="left" w:pos="1298"/>
        </w:tabs>
        <w:spacing w:line="276" w:lineRule="auto"/>
        <w:jc w:val="both"/>
        <w:rPr>
          <w:rFonts w:cs="Times New Roman"/>
          <w:szCs w:val="24"/>
        </w:rPr>
      </w:pPr>
    </w:p>
    <w:p w14:paraId="39947A70" w14:textId="1CE462E7" w:rsidR="00451956" w:rsidRDefault="00451956" w:rsidP="00451956">
      <w:pPr>
        <w:keepNext/>
        <w:tabs>
          <w:tab w:val="left" w:pos="1298"/>
        </w:tabs>
        <w:spacing w:after="120" w:line="276" w:lineRule="auto"/>
        <w:jc w:val="center"/>
        <w:outlineLvl w:val="1"/>
        <w:rPr>
          <w:b/>
          <w:bCs/>
          <w:szCs w:val="24"/>
        </w:rPr>
      </w:pPr>
      <w:bookmarkStart w:id="25" w:name="_Toc233421906"/>
      <w:bookmarkStart w:id="26" w:name="_Toc200345195"/>
      <w:r w:rsidRPr="00451956">
        <w:rPr>
          <w:b/>
          <w:bCs/>
          <w:szCs w:val="24"/>
        </w:rPr>
        <w:t>Turto nuvertėjimas</w:t>
      </w:r>
      <w:bookmarkEnd w:id="25"/>
    </w:p>
    <w:p w14:paraId="00B30207" w14:textId="77777777" w:rsidR="008630E9" w:rsidRPr="00451956" w:rsidRDefault="008630E9" w:rsidP="00451956">
      <w:pPr>
        <w:keepNext/>
        <w:tabs>
          <w:tab w:val="left" w:pos="1298"/>
        </w:tabs>
        <w:spacing w:after="120" w:line="276" w:lineRule="auto"/>
        <w:jc w:val="center"/>
        <w:outlineLvl w:val="1"/>
        <w:rPr>
          <w:rFonts w:ascii="Arial" w:hAnsi="Arial"/>
          <w:b/>
          <w:bCs/>
          <w:i/>
          <w:iCs/>
          <w:sz w:val="28"/>
          <w:szCs w:val="28"/>
        </w:rPr>
      </w:pPr>
    </w:p>
    <w:p w14:paraId="1029F7FA" w14:textId="77777777" w:rsidR="00451956" w:rsidRPr="00451956" w:rsidRDefault="00451956" w:rsidP="00451956">
      <w:pPr>
        <w:numPr>
          <w:ilvl w:val="0"/>
          <w:numId w:val="2"/>
        </w:numPr>
        <w:tabs>
          <w:tab w:val="clear" w:pos="4188"/>
          <w:tab w:val="num" w:pos="360"/>
          <w:tab w:val="num" w:pos="1260"/>
          <w:tab w:val="left" w:pos="1298"/>
        </w:tabs>
        <w:spacing w:line="276" w:lineRule="auto"/>
        <w:ind w:left="0" w:firstLine="720"/>
        <w:jc w:val="both"/>
        <w:rPr>
          <w:rFonts w:cs="Times New Roman"/>
          <w:szCs w:val="24"/>
        </w:rPr>
      </w:pPr>
      <w:r w:rsidRPr="00451956">
        <w:rPr>
          <w:rFonts w:cs="Times New Roman"/>
          <w:szCs w:val="24"/>
        </w:rPr>
        <w:t xml:space="preserve">Finansinio turto nuvertėjimo apskaita tvarkoma pagal 17-ojo VSAFAS „Finansinis turtas ir finansiniai įsipareigojimai” reikalavimus. </w:t>
      </w:r>
      <w:r w:rsidRPr="00451956">
        <w:rPr>
          <w:rFonts w:cs="Times New Roman"/>
        </w:rPr>
        <w:t xml:space="preserve">Šiame VSAFAS </w:t>
      </w:r>
      <w:r w:rsidRPr="00451956">
        <w:rPr>
          <w:rFonts w:cs="Times New Roman"/>
          <w:szCs w:val="24"/>
        </w:rPr>
        <w:t>nurodyti ir finansinio turto nuvertėjimo požymiai, ir požymiai, pagal kuriuos vertinama, ar nuvertėjimas išnyko ar sumažėjo.</w:t>
      </w:r>
    </w:p>
    <w:p w14:paraId="351AEAC4" w14:textId="77777777" w:rsidR="00451956" w:rsidRPr="00451956" w:rsidRDefault="00451956" w:rsidP="00451956">
      <w:pPr>
        <w:numPr>
          <w:ilvl w:val="0"/>
          <w:numId w:val="2"/>
        </w:numPr>
        <w:tabs>
          <w:tab w:val="clear" w:pos="4188"/>
          <w:tab w:val="num" w:pos="360"/>
          <w:tab w:val="num" w:pos="1260"/>
          <w:tab w:val="left" w:pos="1298"/>
        </w:tabs>
        <w:spacing w:line="276" w:lineRule="auto"/>
        <w:ind w:left="0" w:firstLine="720"/>
        <w:jc w:val="both"/>
        <w:rPr>
          <w:rFonts w:cs="Times New Roman"/>
          <w:szCs w:val="24"/>
        </w:rPr>
      </w:pPr>
      <w:r w:rsidRPr="00451956">
        <w:t>Finansinio turto vertė yra sumažėjusi, jei jo balansinė vertė yra didesnė už tikėtiną atgauti už tą finansinį turtą sumą.</w:t>
      </w:r>
    </w:p>
    <w:p w14:paraId="64AD3CD7" w14:textId="77777777" w:rsidR="00451956" w:rsidRPr="00451956" w:rsidRDefault="00451956" w:rsidP="00451956">
      <w:pPr>
        <w:numPr>
          <w:ilvl w:val="0"/>
          <w:numId w:val="2"/>
        </w:numPr>
        <w:tabs>
          <w:tab w:val="clear" w:pos="4188"/>
          <w:tab w:val="num" w:pos="360"/>
          <w:tab w:val="left" w:pos="1260"/>
          <w:tab w:val="left" w:pos="1298"/>
          <w:tab w:val="left" w:pos="1980"/>
          <w:tab w:val="left" w:pos="2160"/>
          <w:tab w:val="left" w:pos="2340"/>
        </w:tabs>
        <w:spacing w:line="276" w:lineRule="auto"/>
        <w:ind w:left="0" w:firstLine="720"/>
        <w:jc w:val="both"/>
        <w:rPr>
          <w:szCs w:val="24"/>
        </w:rPr>
      </w:pPr>
      <w:bookmarkStart w:id="27" w:name="_Ref227649723"/>
      <w:r w:rsidRPr="00451956">
        <w:rPr>
          <w:rFonts w:cs="Times New Roman"/>
          <w:szCs w:val="24"/>
        </w:rPr>
        <w:t>IAENF</w:t>
      </w:r>
      <w:r w:rsidRPr="00451956">
        <w:rPr>
          <w:szCs w:val="24"/>
        </w:rPr>
        <w:t xml:space="preserve"> apskaitoje skaičiuojamas šio turto nuvertėjimas:</w:t>
      </w:r>
      <w:bookmarkEnd w:id="27"/>
    </w:p>
    <w:p w14:paraId="6503E390" w14:textId="77777777" w:rsidR="00451956" w:rsidRPr="00451956" w:rsidRDefault="00451956" w:rsidP="00451956">
      <w:pPr>
        <w:numPr>
          <w:ilvl w:val="1"/>
          <w:numId w:val="2"/>
        </w:numPr>
        <w:tabs>
          <w:tab w:val="left" w:pos="1298"/>
          <w:tab w:val="left" w:pos="1440"/>
          <w:tab w:val="left" w:pos="1980"/>
          <w:tab w:val="left" w:pos="2160"/>
          <w:tab w:val="left" w:pos="2340"/>
        </w:tabs>
        <w:spacing w:line="276" w:lineRule="auto"/>
        <w:ind w:left="0" w:firstLine="720"/>
        <w:jc w:val="both"/>
        <w:rPr>
          <w:szCs w:val="24"/>
        </w:rPr>
      </w:pPr>
      <w:r w:rsidRPr="00451956">
        <w:rPr>
          <w:szCs w:val="24"/>
        </w:rPr>
        <w:t>ilgalaikio finansinio turto;</w:t>
      </w:r>
    </w:p>
    <w:p w14:paraId="613DF4E2" w14:textId="77777777" w:rsidR="00451956" w:rsidRPr="00451956" w:rsidRDefault="00451956" w:rsidP="00451956">
      <w:pPr>
        <w:numPr>
          <w:ilvl w:val="1"/>
          <w:numId w:val="2"/>
        </w:numPr>
        <w:tabs>
          <w:tab w:val="left" w:pos="1298"/>
          <w:tab w:val="left" w:pos="1440"/>
          <w:tab w:val="left" w:pos="1980"/>
          <w:tab w:val="left" w:pos="2160"/>
          <w:tab w:val="left" w:pos="2340"/>
        </w:tabs>
        <w:spacing w:line="276" w:lineRule="auto"/>
        <w:ind w:left="0" w:firstLine="720"/>
        <w:jc w:val="both"/>
        <w:rPr>
          <w:szCs w:val="24"/>
        </w:rPr>
      </w:pPr>
      <w:r w:rsidRPr="00451956">
        <w:rPr>
          <w:szCs w:val="24"/>
        </w:rPr>
        <w:t>per vienus metus gautinoms sumoms;</w:t>
      </w:r>
    </w:p>
    <w:p w14:paraId="20E87FAF" w14:textId="77777777" w:rsidR="00451956" w:rsidRPr="00451956" w:rsidRDefault="00451956" w:rsidP="00451956">
      <w:pPr>
        <w:numPr>
          <w:ilvl w:val="1"/>
          <w:numId w:val="2"/>
        </w:numPr>
        <w:tabs>
          <w:tab w:val="left" w:pos="1298"/>
          <w:tab w:val="left" w:pos="1440"/>
          <w:tab w:val="left" w:pos="1980"/>
          <w:tab w:val="left" w:pos="2160"/>
          <w:tab w:val="left" w:pos="2340"/>
        </w:tabs>
        <w:spacing w:line="276" w:lineRule="auto"/>
        <w:ind w:left="0" w:firstLine="720"/>
        <w:jc w:val="both"/>
        <w:rPr>
          <w:szCs w:val="24"/>
        </w:rPr>
      </w:pPr>
      <w:r w:rsidRPr="00451956">
        <w:rPr>
          <w:szCs w:val="24"/>
        </w:rPr>
        <w:t>trumpalaikėms investicijoms į vertybinius popierius;</w:t>
      </w:r>
    </w:p>
    <w:p w14:paraId="1277208A" w14:textId="77777777" w:rsidR="00451956" w:rsidRPr="00451956" w:rsidRDefault="00451956" w:rsidP="00451956">
      <w:pPr>
        <w:numPr>
          <w:ilvl w:val="1"/>
          <w:numId w:val="2"/>
        </w:numPr>
        <w:tabs>
          <w:tab w:val="left" w:pos="1298"/>
          <w:tab w:val="left" w:pos="1440"/>
          <w:tab w:val="left" w:pos="1980"/>
          <w:tab w:val="left" w:pos="2160"/>
          <w:tab w:val="left" w:pos="2340"/>
        </w:tabs>
        <w:spacing w:line="276" w:lineRule="auto"/>
        <w:ind w:left="0" w:firstLine="720"/>
        <w:jc w:val="both"/>
        <w:rPr>
          <w:szCs w:val="24"/>
        </w:rPr>
      </w:pPr>
      <w:r w:rsidRPr="00451956">
        <w:rPr>
          <w:szCs w:val="24"/>
        </w:rPr>
        <w:t>pinigų įšaldytose sąskaitose.</w:t>
      </w:r>
    </w:p>
    <w:p w14:paraId="7F27F7F0" w14:textId="77777777" w:rsidR="00451956" w:rsidRPr="00451956" w:rsidRDefault="00451956" w:rsidP="00451956">
      <w:pPr>
        <w:numPr>
          <w:ilvl w:val="0"/>
          <w:numId w:val="2"/>
        </w:numPr>
        <w:tabs>
          <w:tab w:val="clear" w:pos="4188"/>
          <w:tab w:val="num" w:pos="360"/>
          <w:tab w:val="num" w:pos="1260"/>
          <w:tab w:val="left" w:pos="1298"/>
        </w:tabs>
        <w:spacing w:line="276" w:lineRule="auto"/>
        <w:ind w:left="0" w:firstLine="720"/>
        <w:jc w:val="both"/>
      </w:pPr>
      <w:r w:rsidRPr="00451956">
        <w:t>Nuostoliai dėl šio turto nuvertėjimo apskaitoje registruojami pagal buhalterinę pažymą taip:</w:t>
      </w:r>
    </w:p>
    <w:p w14:paraId="3B5FC007" w14:textId="77777777" w:rsidR="00451956" w:rsidRPr="00451956" w:rsidRDefault="00451956" w:rsidP="00451956">
      <w:pPr>
        <w:numPr>
          <w:ilvl w:val="1"/>
          <w:numId w:val="2"/>
        </w:numPr>
        <w:tabs>
          <w:tab w:val="left" w:pos="1298"/>
          <w:tab w:val="left" w:pos="1440"/>
        </w:tabs>
        <w:spacing w:line="276" w:lineRule="auto"/>
        <w:ind w:left="0" w:firstLine="720"/>
        <w:jc w:val="both"/>
        <w:rPr>
          <w:szCs w:val="24"/>
        </w:rPr>
      </w:pPr>
      <w:r w:rsidRPr="00451956">
        <w:rPr>
          <w:szCs w:val="24"/>
        </w:rPr>
        <w:t>apskaičiuotų nuostolių suma kredituojamos turto nuvertėjimo sąskaitos;</w:t>
      </w:r>
    </w:p>
    <w:p w14:paraId="6356A089" w14:textId="77777777" w:rsidR="00451956" w:rsidRPr="00451956" w:rsidRDefault="00451956" w:rsidP="00451956">
      <w:pPr>
        <w:numPr>
          <w:ilvl w:val="1"/>
          <w:numId w:val="2"/>
        </w:numPr>
        <w:tabs>
          <w:tab w:val="left" w:pos="1298"/>
          <w:tab w:val="left" w:pos="1440"/>
        </w:tabs>
        <w:spacing w:line="276" w:lineRule="auto"/>
        <w:ind w:left="0" w:firstLine="720"/>
        <w:jc w:val="both"/>
        <w:rPr>
          <w:szCs w:val="24"/>
        </w:rPr>
      </w:pPr>
      <w:r w:rsidRPr="00451956">
        <w:rPr>
          <w:szCs w:val="24"/>
        </w:rPr>
        <w:t>ta pačia suma debetuojamos ataskaitinio laikotarpio finansinės ir investicinės veiklos sąnaudos, išskyrus gautinų sumų nuvertėjimo nuostolius, kurie yra priskiriami prie pagrindinės veiklos sąnaudų.</w:t>
      </w:r>
    </w:p>
    <w:p w14:paraId="0D59995D" w14:textId="77777777" w:rsidR="00451956" w:rsidRPr="00451956" w:rsidRDefault="00451956" w:rsidP="00451956">
      <w:pPr>
        <w:numPr>
          <w:ilvl w:val="0"/>
          <w:numId w:val="2"/>
        </w:numPr>
        <w:tabs>
          <w:tab w:val="clear" w:pos="4188"/>
          <w:tab w:val="num" w:pos="360"/>
          <w:tab w:val="left" w:pos="1298"/>
          <w:tab w:val="left" w:pos="1440"/>
        </w:tabs>
        <w:spacing w:line="276" w:lineRule="auto"/>
        <w:ind w:left="360" w:firstLine="349"/>
        <w:jc w:val="both"/>
        <w:rPr>
          <w:szCs w:val="24"/>
        </w:rPr>
      </w:pPr>
      <w:r w:rsidRPr="00451956">
        <w:rPr>
          <w:rFonts w:cs="Times New Roman"/>
          <w:color w:val="000000"/>
          <w:szCs w:val="24"/>
        </w:rPr>
        <w:t>Požymiai, kad finansinis turtas gali būti nuvertėjęs:</w:t>
      </w:r>
    </w:p>
    <w:p w14:paraId="415D4659" w14:textId="0CE9CA3B" w:rsidR="00451956" w:rsidRPr="00451956" w:rsidRDefault="004247FC" w:rsidP="00451956">
      <w:pPr>
        <w:spacing w:line="276" w:lineRule="auto"/>
        <w:ind w:firstLine="709"/>
        <w:jc w:val="both"/>
        <w:rPr>
          <w:rFonts w:cs="Times New Roman"/>
          <w:szCs w:val="24"/>
        </w:rPr>
      </w:pPr>
      <w:r>
        <w:rPr>
          <w:rFonts w:cs="Times New Roman"/>
          <w:color w:val="000000"/>
          <w:szCs w:val="24"/>
        </w:rPr>
        <w:t>41</w:t>
      </w:r>
      <w:r w:rsidR="00451956" w:rsidRPr="00451956">
        <w:rPr>
          <w:rFonts w:cs="Times New Roman"/>
          <w:color w:val="000000"/>
          <w:szCs w:val="24"/>
        </w:rPr>
        <w:t>.1. yra žinoma, kad vertybinių popierių emitentas turi didelių finansinių sunkumų ar yra didelė tikimybė, kad emitentas bankrutuos;</w:t>
      </w:r>
    </w:p>
    <w:p w14:paraId="32609BB3" w14:textId="7FFFF30D" w:rsidR="00451956" w:rsidRPr="00451956" w:rsidRDefault="004247FC" w:rsidP="00451956">
      <w:pPr>
        <w:spacing w:line="276" w:lineRule="auto"/>
        <w:ind w:firstLine="709"/>
        <w:jc w:val="both"/>
        <w:rPr>
          <w:rFonts w:cs="Times New Roman"/>
          <w:szCs w:val="24"/>
        </w:rPr>
      </w:pPr>
      <w:r>
        <w:rPr>
          <w:rFonts w:cs="Times New Roman"/>
          <w:color w:val="000000"/>
          <w:szCs w:val="24"/>
        </w:rPr>
        <w:t>41</w:t>
      </w:r>
      <w:r w:rsidR="00451956" w:rsidRPr="00451956">
        <w:rPr>
          <w:rFonts w:cs="Times New Roman"/>
          <w:color w:val="000000"/>
          <w:szCs w:val="24"/>
        </w:rPr>
        <w:t>.2. dėl vertybinių popierių emitento finansinių sunkumų aktyviojoje rinkoje yra apribota prekyba emitento nuosavybės vertybiniais popieriais;</w:t>
      </w:r>
    </w:p>
    <w:p w14:paraId="3F41F3ED" w14:textId="191C2DB7" w:rsidR="00451956" w:rsidRPr="00451956" w:rsidRDefault="004247FC" w:rsidP="00451956">
      <w:pPr>
        <w:spacing w:line="276" w:lineRule="auto"/>
        <w:ind w:firstLine="709"/>
        <w:jc w:val="both"/>
        <w:rPr>
          <w:rFonts w:cs="Times New Roman"/>
          <w:szCs w:val="24"/>
        </w:rPr>
      </w:pPr>
      <w:r>
        <w:rPr>
          <w:rFonts w:cs="Times New Roman"/>
          <w:color w:val="000000"/>
          <w:szCs w:val="24"/>
        </w:rPr>
        <w:t>41</w:t>
      </w:r>
      <w:r w:rsidR="00451956" w:rsidRPr="00451956">
        <w:rPr>
          <w:rFonts w:cs="Times New Roman"/>
          <w:color w:val="000000"/>
          <w:szCs w:val="24"/>
        </w:rPr>
        <w:t>.3. nesilaikoma sutarties sąlygų, pavyzdžiui, laiku nesumokamos skolos arba nevykdomi įsipareigojimai, susiję su palūkanų ar paskolos grąžinimu;</w:t>
      </w:r>
    </w:p>
    <w:p w14:paraId="60379307" w14:textId="69127FD9" w:rsidR="00451956" w:rsidRPr="00451956" w:rsidRDefault="004247FC" w:rsidP="00451956">
      <w:pPr>
        <w:spacing w:line="276" w:lineRule="auto"/>
        <w:ind w:firstLine="709"/>
        <w:jc w:val="both"/>
        <w:rPr>
          <w:rFonts w:cs="Times New Roman"/>
          <w:szCs w:val="24"/>
        </w:rPr>
      </w:pPr>
      <w:r>
        <w:rPr>
          <w:rFonts w:cs="Times New Roman"/>
          <w:color w:val="000000"/>
          <w:szCs w:val="24"/>
        </w:rPr>
        <w:t>41</w:t>
      </w:r>
      <w:r w:rsidR="00451956" w:rsidRPr="00451956">
        <w:rPr>
          <w:rFonts w:cs="Times New Roman"/>
          <w:color w:val="000000"/>
          <w:szCs w:val="24"/>
        </w:rPr>
        <w:t>.4. dėl ekonominių ar teisinių priežasčių, susijusių su skolininko finansiniais sunkumais, viešojo sektoriaus subjektas suteikė skolininkui nuolaidų, kurių priešingu atveju nebūtų suteikęs;</w:t>
      </w:r>
    </w:p>
    <w:p w14:paraId="4F105BC5" w14:textId="05BF94C8" w:rsidR="00451956" w:rsidRPr="00451956" w:rsidRDefault="004247FC" w:rsidP="00451956">
      <w:pPr>
        <w:spacing w:line="276" w:lineRule="auto"/>
        <w:ind w:firstLine="709"/>
        <w:jc w:val="both"/>
        <w:rPr>
          <w:rFonts w:cs="Times New Roman"/>
          <w:szCs w:val="24"/>
        </w:rPr>
      </w:pPr>
      <w:r>
        <w:rPr>
          <w:rFonts w:cs="Times New Roman"/>
          <w:color w:val="000000"/>
          <w:szCs w:val="24"/>
        </w:rPr>
        <w:t>41</w:t>
      </w:r>
      <w:r w:rsidR="00451956" w:rsidRPr="00451956">
        <w:rPr>
          <w:rFonts w:cs="Times New Roman"/>
          <w:color w:val="000000"/>
          <w:szCs w:val="24"/>
        </w:rPr>
        <w:t>.5. finansinio turto nuvertėjimas buvo pripažintas ankstesniu ataskaitiniu laikotarpiu;</w:t>
      </w:r>
    </w:p>
    <w:p w14:paraId="419D6171" w14:textId="21BB742E" w:rsidR="00451956" w:rsidRPr="00451956" w:rsidRDefault="004247FC" w:rsidP="00451956">
      <w:pPr>
        <w:spacing w:line="276" w:lineRule="auto"/>
        <w:ind w:firstLine="709"/>
        <w:jc w:val="both"/>
        <w:rPr>
          <w:rFonts w:cs="Times New Roman"/>
          <w:szCs w:val="24"/>
        </w:rPr>
      </w:pPr>
      <w:r>
        <w:rPr>
          <w:rFonts w:cs="Times New Roman"/>
          <w:color w:val="000000"/>
          <w:szCs w:val="24"/>
        </w:rPr>
        <w:t>41</w:t>
      </w:r>
      <w:r w:rsidR="00451956" w:rsidRPr="00451956">
        <w:rPr>
          <w:rFonts w:cs="Times New Roman"/>
          <w:color w:val="000000"/>
          <w:szCs w:val="24"/>
        </w:rPr>
        <w:t>.6. ankstesnė patirtis rodo, kad nebus atgauta visa gautinų sumų vertė.</w:t>
      </w:r>
    </w:p>
    <w:p w14:paraId="4DB013D3" w14:textId="77777777" w:rsidR="00451956" w:rsidRPr="00451956" w:rsidRDefault="00451956" w:rsidP="00451956">
      <w:pPr>
        <w:numPr>
          <w:ilvl w:val="0"/>
          <w:numId w:val="2"/>
        </w:numPr>
        <w:tabs>
          <w:tab w:val="clear" w:pos="4188"/>
          <w:tab w:val="num" w:pos="360"/>
          <w:tab w:val="num" w:pos="1260"/>
          <w:tab w:val="left" w:pos="1298"/>
        </w:tabs>
        <w:spacing w:line="276" w:lineRule="auto"/>
        <w:ind w:left="0" w:firstLine="720"/>
        <w:jc w:val="both"/>
      </w:pPr>
      <w:r w:rsidRPr="00451956">
        <w:t>Finansinio turto nuvertėjimas nėra tolygus finansinio turto nurašymui. Finansiniam turtui nuvertėjus yra mažinama finansinio turto vieneto balansinė vertė, tačiau išsaugoma informacija apie finansinio turto įsigijimo savikainą, t. y. finansinio turto vieneto įsigijimo savikaina apskaitoje lieka tokia pati kaip iki nuvertėjimo nustatymo, o nuvertėjimas registruojamas atskiroje finansinio turto nuvertėjimo sąskaitoje. Finansinio turto nuvertėjimo sumos neturi viršyti įsigijimo savikainos pirminio pripažinimo metu ar amortizuotos savikainos, kuri būtų buvusi, jei nuvertėjimas nebūtų pripažintas</w:t>
      </w:r>
      <w:r w:rsidRPr="00451956">
        <w:rPr>
          <w:szCs w:val="24"/>
        </w:rPr>
        <w:t>.</w:t>
      </w:r>
    </w:p>
    <w:p w14:paraId="76F57571" w14:textId="77777777" w:rsidR="00451956" w:rsidRPr="00451956" w:rsidRDefault="00451956" w:rsidP="00451956">
      <w:pPr>
        <w:numPr>
          <w:ilvl w:val="0"/>
          <w:numId w:val="2"/>
        </w:numPr>
        <w:tabs>
          <w:tab w:val="clear" w:pos="4188"/>
          <w:tab w:val="num" w:pos="360"/>
          <w:tab w:val="num" w:pos="1260"/>
          <w:tab w:val="left" w:pos="1298"/>
        </w:tabs>
        <w:spacing w:line="276" w:lineRule="auto"/>
        <w:ind w:left="0" w:firstLine="720"/>
        <w:jc w:val="both"/>
      </w:pPr>
      <w:r w:rsidRPr="00451956">
        <w:rPr>
          <w:rFonts w:cs="Times New Roman"/>
          <w:szCs w:val="24"/>
        </w:rPr>
        <w:t>IAENF</w:t>
      </w:r>
      <w:r w:rsidRPr="00451956">
        <w:t xml:space="preserve"> apskaitoje gautinų sumų nuvertėjimas skaičiuojamas taip:</w:t>
      </w:r>
    </w:p>
    <w:p w14:paraId="41A7708E" w14:textId="77777777" w:rsidR="00451956" w:rsidRPr="00451956" w:rsidRDefault="00451956" w:rsidP="00451956">
      <w:pPr>
        <w:numPr>
          <w:ilvl w:val="1"/>
          <w:numId w:val="2"/>
        </w:numPr>
        <w:tabs>
          <w:tab w:val="num" w:pos="1260"/>
          <w:tab w:val="left" w:pos="1298"/>
          <w:tab w:val="left" w:pos="1440"/>
        </w:tabs>
        <w:spacing w:line="276" w:lineRule="auto"/>
        <w:ind w:left="0" w:firstLine="720"/>
        <w:jc w:val="both"/>
      </w:pPr>
      <w:r w:rsidRPr="00451956">
        <w:t xml:space="preserve">gautinų sumų nuvertėjimas skaičiuojamas visai gautinų sumų grupei, kai tokią grupę sudaro daug mažos vertės gautinų sumų; </w:t>
      </w:r>
    </w:p>
    <w:p w14:paraId="4F95BED8" w14:textId="77777777" w:rsidR="00451956" w:rsidRPr="00451956" w:rsidRDefault="00451956" w:rsidP="00451956">
      <w:pPr>
        <w:numPr>
          <w:ilvl w:val="1"/>
          <w:numId w:val="2"/>
        </w:numPr>
        <w:tabs>
          <w:tab w:val="num" w:pos="1260"/>
          <w:tab w:val="left" w:pos="1298"/>
          <w:tab w:val="left" w:pos="1440"/>
        </w:tabs>
        <w:spacing w:line="276" w:lineRule="auto"/>
        <w:ind w:left="0" w:firstLine="720"/>
        <w:jc w:val="both"/>
      </w:pPr>
      <w:r w:rsidRPr="00451956">
        <w:t>kitais atvejais nuvertėjimas skaičiuojamas kiekvienai gautinai sumai atskirai.</w:t>
      </w:r>
    </w:p>
    <w:p w14:paraId="3EC73458" w14:textId="77777777" w:rsidR="00451956" w:rsidRPr="00451956" w:rsidRDefault="00451956" w:rsidP="00451956">
      <w:pPr>
        <w:numPr>
          <w:ilvl w:val="0"/>
          <w:numId w:val="2"/>
        </w:numPr>
        <w:tabs>
          <w:tab w:val="clear" w:pos="4188"/>
          <w:tab w:val="num" w:pos="360"/>
          <w:tab w:val="num" w:pos="1260"/>
          <w:tab w:val="left" w:pos="1298"/>
        </w:tabs>
        <w:spacing w:line="276" w:lineRule="auto"/>
        <w:ind w:left="0" w:firstLine="720"/>
        <w:jc w:val="both"/>
        <w:rPr>
          <w:rFonts w:cs="Times New Roman"/>
          <w:szCs w:val="24"/>
        </w:rPr>
      </w:pPr>
      <w:r w:rsidRPr="00451956">
        <w:rPr>
          <w:rFonts w:cs="Times New Roman"/>
          <w:szCs w:val="24"/>
        </w:rPr>
        <w:lastRenderedPageBreak/>
        <w:t xml:space="preserve">Jeigu vėlesnį ataskaitinį laikotarpį pasikeitus aplinkybėms </w:t>
      </w:r>
      <w:r w:rsidRPr="00451956">
        <w:t>turto nuvertėjimo suma sumažėja, turto nuvertėjimo nuostoliai mažinami atitinkama suma</w:t>
      </w:r>
      <w:r w:rsidRPr="00451956">
        <w:rPr>
          <w:rFonts w:cs="Times New Roman"/>
          <w:szCs w:val="24"/>
        </w:rPr>
        <w:t>.</w:t>
      </w:r>
    </w:p>
    <w:p w14:paraId="7B2FDF91" w14:textId="6E616C4E" w:rsidR="00451956" w:rsidRDefault="00451956" w:rsidP="00451956">
      <w:pPr>
        <w:numPr>
          <w:ilvl w:val="0"/>
          <w:numId w:val="2"/>
        </w:numPr>
        <w:tabs>
          <w:tab w:val="clear" w:pos="4188"/>
          <w:tab w:val="num" w:pos="360"/>
          <w:tab w:val="left" w:pos="1260"/>
          <w:tab w:val="left" w:pos="1298"/>
          <w:tab w:val="left" w:pos="1980"/>
          <w:tab w:val="left" w:pos="2160"/>
          <w:tab w:val="left" w:pos="2340"/>
        </w:tabs>
        <w:spacing w:line="276" w:lineRule="auto"/>
        <w:ind w:left="0" w:firstLine="720"/>
        <w:jc w:val="both"/>
        <w:rPr>
          <w:szCs w:val="24"/>
        </w:rPr>
      </w:pPr>
      <w:r w:rsidRPr="00451956">
        <w:rPr>
          <w:szCs w:val="24"/>
        </w:rPr>
        <w:t xml:space="preserve">Sudarant finansinės būklės ataskaitą, vadovaujantis 17-uoju VSAFAS „Finansinis turtas ir finansiniai įsipareigojimai“ turto balansinė vertė mažinama iki ataskaitinio laikotarpio pabaigos sukaupta nuvertėjimo nuostolių suma. </w:t>
      </w:r>
    </w:p>
    <w:p w14:paraId="2A84DB28" w14:textId="77777777" w:rsidR="008630E9" w:rsidRPr="00451956" w:rsidRDefault="008630E9" w:rsidP="008630E9">
      <w:pPr>
        <w:tabs>
          <w:tab w:val="left" w:pos="1260"/>
          <w:tab w:val="left" w:pos="1298"/>
          <w:tab w:val="left" w:pos="1980"/>
          <w:tab w:val="left" w:pos="2160"/>
          <w:tab w:val="left" w:pos="2340"/>
        </w:tabs>
        <w:spacing w:line="276" w:lineRule="auto"/>
        <w:ind w:left="720"/>
        <w:jc w:val="both"/>
        <w:rPr>
          <w:szCs w:val="24"/>
        </w:rPr>
      </w:pPr>
    </w:p>
    <w:p w14:paraId="76A0C871" w14:textId="77777777" w:rsidR="00451956" w:rsidRPr="00451956" w:rsidRDefault="00451956" w:rsidP="00451956">
      <w:pPr>
        <w:keepNext/>
        <w:tabs>
          <w:tab w:val="left" w:pos="1298"/>
        </w:tabs>
        <w:spacing w:after="120" w:line="276" w:lineRule="auto"/>
        <w:jc w:val="center"/>
        <w:outlineLvl w:val="1"/>
        <w:rPr>
          <w:rFonts w:cs="Times New Roman"/>
          <w:b/>
          <w:bCs/>
          <w:szCs w:val="24"/>
        </w:rPr>
      </w:pPr>
      <w:bookmarkStart w:id="28" w:name="_Toc233421907"/>
      <w:r w:rsidRPr="00451956">
        <w:rPr>
          <w:b/>
          <w:bCs/>
          <w:szCs w:val="24"/>
        </w:rPr>
        <w:t>Finansavimo sumos</w:t>
      </w:r>
      <w:bookmarkEnd w:id="26"/>
      <w:bookmarkEnd w:id="28"/>
    </w:p>
    <w:p w14:paraId="1136802E" w14:textId="77777777" w:rsidR="00451956" w:rsidRPr="00451956" w:rsidRDefault="00451956" w:rsidP="00451956">
      <w:pPr>
        <w:tabs>
          <w:tab w:val="left" w:pos="1298"/>
        </w:tabs>
        <w:spacing w:line="276" w:lineRule="auto"/>
      </w:pPr>
    </w:p>
    <w:bookmarkEnd w:id="24"/>
    <w:p w14:paraId="72E01231" w14:textId="77777777" w:rsidR="00451956" w:rsidRPr="00451956" w:rsidRDefault="00451956" w:rsidP="00451956">
      <w:pPr>
        <w:numPr>
          <w:ilvl w:val="0"/>
          <w:numId w:val="2"/>
        </w:numPr>
        <w:tabs>
          <w:tab w:val="clear" w:pos="4188"/>
          <w:tab w:val="num" w:pos="360"/>
          <w:tab w:val="num" w:pos="1260"/>
          <w:tab w:val="left" w:pos="1298"/>
        </w:tabs>
        <w:spacing w:line="276" w:lineRule="auto"/>
        <w:ind w:left="0" w:firstLine="720"/>
        <w:jc w:val="both"/>
        <w:rPr>
          <w:rFonts w:cs="Times New Roman"/>
          <w:szCs w:val="24"/>
        </w:rPr>
      </w:pPr>
      <w:r w:rsidRPr="00451956">
        <w:rPr>
          <w:rFonts w:cs="Times New Roman"/>
          <w:szCs w:val="24"/>
        </w:rPr>
        <w:t xml:space="preserve">Finansavimo sumų apskaita tvarkoma pagal 20-ojo VSAFAS </w:t>
      </w:r>
      <w:bookmarkStart w:id="29" w:name="OLE_LINK1"/>
      <w:r w:rsidRPr="00451956">
        <w:rPr>
          <w:rFonts w:cs="Times New Roman"/>
          <w:szCs w:val="24"/>
        </w:rPr>
        <w:t>„Finansavimo sumos</w:t>
      </w:r>
      <w:bookmarkEnd w:id="29"/>
      <w:r w:rsidRPr="00451956">
        <w:rPr>
          <w:rFonts w:cs="Times New Roman"/>
          <w:szCs w:val="24"/>
        </w:rPr>
        <w:t>“ reikalavimus.</w:t>
      </w:r>
    </w:p>
    <w:p w14:paraId="1926C575" w14:textId="77777777" w:rsidR="00451956" w:rsidRPr="00451956" w:rsidRDefault="00451956" w:rsidP="00451956">
      <w:pPr>
        <w:numPr>
          <w:ilvl w:val="0"/>
          <w:numId w:val="2"/>
        </w:numPr>
        <w:tabs>
          <w:tab w:val="clear" w:pos="4188"/>
          <w:tab w:val="num" w:pos="360"/>
          <w:tab w:val="num" w:pos="1260"/>
          <w:tab w:val="left" w:pos="1298"/>
        </w:tabs>
        <w:spacing w:line="276" w:lineRule="auto"/>
        <w:ind w:left="0" w:firstLine="720"/>
        <w:jc w:val="both"/>
        <w:rPr>
          <w:rFonts w:cs="Times New Roman"/>
          <w:szCs w:val="24"/>
        </w:rPr>
      </w:pPr>
      <w:r w:rsidRPr="00451956">
        <w:rPr>
          <w:rFonts w:cs="Times New Roman"/>
          <w:szCs w:val="24"/>
        </w:rPr>
        <w:t>Finansavimo sumos apskaitoje pripažįstamos, kai atitinka 20-ajame VSAFAS „Finansavimo sumos“ nustatytus finansavimo sumų pripažinimo kriterijus.</w:t>
      </w:r>
    </w:p>
    <w:p w14:paraId="7F71E374" w14:textId="77777777" w:rsidR="00451956" w:rsidRPr="00451956" w:rsidRDefault="00451956" w:rsidP="00451956">
      <w:pPr>
        <w:numPr>
          <w:ilvl w:val="0"/>
          <w:numId w:val="2"/>
        </w:numPr>
        <w:tabs>
          <w:tab w:val="clear" w:pos="4188"/>
          <w:tab w:val="num" w:pos="360"/>
          <w:tab w:val="num" w:pos="1260"/>
          <w:tab w:val="left" w:pos="1298"/>
        </w:tabs>
        <w:spacing w:line="276" w:lineRule="auto"/>
        <w:ind w:left="0" w:firstLine="720"/>
        <w:jc w:val="both"/>
        <w:rPr>
          <w:rFonts w:cs="Times New Roman"/>
          <w:szCs w:val="24"/>
        </w:rPr>
      </w:pPr>
      <w:bookmarkStart w:id="30" w:name="_Ref184530647"/>
      <w:r w:rsidRPr="00451956">
        <w:rPr>
          <w:rFonts w:cs="Times New Roman"/>
          <w:szCs w:val="24"/>
        </w:rPr>
        <w:t>IAENF finansavimo sumos skiriamos IAENF vykdomų išmokų, nustatytų teisės aktuose, išlaidoms dengti.</w:t>
      </w:r>
    </w:p>
    <w:p w14:paraId="4F2FE40F" w14:textId="77777777" w:rsidR="00451956" w:rsidRPr="00451956" w:rsidRDefault="00451956" w:rsidP="00451956">
      <w:pPr>
        <w:numPr>
          <w:ilvl w:val="0"/>
          <w:numId w:val="2"/>
        </w:numPr>
        <w:tabs>
          <w:tab w:val="clear" w:pos="4188"/>
          <w:tab w:val="num" w:pos="360"/>
          <w:tab w:val="num" w:pos="1260"/>
          <w:tab w:val="left" w:pos="1298"/>
        </w:tabs>
        <w:spacing w:line="276" w:lineRule="auto"/>
        <w:ind w:left="0" w:firstLine="720"/>
        <w:jc w:val="both"/>
        <w:rPr>
          <w:rFonts w:cs="Times New Roman"/>
          <w:szCs w:val="24"/>
        </w:rPr>
      </w:pPr>
      <w:bookmarkStart w:id="31" w:name="_Ref184530649"/>
      <w:bookmarkStart w:id="32" w:name="_Ref200192293"/>
      <w:bookmarkEnd w:id="30"/>
      <w:r w:rsidRPr="00451956">
        <w:rPr>
          <w:szCs w:val="24"/>
        </w:rPr>
        <w:t>Visos IAENF finansavimo sumos grupuojamos pagal finansavimo šaltinius:</w:t>
      </w:r>
      <w:bookmarkEnd w:id="31"/>
    </w:p>
    <w:p w14:paraId="7B4CE44B" w14:textId="77777777" w:rsidR="00451956" w:rsidRPr="00451956" w:rsidRDefault="00451956" w:rsidP="00451956">
      <w:pPr>
        <w:numPr>
          <w:ilvl w:val="1"/>
          <w:numId w:val="2"/>
        </w:numPr>
        <w:tabs>
          <w:tab w:val="left" w:pos="1298"/>
          <w:tab w:val="num" w:pos="1440"/>
        </w:tabs>
        <w:spacing w:line="276" w:lineRule="auto"/>
        <w:ind w:left="0" w:firstLine="720"/>
        <w:jc w:val="both"/>
        <w:rPr>
          <w:rFonts w:cs="Times New Roman"/>
          <w:szCs w:val="24"/>
        </w:rPr>
      </w:pPr>
      <w:r w:rsidRPr="00451956">
        <w:rPr>
          <w:szCs w:val="24"/>
        </w:rPr>
        <w:t>finansavimo sumos iš užsienio valstybių;</w:t>
      </w:r>
    </w:p>
    <w:p w14:paraId="4FDF1113" w14:textId="77777777" w:rsidR="00451956" w:rsidRPr="00451956" w:rsidRDefault="00451956" w:rsidP="00451956">
      <w:pPr>
        <w:numPr>
          <w:ilvl w:val="1"/>
          <w:numId w:val="2"/>
        </w:numPr>
        <w:tabs>
          <w:tab w:val="left" w:pos="1298"/>
          <w:tab w:val="num" w:pos="1440"/>
        </w:tabs>
        <w:spacing w:line="276" w:lineRule="auto"/>
        <w:ind w:left="0" w:firstLine="720"/>
        <w:jc w:val="both"/>
        <w:rPr>
          <w:rFonts w:cs="Times New Roman"/>
          <w:szCs w:val="24"/>
        </w:rPr>
      </w:pPr>
      <w:r w:rsidRPr="00451956">
        <w:rPr>
          <w:szCs w:val="24"/>
        </w:rPr>
        <w:t>finansavimo sumos iš tarptautinių organizacijų;</w:t>
      </w:r>
    </w:p>
    <w:p w14:paraId="3B9EDB3F" w14:textId="77777777" w:rsidR="00451956" w:rsidRPr="00451956" w:rsidRDefault="00451956" w:rsidP="00451956">
      <w:pPr>
        <w:numPr>
          <w:ilvl w:val="1"/>
          <w:numId w:val="2"/>
        </w:numPr>
        <w:tabs>
          <w:tab w:val="left" w:pos="1298"/>
          <w:tab w:val="num" w:pos="1440"/>
        </w:tabs>
        <w:spacing w:line="276" w:lineRule="auto"/>
        <w:ind w:left="0" w:firstLine="720"/>
        <w:jc w:val="both"/>
        <w:rPr>
          <w:rFonts w:cs="Times New Roman"/>
          <w:szCs w:val="24"/>
        </w:rPr>
      </w:pPr>
      <w:r w:rsidRPr="00451956">
        <w:rPr>
          <w:szCs w:val="24"/>
        </w:rPr>
        <w:t>finansavimo sumos iš Europos Sąjungos (finansinė parama);</w:t>
      </w:r>
    </w:p>
    <w:p w14:paraId="584DD574" w14:textId="77777777" w:rsidR="00451956" w:rsidRPr="00451956" w:rsidRDefault="00451956" w:rsidP="00451956">
      <w:pPr>
        <w:numPr>
          <w:ilvl w:val="1"/>
          <w:numId w:val="2"/>
        </w:numPr>
        <w:tabs>
          <w:tab w:val="left" w:pos="1298"/>
          <w:tab w:val="num" w:pos="1440"/>
        </w:tabs>
        <w:spacing w:line="276" w:lineRule="auto"/>
        <w:ind w:left="0" w:firstLine="720"/>
        <w:jc w:val="both"/>
        <w:rPr>
          <w:rFonts w:cs="Times New Roman"/>
          <w:szCs w:val="24"/>
        </w:rPr>
      </w:pPr>
      <w:r w:rsidRPr="00451956">
        <w:rPr>
          <w:szCs w:val="24"/>
        </w:rPr>
        <w:t>finansavimo sumos iš valstybės biudžeto (neįskaitant Europos Sąjungos struktūrinių fondų finansinės paramos);</w:t>
      </w:r>
    </w:p>
    <w:p w14:paraId="3D02AD9D" w14:textId="77777777" w:rsidR="00451956" w:rsidRPr="00451956" w:rsidRDefault="00451956" w:rsidP="00451956">
      <w:pPr>
        <w:numPr>
          <w:ilvl w:val="1"/>
          <w:numId w:val="2"/>
        </w:numPr>
        <w:tabs>
          <w:tab w:val="left" w:pos="1298"/>
          <w:tab w:val="num" w:pos="1440"/>
        </w:tabs>
        <w:spacing w:line="276" w:lineRule="auto"/>
        <w:ind w:left="0" w:firstLine="720"/>
        <w:jc w:val="both"/>
      </w:pPr>
      <w:r w:rsidRPr="00451956">
        <w:rPr>
          <w:szCs w:val="24"/>
        </w:rPr>
        <w:t xml:space="preserve">finansavimo sumos iš kitų šaltinių </w:t>
      </w:r>
      <w:r w:rsidRPr="00451956">
        <w:t>(finansų įstaigų ir Lietuvos Respublikos juridinių bei fizinių asmenų savanoriški tiksliniai įnašai).</w:t>
      </w:r>
    </w:p>
    <w:p w14:paraId="2ACB3E26" w14:textId="77777777" w:rsidR="00451956" w:rsidRPr="00451956" w:rsidRDefault="00451956" w:rsidP="00451956">
      <w:pPr>
        <w:numPr>
          <w:ilvl w:val="0"/>
          <w:numId w:val="2"/>
        </w:numPr>
        <w:tabs>
          <w:tab w:val="clear" w:pos="4188"/>
          <w:tab w:val="num" w:pos="360"/>
          <w:tab w:val="left" w:pos="1260"/>
          <w:tab w:val="left" w:pos="1298"/>
        </w:tabs>
        <w:spacing w:line="276" w:lineRule="auto"/>
        <w:ind w:left="0" w:firstLine="720"/>
        <w:jc w:val="both"/>
      </w:pPr>
      <w:r w:rsidRPr="00451956">
        <w:t>Gautinos finansavimo sumos IAENF apskaitoje pripažįstamos tik tuo atveju, kai IAENF apskaitos tvarkytojas turi sudaręs finansavimo sutartį su finansavimo sumų teikėju, kurioje numatytas periodinis finansavimo sumų pervedimas IAENF apskaitos tvarkytojui, ir praktinė patirtis rodo, kad finansavimo sumų teikėjas sutarties laikosi. Tokiu atveju, jei sutartyje nurodytu laiku finansavimo sumų teikėjas nepervedė nurodytos sumos į IAENF, IAENF apskaitos tvarkytojas surašo buhalterinę pažymą, pagal kurią registruoja gautinas finansavimo sumas. Kitais atvejais gautinos finansavimo sumos IAENF apskaitoje nepripažįstamos.</w:t>
      </w:r>
    </w:p>
    <w:p w14:paraId="521BF0AD" w14:textId="77777777" w:rsidR="00451956" w:rsidRPr="00451956" w:rsidRDefault="00451956" w:rsidP="00451956">
      <w:pPr>
        <w:numPr>
          <w:ilvl w:val="0"/>
          <w:numId w:val="2"/>
        </w:numPr>
        <w:tabs>
          <w:tab w:val="clear" w:pos="4188"/>
          <w:tab w:val="num" w:pos="360"/>
          <w:tab w:val="left" w:pos="1260"/>
          <w:tab w:val="left" w:pos="1298"/>
        </w:tabs>
        <w:spacing w:line="276" w:lineRule="auto"/>
        <w:ind w:left="0" w:firstLine="720"/>
        <w:jc w:val="both"/>
        <w:rPr>
          <w:szCs w:val="24"/>
        </w:rPr>
      </w:pPr>
      <w:r w:rsidRPr="00451956">
        <w:t xml:space="preserve">IAENF </w:t>
      </w:r>
      <w:r w:rsidRPr="00451956">
        <w:rPr>
          <w:szCs w:val="24"/>
        </w:rPr>
        <w:t xml:space="preserve">finansavimo sumas suteikia kitiems viešojo ir ne viešojo sektoriaus subjektams šiems poreikiams finansuoti: </w:t>
      </w:r>
    </w:p>
    <w:p w14:paraId="14ECF185" w14:textId="77777777" w:rsidR="00451956" w:rsidRPr="00451956" w:rsidRDefault="00451956" w:rsidP="00451956">
      <w:pPr>
        <w:numPr>
          <w:ilvl w:val="1"/>
          <w:numId w:val="2"/>
        </w:numPr>
        <w:tabs>
          <w:tab w:val="left" w:pos="1134"/>
        </w:tabs>
        <w:spacing w:line="276" w:lineRule="auto"/>
        <w:ind w:left="709" w:firstLine="0"/>
        <w:jc w:val="both"/>
        <w:rPr>
          <w:szCs w:val="24"/>
        </w:rPr>
      </w:pPr>
      <w:r w:rsidRPr="00451956">
        <w:rPr>
          <w:szCs w:val="24"/>
        </w:rPr>
        <w:t>Ignalinos AE eksploatavimo nutraukimo techniniams projektams;</w:t>
      </w:r>
    </w:p>
    <w:p w14:paraId="60FA3888" w14:textId="77777777" w:rsidR="00451956" w:rsidRPr="00451956" w:rsidRDefault="00451956" w:rsidP="00451956">
      <w:pPr>
        <w:numPr>
          <w:ilvl w:val="1"/>
          <w:numId w:val="2"/>
        </w:numPr>
        <w:tabs>
          <w:tab w:val="left" w:pos="1134"/>
          <w:tab w:val="left" w:pos="1276"/>
        </w:tabs>
        <w:spacing w:line="276" w:lineRule="auto"/>
        <w:ind w:left="0" w:firstLine="720"/>
        <w:jc w:val="both"/>
        <w:rPr>
          <w:szCs w:val="24"/>
        </w:rPr>
      </w:pPr>
      <w:r w:rsidRPr="00451956">
        <w:rPr>
          <w:szCs w:val="24"/>
        </w:rPr>
        <w:t>Ignalinos AE sustabdytų blokų priežiūrai ir fizinei saugai užtikrinti;</w:t>
      </w:r>
    </w:p>
    <w:p w14:paraId="7A57A29A" w14:textId="77777777" w:rsidR="00451956" w:rsidRPr="00451956" w:rsidRDefault="00451956" w:rsidP="00451956">
      <w:pPr>
        <w:numPr>
          <w:ilvl w:val="1"/>
          <w:numId w:val="2"/>
        </w:numPr>
        <w:tabs>
          <w:tab w:val="left" w:pos="1134"/>
        </w:tabs>
        <w:spacing w:line="276" w:lineRule="auto"/>
        <w:ind w:left="0" w:firstLine="709"/>
        <w:jc w:val="both"/>
        <w:rPr>
          <w:szCs w:val="24"/>
        </w:rPr>
      </w:pPr>
      <w:r w:rsidRPr="00451956">
        <w:rPr>
          <w:szCs w:val="24"/>
        </w:rPr>
        <w:t xml:space="preserve">neigiamiems socialiniams ir ekonominiams Ignalinos AE eksploatavimo nutraukimo padariniams Lietuvos Respublikos Ignalinos </w:t>
      </w:r>
      <w:r w:rsidR="00B20A85">
        <w:rPr>
          <w:szCs w:val="24"/>
        </w:rPr>
        <w:t>AE</w:t>
      </w:r>
      <w:r w:rsidRPr="00451956">
        <w:rPr>
          <w:szCs w:val="24"/>
        </w:rPr>
        <w:t xml:space="preserve"> regione sušvelninti – Lietuvos Respublikos valstybės įmonės Ignalinos atominės elektrinės darbuotojų papildomų užimtumo ir socialinių garantijų įstatymo nuostatoms įgyvendinti, teisės aktų nustatyta tvarka Ignalinos AE regiono gyventojams daliai elektros energijos kainos kompensuoti ir kitoms </w:t>
      </w:r>
      <w:r w:rsidR="00D61ADF">
        <w:rPr>
          <w:szCs w:val="24"/>
        </w:rPr>
        <w:t xml:space="preserve">Lietuvos Respublikos </w:t>
      </w:r>
      <w:r w:rsidRPr="00451956">
        <w:rPr>
          <w:szCs w:val="24"/>
        </w:rPr>
        <w:t>Vyriausybės patvirtintoms priemonėms;</w:t>
      </w:r>
    </w:p>
    <w:p w14:paraId="0F05EF0D" w14:textId="77777777" w:rsidR="00451956" w:rsidRPr="00451956" w:rsidRDefault="00451956" w:rsidP="00451956">
      <w:pPr>
        <w:numPr>
          <w:ilvl w:val="1"/>
          <w:numId w:val="2"/>
        </w:numPr>
        <w:tabs>
          <w:tab w:val="left" w:pos="1134"/>
        </w:tabs>
        <w:spacing w:line="276" w:lineRule="auto"/>
        <w:ind w:left="0" w:firstLine="709"/>
        <w:jc w:val="both"/>
        <w:rPr>
          <w:szCs w:val="24"/>
        </w:rPr>
      </w:pPr>
      <w:r w:rsidRPr="00451956">
        <w:rPr>
          <w:szCs w:val="24"/>
        </w:rPr>
        <w:t>Ignalinos AE radioaktyviosioms atliekoms, įskaitant panaudotą branduolinį kurą, tvarkyti, saugoti, laidoti ir jų kapinynų institucinei priežiūrai vykdyti;</w:t>
      </w:r>
    </w:p>
    <w:p w14:paraId="71B077FF" w14:textId="77777777" w:rsidR="00451956" w:rsidRPr="00451956" w:rsidRDefault="00451956" w:rsidP="00451956">
      <w:pPr>
        <w:numPr>
          <w:ilvl w:val="1"/>
          <w:numId w:val="2"/>
        </w:numPr>
        <w:spacing w:line="276" w:lineRule="auto"/>
        <w:ind w:left="0" w:firstLine="720"/>
        <w:jc w:val="both"/>
        <w:rPr>
          <w:szCs w:val="24"/>
        </w:rPr>
      </w:pPr>
      <w:r w:rsidRPr="00451956">
        <w:rPr>
          <w:szCs w:val="24"/>
        </w:rPr>
        <w:t>branduolinei žalai atlyginti;</w:t>
      </w:r>
    </w:p>
    <w:p w14:paraId="19F86D45" w14:textId="77777777" w:rsidR="00451956" w:rsidRPr="00451956" w:rsidRDefault="00451956" w:rsidP="00451956">
      <w:pPr>
        <w:numPr>
          <w:ilvl w:val="1"/>
          <w:numId w:val="2"/>
        </w:numPr>
        <w:spacing w:line="276" w:lineRule="auto"/>
        <w:ind w:left="0" w:firstLine="720"/>
        <w:jc w:val="both"/>
        <w:rPr>
          <w:szCs w:val="24"/>
        </w:rPr>
      </w:pPr>
      <w:r w:rsidRPr="00451956">
        <w:rPr>
          <w:szCs w:val="24"/>
        </w:rPr>
        <w:t>Fondo administravimo išlaidoms padengti.</w:t>
      </w:r>
    </w:p>
    <w:p w14:paraId="6A84BED0" w14:textId="77777777" w:rsidR="00451956" w:rsidRPr="00451956" w:rsidRDefault="00451956" w:rsidP="00451956">
      <w:pPr>
        <w:numPr>
          <w:ilvl w:val="0"/>
          <w:numId w:val="2"/>
        </w:numPr>
        <w:tabs>
          <w:tab w:val="clear" w:pos="4188"/>
          <w:tab w:val="num" w:pos="360"/>
          <w:tab w:val="left" w:pos="1298"/>
          <w:tab w:val="left" w:pos="1440"/>
        </w:tabs>
        <w:spacing w:line="276" w:lineRule="auto"/>
        <w:ind w:left="0" w:firstLine="720"/>
        <w:jc w:val="both"/>
      </w:pPr>
      <w:r w:rsidRPr="00451956">
        <w:t xml:space="preserve">IAENF apskaitoje finansavimo sumų perdavimas arba panaudojimas pagal buhalterinę pažymą, kuri surašoma pagal IAENF apskaitos tvarkytojo gautas ir patvirtintas mokėjimo paraiškas, iš </w:t>
      </w:r>
      <w:r w:rsidRPr="00451956">
        <w:lastRenderedPageBreak/>
        <w:t>IAENF administratoriaus gautas ataskaitas ar kitus dokumentus, kuriais suteikiama teisė gauti finansavimo sumas, registruojamas taip:</w:t>
      </w:r>
    </w:p>
    <w:p w14:paraId="01992E19" w14:textId="77777777" w:rsidR="00451956" w:rsidRPr="00451956" w:rsidRDefault="00451956" w:rsidP="00451956">
      <w:pPr>
        <w:numPr>
          <w:ilvl w:val="1"/>
          <w:numId w:val="2"/>
        </w:numPr>
        <w:tabs>
          <w:tab w:val="left" w:pos="1134"/>
          <w:tab w:val="left" w:pos="1298"/>
          <w:tab w:val="num" w:pos="2520"/>
        </w:tabs>
        <w:spacing w:line="276" w:lineRule="auto"/>
        <w:ind w:left="0" w:firstLine="720"/>
        <w:jc w:val="both"/>
      </w:pPr>
      <w:r w:rsidRPr="00451956">
        <w:t>jei finansavimo sumos suteikiamos avansu, nei perduotos finansavimo sumos arba finansavimo sąnaudos, nei panaudotos finansavimo sumos neregistruojamos tol, kol negaunamos ataskaitos, kuriose nurodyta, kokia dalis pervestų avansinių mokėjimų buvo panaudota tinkamoms finansuoti išlaidoms padengti;</w:t>
      </w:r>
    </w:p>
    <w:p w14:paraId="6C8A2436" w14:textId="77777777" w:rsidR="00451956" w:rsidRPr="00451956" w:rsidRDefault="00451956" w:rsidP="00451956">
      <w:pPr>
        <w:numPr>
          <w:ilvl w:val="1"/>
          <w:numId w:val="2"/>
        </w:numPr>
        <w:tabs>
          <w:tab w:val="left" w:pos="1134"/>
          <w:tab w:val="left" w:pos="1298"/>
          <w:tab w:val="num" w:pos="2520"/>
        </w:tabs>
        <w:spacing w:line="276" w:lineRule="auto"/>
        <w:ind w:left="0" w:firstLine="720"/>
        <w:jc w:val="both"/>
      </w:pPr>
      <w:r w:rsidRPr="00451956">
        <w:t>jei finansavimo sumos suteikiamos iš IAENF savarankiškų pajamų (pajamų, gautų už parduotą turtą, finansinės ir investicinės veiklos pajamų ir kt.) jau patirtos projektų vykdytojų arba IAENF administratoriaus sąnaudoms apmokėti, registruojamos mokėtinos finansavimo sumos ir finansavimo sąnaudos;</w:t>
      </w:r>
    </w:p>
    <w:p w14:paraId="0A9C0F20" w14:textId="77777777" w:rsidR="00451956" w:rsidRPr="00451956" w:rsidRDefault="00451956" w:rsidP="00451956">
      <w:pPr>
        <w:numPr>
          <w:ilvl w:val="1"/>
          <w:numId w:val="2"/>
        </w:numPr>
        <w:tabs>
          <w:tab w:val="left" w:pos="1134"/>
          <w:tab w:val="left" w:pos="1298"/>
          <w:tab w:val="num" w:pos="2520"/>
        </w:tabs>
        <w:spacing w:line="276" w:lineRule="auto"/>
        <w:ind w:left="0" w:firstLine="720"/>
        <w:jc w:val="both"/>
      </w:pPr>
      <w:r w:rsidRPr="00451956">
        <w:t xml:space="preserve">jei finansavimo sumos viešojo sektoriaus subjektui suteikiamos iš IAENF gautų finansavimo sumų iš užsienio šalių, tarptautinių organizacijų, kitų šaltinių, registruojamos perduotos finansavimo sumos; </w:t>
      </w:r>
    </w:p>
    <w:p w14:paraId="1FFD0609" w14:textId="77777777" w:rsidR="00451956" w:rsidRPr="00451956" w:rsidRDefault="00451956" w:rsidP="00451956">
      <w:pPr>
        <w:numPr>
          <w:ilvl w:val="1"/>
          <w:numId w:val="2"/>
        </w:numPr>
        <w:tabs>
          <w:tab w:val="left" w:pos="1134"/>
          <w:tab w:val="left" w:pos="1298"/>
          <w:tab w:val="num" w:pos="2520"/>
        </w:tabs>
        <w:spacing w:line="276" w:lineRule="auto"/>
        <w:ind w:left="0" w:firstLine="720"/>
        <w:jc w:val="both"/>
      </w:pPr>
      <w:r w:rsidRPr="00451956">
        <w:t>jei finansavimo sumos nustatytiems tikslams vykdyti ne viešojo sektoriaus subjektui suteikiamos iš IAENF gautų finansavimo sumų iš užsienio šalių, tarptautinių organizacijų, kitų šaltinių, registruojamos mokėtinos finansavimo sumos ir finansavimo sąnaudos, ir tuo pačiu metu tos pačios sumos registruojamos kaip panaudotos finansavimo sumos ir finansavimo pajamos.</w:t>
      </w:r>
    </w:p>
    <w:bookmarkEnd w:id="32"/>
    <w:p w14:paraId="48DD3EB7" w14:textId="77777777" w:rsidR="00451956" w:rsidRPr="00451956" w:rsidRDefault="00451956" w:rsidP="00451956">
      <w:pPr>
        <w:numPr>
          <w:ilvl w:val="0"/>
          <w:numId w:val="2"/>
        </w:numPr>
        <w:tabs>
          <w:tab w:val="clear" w:pos="4188"/>
          <w:tab w:val="num" w:pos="360"/>
          <w:tab w:val="left" w:pos="1134"/>
        </w:tabs>
        <w:spacing w:line="276" w:lineRule="auto"/>
        <w:ind w:left="0" w:firstLine="720"/>
        <w:jc w:val="both"/>
        <w:rPr>
          <w:rFonts w:cs="Times New Roman"/>
          <w:szCs w:val="24"/>
        </w:rPr>
      </w:pPr>
      <w:r w:rsidRPr="00451956">
        <w:rPr>
          <w:rFonts w:cs="Times New Roman"/>
          <w:szCs w:val="24"/>
        </w:rPr>
        <w:t xml:space="preserve">Finansavimo sumomis nelaikomi iš kitų išteklių fondų gauti pinigai, </w:t>
      </w:r>
      <w:r w:rsidRPr="00451956">
        <w:rPr>
          <w:szCs w:val="24"/>
        </w:rPr>
        <w:t xml:space="preserve">laikinai grąžintinai pervesti į IAENF sąskaitą ir </w:t>
      </w:r>
      <w:r w:rsidR="00D61ADF">
        <w:rPr>
          <w:szCs w:val="24"/>
        </w:rPr>
        <w:t>Lietuvos Respublikos f</w:t>
      </w:r>
      <w:r w:rsidRPr="00451956">
        <w:rPr>
          <w:szCs w:val="24"/>
        </w:rPr>
        <w:t xml:space="preserve">inansų ministro nustatyta tvarka naudojami IAENF veiklai finansuoti, taip pat su Lietuvos Respublikos skolos įstatymo ir kitų įstatymų įgyvendinimu atsirandantiems valstybės turtiniams įsipareigojimams vykdyti, kurie laikomi išteklių fondo finansiniu įsipareigojimu (gauta paskola) valstybės iždui arba kitam išteklių fondui. </w:t>
      </w:r>
    </w:p>
    <w:p w14:paraId="6ABBDC34" w14:textId="77777777" w:rsidR="00451956" w:rsidRPr="00451956" w:rsidRDefault="00451956" w:rsidP="00451956">
      <w:pPr>
        <w:tabs>
          <w:tab w:val="left" w:pos="1260"/>
          <w:tab w:val="left" w:pos="1298"/>
        </w:tabs>
        <w:spacing w:line="276" w:lineRule="auto"/>
        <w:jc w:val="both"/>
        <w:rPr>
          <w:i/>
        </w:rPr>
      </w:pPr>
    </w:p>
    <w:p w14:paraId="43FB9C0B" w14:textId="77777777" w:rsidR="00451956" w:rsidRPr="00451956" w:rsidRDefault="00451956" w:rsidP="00451956">
      <w:pPr>
        <w:tabs>
          <w:tab w:val="left" w:pos="1298"/>
          <w:tab w:val="left" w:pos="1440"/>
          <w:tab w:val="num" w:pos="1872"/>
        </w:tabs>
        <w:spacing w:line="276" w:lineRule="auto"/>
        <w:jc w:val="center"/>
        <w:rPr>
          <w:b/>
          <w:szCs w:val="24"/>
        </w:rPr>
      </w:pPr>
      <w:r w:rsidRPr="00451956">
        <w:rPr>
          <w:b/>
        </w:rPr>
        <w:t>Gautinos, gautos ir mokėtinos finansavimo sumos</w:t>
      </w:r>
    </w:p>
    <w:p w14:paraId="269E3414" w14:textId="77777777" w:rsidR="00451956" w:rsidRPr="00451956" w:rsidRDefault="00451956" w:rsidP="00451956">
      <w:pPr>
        <w:tabs>
          <w:tab w:val="left" w:pos="1298"/>
          <w:tab w:val="left" w:pos="1440"/>
          <w:tab w:val="num" w:pos="1872"/>
        </w:tabs>
        <w:spacing w:line="276" w:lineRule="auto"/>
        <w:jc w:val="both"/>
        <w:rPr>
          <w:szCs w:val="24"/>
        </w:rPr>
      </w:pPr>
    </w:p>
    <w:p w14:paraId="1E40B431" w14:textId="77777777" w:rsidR="00451956" w:rsidRPr="00451956" w:rsidRDefault="00451956" w:rsidP="00451956">
      <w:pPr>
        <w:numPr>
          <w:ilvl w:val="0"/>
          <w:numId w:val="2"/>
        </w:numPr>
        <w:tabs>
          <w:tab w:val="clear" w:pos="4188"/>
          <w:tab w:val="num" w:pos="360"/>
          <w:tab w:val="left" w:pos="1260"/>
          <w:tab w:val="left" w:pos="1298"/>
        </w:tabs>
        <w:spacing w:line="276" w:lineRule="auto"/>
        <w:ind w:left="0" w:firstLine="720"/>
        <w:jc w:val="both"/>
        <w:rPr>
          <w:szCs w:val="24"/>
        </w:rPr>
      </w:pPr>
      <w:bookmarkStart w:id="33" w:name="_Ref214790451"/>
      <w:r w:rsidRPr="00451956">
        <w:rPr>
          <w:szCs w:val="24"/>
        </w:rPr>
        <w:t>Gautinos finansavimo sumos IAENF apskaitoje registruojamos tuomet, kai remiantis dokumentais (pvz., mokėjimo paraiška) galima tiksliai įvertinti gautiną finansavimo sumą ir yra tiksliai žinoma, jog ši suma bus gauta.</w:t>
      </w:r>
      <w:bookmarkEnd w:id="33"/>
    </w:p>
    <w:p w14:paraId="334D75DF" w14:textId="77777777" w:rsidR="00451956" w:rsidRPr="00451956" w:rsidRDefault="00451956" w:rsidP="00451956">
      <w:pPr>
        <w:numPr>
          <w:ilvl w:val="0"/>
          <w:numId w:val="2"/>
        </w:numPr>
        <w:tabs>
          <w:tab w:val="clear" w:pos="4188"/>
          <w:tab w:val="num" w:pos="360"/>
          <w:tab w:val="left" w:pos="1260"/>
          <w:tab w:val="left" w:pos="1298"/>
        </w:tabs>
        <w:spacing w:line="276" w:lineRule="auto"/>
        <w:ind w:left="0" w:firstLine="720"/>
        <w:jc w:val="both"/>
        <w:rPr>
          <w:szCs w:val="24"/>
        </w:rPr>
      </w:pPr>
      <w:r w:rsidRPr="00451956">
        <w:rPr>
          <w:szCs w:val="24"/>
        </w:rPr>
        <w:t>Kai nėra apskaitos dokumento,</w:t>
      </w:r>
      <w:r w:rsidRPr="00451956">
        <w:t xml:space="preserve"> pagal kurį būtų galima registruoti gautinas finansavimo sumas, bet labai tikėtina, kad IAENF gaus konkrečią sumą, registruojamos sukauptos gautinos finansavimo sumos (galima vadinti ir sukauptomis finansavimo pajamomis).</w:t>
      </w:r>
    </w:p>
    <w:p w14:paraId="3DAFBD16" w14:textId="77777777" w:rsidR="00451956" w:rsidRPr="00451956" w:rsidRDefault="00451956" w:rsidP="00451956">
      <w:pPr>
        <w:numPr>
          <w:ilvl w:val="0"/>
          <w:numId w:val="2"/>
        </w:numPr>
        <w:tabs>
          <w:tab w:val="clear" w:pos="4188"/>
          <w:tab w:val="num" w:pos="360"/>
          <w:tab w:val="left" w:pos="1260"/>
          <w:tab w:val="left" w:pos="1298"/>
        </w:tabs>
        <w:spacing w:line="276" w:lineRule="auto"/>
        <w:ind w:left="0" w:firstLine="720"/>
        <w:jc w:val="both"/>
      </w:pPr>
      <w:bookmarkStart w:id="34" w:name="_Ref214790474"/>
      <w:r w:rsidRPr="00451956">
        <w:rPr>
          <w:szCs w:val="24"/>
        </w:rPr>
        <w:t>Gautinos ir gautos finansavimo sumos apskaitoje registruojamos pagal detalizavimo požymius, nurodant finansavimo sumos teikėją.</w:t>
      </w:r>
      <w:bookmarkEnd w:id="34"/>
    </w:p>
    <w:p w14:paraId="19F5BD00" w14:textId="77777777" w:rsidR="00451956" w:rsidRPr="00451956" w:rsidRDefault="00451956" w:rsidP="00451956">
      <w:pPr>
        <w:numPr>
          <w:ilvl w:val="0"/>
          <w:numId w:val="2"/>
        </w:numPr>
        <w:tabs>
          <w:tab w:val="clear" w:pos="4188"/>
          <w:tab w:val="num" w:pos="360"/>
          <w:tab w:val="num" w:pos="1260"/>
          <w:tab w:val="left" w:pos="1298"/>
        </w:tabs>
        <w:spacing w:line="276" w:lineRule="auto"/>
        <w:ind w:left="0" w:firstLine="720"/>
        <w:jc w:val="both"/>
        <w:rPr>
          <w:rFonts w:cs="Times New Roman"/>
          <w:szCs w:val="24"/>
        </w:rPr>
      </w:pPr>
      <w:r w:rsidRPr="00451956">
        <w:rPr>
          <w:szCs w:val="24"/>
        </w:rPr>
        <w:t xml:space="preserve">Gautų finansavimo sumų sąskaita yra skirstoma į gautas, panaudotas, perduotas ir grąžintas finansavimo sumas. </w:t>
      </w:r>
    </w:p>
    <w:p w14:paraId="036071D6" w14:textId="77777777" w:rsidR="00451956" w:rsidRPr="00451956" w:rsidRDefault="00451956" w:rsidP="00451956">
      <w:pPr>
        <w:numPr>
          <w:ilvl w:val="0"/>
          <w:numId w:val="2"/>
        </w:numPr>
        <w:tabs>
          <w:tab w:val="clear" w:pos="4188"/>
          <w:tab w:val="num" w:pos="360"/>
          <w:tab w:val="left" w:pos="1260"/>
          <w:tab w:val="left" w:pos="1298"/>
        </w:tabs>
        <w:spacing w:line="276" w:lineRule="auto"/>
        <w:ind w:left="0" w:firstLine="720"/>
        <w:jc w:val="both"/>
        <w:rPr>
          <w:szCs w:val="24"/>
        </w:rPr>
      </w:pPr>
      <w:r w:rsidRPr="00451956">
        <w:rPr>
          <w:szCs w:val="24"/>
        </w:rPr>
        <w:t>Gautos finansavimo sumos apskaitoje registruojamos tuomet, kai pinigai faktiškai</w:t>
      </w:r>
      <w:r w:rsidR="00B17C82">
        <w:rPr>
          <w:szCs w:val="24"/>
        </w:rPr>
        <w:t xml:space="preserve"> gaunami į IAENF banko sąskaitą</w:t>
      </w:r>
      <w:r w:rsidRPr="00451956">
        <w:rPr>
          <w:szCs w:val="24"/>
        </w:rPr>
        <w:t xml:space="preserve">. </w:t>
      </w:r>
    </w:p>
    <w:p w14:paraId="25FBC123" w14:textId="77777777" w:rsidR="00451956" w:rsidRPr="00451956" w:rsidRDefault="00451956" w:rsidP="00451956">
      <w:pPr>
        <w:numPr>
          <w:ilvl w:val="0"/>
          <w:numId w:val="2"/>
        </w:numPr>
        <w:tabs>
          <w:tab w:val="clear" w:pos="4188"/>
          <w:tab w:val="num" w:pos="360"/>
          <w:tab w:val="left" w:pos="1260"/>
          <w:tab w:val="left" w:pos="1298"/>
        </w:tabs>
        <w:spacing w:line="276" w:lineRule="auto"/>
        <w:ind w:left="0" w:firstLine="720"/>
        <w:jc w:val="both"/>
        <w:rPr>
          <w:szCs w:val="24"/>
        </w:rPr>
      </w:pPr>
      <w:r w:rsidRPr="00451956">
        <w:rPr>
          <w:szCs w:val="24"/>
        </w:rPr>
        <w:t>Jeigu gautai finansavimo sumai prieš tai buvo užregistruota gautina finansavimo suma, tuomet registruojant gautą finansavimo sumą atitinkama suma sumažinam</w:t>
      </w:r>
      <w:r w:rsidR="00B17C82">
        <w:rPr>
          <w:szCs w:val="24"/>
        </w:rPr>
        <w:t>a gautina finansavimo suma</w:t>
      </w:r>
      <w:r w:rsidRPr="00451956">
        <w:rPr>
          <w:szCs w:val="24"/>
        </w:rPr>
        <w:t>.</w:t>
      </w:r>
    </w:p>
    <w:p w14:paraId="462D1D80" w14:textId="77777777" w:rsidR="00451956" w:rsidRPr="00451956" w:rsidRDefault="00451956" w:rsidP="00451956">
      <w:pPr>
        <w:numPr>
          <w:ilvl w:val="0"/>
          <w:numId w:val="2"/>
        </w:numPr>
        <w:tabs>
          <w:tab w:val="clear" w:pos="4188"/>
          <w:tab w:val="num" w:pos="360"/>
          <w:tab w:val="left" w:pos="1260"/>
          <w:tab w:val="left" w:pos="1298"/>
        </w:tabs>
        <w:spacing w:line="276" w:lineRule="auto"/>
        <w:ind w:left="0" w:firstLine="720"/>
        <w:jc w:val="both"/>
        <w:rPr>
          <w:szCs w:val="24"/>
        </w:rPr>
      </w:pPr>
      <w:bookmarkStart w:id="35" w:name="_Ref227740209"/>
      <w:r w:rsidRPr="00451956">
        <w:rPr>
          <w:szCs w:val="24"/>
        </w:rPr>
        <w:t>Jeigu IAENF gautos finansavimo sumos panaudojamos ne IAENF</w:t>
      </w:r>
      <w:r w:rsidRPr="00451956">
        <w:rPr>
          <w:i/>
          <w:szCs w:val="24"/>
        </w:rPr>
        <w:t xml:space="preserve"> </w:t>
      </w:r>
      <w:r w:rsidRPr="00451956">
        <w:rPr>
          <w:szCs w:val="24"/>
        </w:rPr>
        <w:t xml:space="preserve">sąnaudoms kompensuoti, o perduodamos kitiems viešojo sektoriaus subjektams, tuomet yra registruojamos perduotos finansavimo sumos. Perduotos finansavimo sumos nelaikomos panaudotomis ir nepripažįstamos finansavimo pajamomis, nes IAENF administruojantis subjektas tik perduoda IAENF finansavimo sumas kitiems viešojo sektoriaus subjektams (veikia kaip tarpininkas). </w:t>
      </w:r>
      <w:r w:rsidRPr="00451956">
        <w:t xml:space="preserve">Gautos finansavimo </w:t>
      </w:r>
      <w:r w:rsidRPr="00451956">
        <w:lastRenderedPageBreak/>
        <w:t xml:space="preserve">sumos mažinamos perduotomis finansavimo sumomis. </w:t>
      </w:r>
      <w:r w:rsidRPr="00451956">
        <w:rPr>
          <w:szCs w:val="24"/>
        </w:rPr>
        <w:t>Finansavimo sumų perdavimas registruojamas kartu su mokėtinomis finansavimo sumomis, patvirtinus finansuojamo viešojo sektoriaus subjekto finansavimo pagrindimo dokumentus</w:t>
      </w:r>
      <w:r w:rsidRPr="00451956">
        <w:rPr>
          <w:lang w:eastAsia="en-US"/>
        </w:rPr>
        <w:t>.</w:t>
      </w:r>
      <w:bookmarkEnd w:id="35"/>
    </w:p>
    <w:p w14:paraId="4BD1A3C5" w14:textId="77777777" w:rsidR="00451956" w:rsidRPr="00451956" w:rsidRDefault="00451956" w:rsidP="00451956">
      <w:pPr>
        <w:numPr>
          <w:ilvl w:val="0"/>
          <w:numId w:val="2"/>
        </w:numPr>
        <w:tabs>
          <w:tab w:val="clear" w:pos="4188"/>
          <w:tab w:val="num" w:pos="360"/>
          <w:tab w:val="left" w:pos="1260"/>
          <w:tab w:val="left" w:pos="1298"/>
        </w:tabs>
        <w:spacing w:line="276" w:lineRule="auto"/>
        <w:ind w:left="0" w:firstLine="720"/>
        <w:jc w:val="both"/>
        <w:rPr>
          <w:szCs w:val="24"/>
        </w:rPr>
      </w:pPr>
      <w:r w:rsidRPr="00451956">
        <w:rPr>
          <w:szCs w:val="24"/>
        </w:rPr>
        <w:t xml:space="preserve">Registruojant perduotas finansavimo sumas apskaitoje, nurodomi subjektai, kuriems skiriamos finansavimo sumos, finansavimo šaltiniai, o registruojant panaudotas finansavimo sumas – nurodomi finansavimo šaltiniai ir kiti reikalingi detalizuojantys požymiai. </w:t>
      </w:r>
    </w:p>
    <w:p w14:paraId="4484A877" w14:textId="77777777" w:rsidR="00451956" w:rsidRPr="00451956" w:rsidRDefault="00451956" w:rsidP="00451956">
      <w:pPr>
        <w:numPr>
          <w:ilvl w:val="0"/>
          <w:numId w:val="2"/>
        </w:numPr>
        <w:tabs>
          <w:tab w:val="clear" w:pos="4188"/>
          <w:tab w:val="num" w:pos="360"/>
          <w:tab w:val="left" w:pos="1260"/>
          <w:tab w:val="left" w:pos="1298"/>
        </w:tabs>
        <w:spacing w:line="276" w:lineRule="auto"/>
        <w:ind w:left="0" w:firstLine="720"/>
        <w:jc w:val="both"/>
        <w:rPr>
          <w:szCs w:val="24"/>
        </w:rPr>
      </w:pPr>
      <w:bookmarkStart w:id="36" w:name="_Ref213731956"/>
      <w:r w:rsidRPr="00451956">
        <w:rPr>
          <w:szCs w:val="18"/>
        </w:rPr>
        <w:t xml:space="preserve">Per 20 darbo dienų pasibaigus ataskaitiniam ketvirčiui IAENF </w:t>
      </w:r>
      <w:bookmarkStart w:id="37" w:name="_Ref220920556"/>
      <w:r w:rsidRPr="00451956">
        <w:rPr>
          <w:szCs w:val="18"/>
        </w:rPr>
        <w:t xml:space="preserve">apskaitos tvarkytojas iš kiekvieno finansuojamo viešojo sektoriaus subjekto turi gauti suderinimo pažymas, </w:t>
      </w:r>
      <w:bookmarkEnd w:id="37"/>
      <w:r w:rsidRPr="00451956">
        <w:rPr>
          <w:szCs w:val="18"/>
        </w:rPr>
        <w:t>kuriose turi būti nurodyta ši informacija pagal paskutinės ataskaitinio laikotarpio dienos finansavimo sumų gavėjo būklę:</w:t>
      </w:r>
      <w:bookmarkEnd w:id="36"/>
    </w:p>
    <w:p w14:paraId="303FA649" w14:textId="77777777" w:rsidR="00451956" w:rsidRPr="00451956" w:rsidRDefault="00451956" w:rsidP="00451956">
      <w:pPr>
        <w:numPr>
          <w:ilvl w:val="1"/>
          <w:numId w:val="2"/>
        </w:numPr>
        <w:tabs>
          <w:tab w:val="left" w:pos="1298"/>
          <w:tab w:val="left" w:pos="1440"/>
        </w:tabs>
        <w:spacing w:line="276" w:lineRule="auto"/>
        <w:ind w:left="0" w:firstLine="720"/>
        <w:jc w:val="both"/>
        <w:rPr>
          <w:szCs w:val="24"/>
        </w:rPr>
      </w:pPr>
      <w:r w:rsidRPr="00451956">
        <w:rPr>
          <w:szCs w:val="24"/>
        </w:rPr>
        <w:t>sukauptos finansavimo pajamos (atitinkančios viešojo sektoriaus subjekto per ataskaitinį laikotarpį turėtas sąnaudas, kurios turi būti arba bus finansuojamos iš Fondo gautomis finansavimo sumomis);</w:t>
      </w:r>
    </w:p>
    <w:p w14:paraId="14DB1C2F" w14:textId="77777777" w:rsidR="00451956" w:rsidRPr="00451956" w:rsidRDefault="00451956" w:rsidP="00451956">
      <w:pPr>
        <w:numPr>
          <w:ilvl w:val="1"/>
          <w:numId w:val="2"/>
        </w:numPr>
        <w:tabs>
          <w:tab w:val="left" w:pos="1298"/>
          <w:tab w:val="left" w:pos="1440"/>
        </w:tabs>
        <w:spacing w:line="276" w:lineRule="auto"/>
        <w:ind w:left="0" w:firstLine="720"/>
        <w:jc w:val="both"/>
        <w:rPr>
          <w:szCs w:val="24"/>
        </w:rPr>
      </w:pPr>
      <w:r w:rsidRPr="00451956">
        <w:rPr>
          <w:szCs w:val="24"/>
        </w:rPr>
        <w:t>gautinos finansavimo sumos (atitinkančios iki ataskaitinio laikotarpio pabaigos Fondą administruojančiam subjektui pateiktas ir neapmokėtas paraiškas);</w:t>
      </w:r>
    </w:p>
    <w:p w14:paraId="34D4EC80" w14:textId="77777777" w:rsidR="00451956" w:rsidRPr="00451956" w:rsidRDefault="00451956" w:rsidP="00451956">
      <w:pPr>
        <w:numPr>
          <w:ilvl w:val="1"/>
          <w:numId w:val="2"/>
        </w:numPr>
        <w:tabs>
          <w:tab w:val="left" w:pos="1298"/>
          <w:tab w:val="left" w:pos="1440"/>
        </w:tabs>
        <w:spacing w:line="276" w:lineRule="auto"/>
        <w:ind w:left="0" w:firstLine="720"/>
        <w:jc w:val="both"/>
        <w:rPr>
          <w:szCs w:val="24"/>
        </w:rPr>
      </w:pPr>
      <w:r w:rsidRPr="00451956">
        <w:rPr>
          <w:szCs w:val="24"/>
        </w:rPr>
        <w:t>gautos finansavimo sumos (atitinkančios Fondo per ataskaitinį laikotarpį viešojo sektoriaus subjektui perduotas finansavimo sumas).</w:t>
      </w:r>
    </w:p>
    <w:p w14:paraId="6781B188" w14:textId="77777777" w:rsidR="00451956" w:rsidRPr="00451956" w:rsidRDefault="00451956" w:rsidP="00451956">
      <w:pPr>
        <w:numPr>
          <w:ilvl w:val="1"/>
          <w:numId w:val="2"/>
        </w:numPr>
        <w:tabs>
          <w:tab w:val="left" w:pos="1298"/>
          <w:tab w:val="left" w:pos="1440"/>
        </w:tabs>
        <w:spacing w:line="276" w:lineRule="auto"/>
        <w:ind w:left="0" w:firstLine="720"/>
        <w:jc w:val="both"/>
        <w:rPr>
          <w:szCs w:val="24"/>
        </w:rPr>
      </w:pPr>
      <w:r w:rsidRPr="00451956">
        <w:rPr>
          <w:szCs w:val="24"/>
        </w:rPr>
        <w:t>grąžintinos finansavimo sumos (atitinkančios Fondo perduotas finansavimo sumas, kurias viešojo sektoriaus subjektas turi grąžinti).</w:t>
      </w:r>
    </w:p>
    <w:p w14:paraId="75848FBC" w14:textId="77777777" w:rsidR="00451956" w:rsidRPr="00451956" w:rsidRDefault="00451956" w:rsidP="00451956">
      <w:pPr>
        <w:numPr>
          <w:ilvl w:val="0"/>
          <w:numId w:val="2"/>
        </w:numPr>
        <w:tabs>
          <w:tab w:val="clear" w:pos="4188"/>
          <w:tab w:val="num" w:pos="360"/>
          <w:tab w:val="left" w:pos="1260"/>
          <w:tab w:val="left" w:pos="1298"/>
        </w:tabs>
        <w:spacing w:line="276" w:lineRule="auto"/>
        <w:ind w:left="0" w:firstLine="720"/>
        <w:jc w:val="both"/>
        <w:rPr>
          <w:szCs w:val="18"/>
        </w:rPr>
      </w:pPr>
      <w:bookmarkStart w:id="38" w:name="_Ref228086948"/>
      <w:r w:rsidRPr="00451956">
        <w:rPr>
          <w:szCs w:val="18"/>
        </w:rPr>
        <w:t>Gavus šio apskaitos vadovo nurodytą pažymą iš viešojo sektoriaus subjekto, kuriam buvo pervestos finansavimo sumos, IAENF apskaitoje turi būti užregistruoti tokie įrašai:</w:t>
      </w:r>
      <w:bookmarkEnd w:id="38"/>
    </w:p>
    <w:p w14:paraId="798B1D9F" w14:textId="77777777" w:rsidR="00451956" w:rsidRPr="00451956" w:rsidRDefault="00451956" w:rsidP="00451956">
      <w:pPr>
        <w:numPr>
          <w:ilvl w:val="1"/>
          <w:numId w:val="2"/>
        </w:numPr>
        <w:tabs>
          <w:tab w:val="left" w:pos="1298"/>
          <w:tab w:val="left" w:pos="1440"/>
        </w:tabs>
        <w:spacing w:line="276" w:lineRule="auto"/>
        <w:ind w:left="0" w:firstLine="720"/>
        <w:jc w:val="both"/>
        <w:rPr>
          <w:szCs w:val="18"/>
        </w:rPr>
      </w:pPr>
      <w:r w:rsidRPr="00451956">
        <w:rPr>
          <w:szCs w:val="18"/>
        </w:rPr>
        <w:t>jei viešojo sektoriaus subjektas nurodė apskaitoje užregistravęs sukauptas finansavimo pajamas, jų sumai IAENF apskaitoje turi būti užregistruotos:</w:t>
      </w:r>
    </w:p>
    <w:p w14:paraId="68FC668D" w14:textId="77777777" w:rsidR="00451956" w:rsidRPr="00451956" w:rsidRDefault="00451956" w:rsidP="00451956">
      <w:pPr>
        <w:numPr>
          <w:ilvl w:val="2"/>
          <w:numId w:val="2"/>
        </w:numPr>
        <w:tabs>
          <w:tab w:val="clear" w:pos="1620"/>
          <w:tab w:val="left" w:pos="1298"/>
          <w:tab w:val="num" w:pos="1418"/>
          <w:tab w:val="left" w:pos="1985"/>
        </w:tabs>
        <w:spacing w:line="276" w:lineRule="auto"/>
        <w:ind w:left="0" w:firstLine="709"/>
        <w:jc w:val="both"/>
        <w:rPr>
          <w:szCs w:val="18"/>
        </w:rPr>
      </w:pPr>
      <w:r w:rsidRPr="00451956">
        <w:rPr>
          <w:szCs w:val="18"/>
        </w:rPr>
        <w:t>sukaupti įsipareigojimai viešojo sektoriaus subjektui, užregistravusiam sukauptas finansavimo pajamas, ir finansavimo sąnaudos, jei finansavimo sumos bus teikiamos iš Fondo pajamų, išskyrus finansavimo pajamas;</w:t>
      </w:r>
    </w:p>
    <w:p w14:paraId="35F730ED" w14:textId="77777777" w:rsidR="00451956" w:rsidRPr="00451956" w:rsidRDefault="00451956" w:rsidP="00451956">
      <w:pPr>
        <w:numPr>
          <w:ilvl w:val="2"/>
          <w:numId w:val="2"/>
        </w:numPr>
        <w:tabs>
          <w:tab w:val="clear" w:pos="1620"/>
          <w:tab w:val="left" w:pos="1298"/>
          <w:tab w:val="num" w:pos="1418"/>
          <w:tab w:val="left" w:pos="1985"/>
        </w:tabs>
        <w:spacing w:line="276" w:lineRule="auto"/>
        <w:ind w:left="0" w:firstLine="709"/>
        <w:jc w:val="both"/>
        <w:rPr>
          <w:szCs w:val="18"/>
        </w:rPr>
      </w:pPr>
      <w:r w:rsidRPr="00451956">
        <w:rPr>
          <w:szCs w:val="18"/>
        </w:rPr>
        <w:t>sukaupti įsipareigojimai viešojo sektoriaus subjektui, užregistravusiam sukauptas finansavimo pajamas, ir sukauptos gautinos finansavimo sumos iš Fondų, jei finansavimo sumos bus teikiamos iš Fondo gautų finansavimo sumų</w:t>
      </w:r>
      <w:r w:rsidRPr="00451956">
        <w:rPr>
          <w:szCs w:val="24"/>
        </w:rPr>
        <w:t>;</w:t>
      </w:r>
    </w:p>
    <w:p w14:paraId="671CB7AE" w14:textId="77777777" w:rsidR="00451956" w:rsidRPr="00451956" w:rsidRDefault="00451956" w:rsidP="00451956">
      <w:pPr>
        <w:numPr>
          <w:ilvl w:val="1"/>
          <w:numId w:val="2"/>
        </w:numPr>
        <w:tabs>
          <w:tab w:val="left" w:pos="1298"/>
          <w:tab w:val="left" w:pos="1440"/>
        </w:tabs>
        <w:spacing w:line="276" w:lineRule="auto"/>
        <w:ind w:left="0" w:firstLine="720"/>
        <w:jc w:val="both"/>
        <w:rPr>
          <w:szCs w:val="18"/>
        </w:rPr>
      </w:pPr>
      <w:r w:rsidRPr="00451956">
        <w:rPr>
          <w:szCs w:val="24"/>
        </w:rPr>
        <w:t xml:space="preserve">jei </w:t>
      </w:r>
      <w:r w:rsidRPr="00451956">
        <w:rPr>
          <w:szCs w:val="18"/>
        </w:rPr>
        <w:t xml:space="preserve">viešojo sektoriaus </w:t>
      </w:r>
      <w:r w:rsidRPr="00451956">
        <w:rPr>
          <w:szCs w:val="24"/>
        </w:rPr>
        <w:t>subjektas nurodė apskaitoje užregistravęs gautinas finansavimo sumas, turi būti patikrinama, ar IAENF</w:t>
      </w:r>
      <w:r w:rsidRPr="00451956">
        <w:rPr>
          <w:szCs w:val="18"/>
        </w:rPr>
        <w:t xml:space="preserve"> apskaitoje </w:t>
      </w:r>
      <w:r w:rsidRPr="00451956">
        <w:rPr>
          <w:szCs w:val="24"/>
        </w:rPr>
        <w:t xml:space="preserve">užregistruotos mokėtinos finansavimo sumos atitinka </w:t>
      </w:r>
      <w:r w:rsidRPr="00451956">
        <w:rPr>
          <w:szCs w:val="18"/>
        </w:rPr>
        <w:t xml:space="preserve">viešojo sektoriaus </w:t>
      </w:r>
      <w:r w:rsidRPr="00451956">
        <w:rPr>
          <w:szCs w:val="24"/>
        </w:rPr>
        <w:t>subjekto nurodytas gautinas finansavimo sumas;</w:t>
      </w:r>
    </w:p>
    <w:p w14:paraId="53BF8845" w14:textId="77777777" w:rsidR="00451956" w:rsidRPr="00451956" w:rsidRDefault="00451956" w:rsidP="00451956">
      <w:pPr>
        <w:numPr>
          <w:ilvl w:val="1"/>
          <w:numId w:val="2"/>
        </w:numPr>
        <w:tabs>
          <w:tab w:val="left" w:pos="1298"/>
          <w:tab w:val="left" w:pos="1440"/>
        </w:tabs>
        <w:spacing w:line="276" w:lineRule="auto"/>
        <w:ind w:left="0" w:firstLine="720"/>
        <w:jc w:val="both"/>
        <w:rPr>
          <w:szCs w:val="18"/>
        </w:rPr>
      </w:pPr>
      <w:r w:rsidRPr="00451956">
        <w:rPr>
          <w:szCs w:val="24"/>
        </w:rPr>
        <w:t xml:space="preserve">jei </w:t>
      </w:r>
      <w:r w:rsidRPr="00451956">
        <w:rPr>
          <w:szCs w:val="18"/>
        </w:rPr>
        <w:t xml:space="preserve">viešojo sektoriaus </w:t>
      </w:r>
      <w:r w:rsidRPr="00451956">
        <w:rPr>
          <w:szCs w:val="24"/>
        </w:rPr>
        <w:t>subjektas, gavęs finansavimo sumas, nurodė, kad apskaitoje turi užregistravęs grąžintinas finansavimo sumas, IAENF</w:t>
      </w:r>
      <w:r w:rsidRPr="00451956">
        <w:rPr>
          <w:szCs w:val="18"/>
        </w:rPr>
        <w:t xml:space="preserve"> </w:t>
      </w:r>
      <w:r w:rsidRPr="00451956">
        <w:rPr>
          <w:szCs w:val="24"/>
        </w:rPr>
        <w:t>apskaitoje turi būti užregistruotos gautinos grąžintinos finansavimo sumos ir mažinamos perduotos finansavimo sumos arba finansavimo sąnaudos, neatsižvelgiant į tai, iš kokių lėšų buvo suteiktos finansavimo sumos.</w:t>
      </w:r>
    </w:p>
    <w:p w14:paraId="75DB94C8" w14:textId="77777777" w:rsidR="00451956" w:rsidRPr="00451956" w:rsidRDefault="00451956" w:rsidP="00451956">
      <w:pPr>
        <w:numPr>
          <w:ilvl w:val="0"/>
          <w:numId w:val="2"/>
        </w:numPr>
        <w:tabs>
          <w:tab w:val="clear" w:pos="4188"/>
          <w:tab w:val="num" w:pos="360"/>
          <w:tab w:val="left" w:pos="1260"/>
          <w:tab w:val="left" w:pos="1298"/>
        </w:tabs>
        <w:spacing w:line="276" w:lineRule="auto"/>
        <w:ind w:left="0" w:firstLine="720"/>
        <w:jc w:val="both"/>
        <w:rPr>
          <w:szCs w:val="18"/>
        </w:rPr>
      </w:pPr>
      <w:r w:rsidRPr="00451956">
        <w:rPr>
          <w:szCs w:val="24"/>
        </w:rPr>
        <w:t>Iki finansinių ataskaitų pateikimo termino šios apskaitos politikos punkte nurodytoje suderinimo pažymoje nurodytos sumos turi būti pagrįstos apskaitos dokumentais ir suderintos IAENF ir finansavimo sumų gavėjo apskaitoje.</w:t>
      </w:r>
    </w:p>
    <w:p w14:paraId="03E7B512" w14:textId="77777777" w:rsidR="00451956" w:rsidRPr="00451956" w:rsidRDefault="00451956" w:rsidP="00451956">
      <w:pPr>
        <w:numPr>
          <w:ilvl w:val="0"/>
          <w:numId w:val="2"/>
        </w:numPr>
        <w:tabs>
          <w:tab w:val="clear" w:pos="4188"/>
          <w:tab w:val="num" w:pos="360"/>
          <w:tab w:val="num" w:pos="1260"/>
          <w:tab w:val="left" w:pos="1298"/>
        </w:tabs>
        <w:spacing w:line="276" w:lineRule="auto"/>
        <w:ind w:left="0" w:firstLine="720"/>
        <w:jc w:val="both"/>
        <w:rPr>
          <w:rFonts w:cs="Times New Roman"/>
          <w:szCs w:val="24"/>
        </w:rPr>
      </w:pPr>
      <w:r w:rsidRPr="00451956">
        <w:rPr>
          <w:szCs w:val="24"/>
        </w:rPr>
        <w:t>Mokėtinos finansavimo sumos pagal IAENF sąskaitų planą yra skirstomos į:</w:t>
      </w:r>
    </w:p>
    <w:p w14:paraId="6B1A231E" w14:textId="77777777" w:rsidR="00451956" w:rsidRPr="00451956" w:rsidRDefault="00451956" w:rsidP="00451956">
      <w:pPr>
        <w:numPr>
          <w:ilvl w:val="1"/>
          <w:numId w:val="2"/>
        </w:numPr>
        <w:tabs>
          <w:tab w:val="left" w:pos="1298"/>
          <w:tab w:val="left" w:pos="1440"/>
        </w:tabs>
        <w:spacing w:line="276" w:lineRule="auto"/>
        <w:ind w:left="0" w:firstLine="720"/>
        <w:jc w:val="both"/>
        <w:rPr>
          <w:rFonts w:cs="Times New Roman"/>
          <w:szCs w:val="24"/>
        </w:rPr>
      </w:pPr>
      <w:r w:rsidRPr="00451956">
        <w:rPr>
          <w:rFonts w:cs="Times New Roman"/>
          <w:szCs w:val="24"/>
        </w:rPr>
        <w:t>mokėtinas finansavimo sumas išteklių fondą administruojančiam subjektui;</w:t>
      </w:r>
    </w:p>
    <w:p w14:paraId="64C21CD9" w14:textId="77777777" w:rsidR="00451956" w:rsidRPr="00451956" w:rsidRDefault="00451956" w:rsidP="00451956">
      <w:pPr>
        <w:numPr>
          <w:ilvl w:val="1"/>
          <w:numId w:val="2"/>
        </w:numPr>
        <w:tabs>
          <w:tab w:val="left" w:pos="1298"/>
          <w:tab w:val="left" w:pos="1440"/>
        </w:tabs>
        <w:spacing w:line="276" w:lineRule="auto"/>
        <w:ind w:left="0" w:firstLine="720"/>
        <w:jc w:val="both"/>
        <w:rPr>
          <w:rFonts w:cs="Times New Roman"/>
          <w:szCs w:val="24"/>
        </w:rPr>
      </w:pPr>
      <w:r w:rsidRPr="00451956">
        <w:rPr>
          <w:rFonts w:cs="Times New Roman"/>
          <w:szCs w:val="24"/>
        </w:rPr>
        <w:t>mokėtinos finansavimo sumos kitiems išteklių fondams;</w:t>
      </w:r>
    </w:p>
    <w:p w14:paraId="05D9A0DB" w14:textId="77777777" w:rsidR="00451956" w:rsidRPr="00451956" w:rsidRDefault="00451956" w:rsidP="00451956">
      <w:pPr>
        <w:numPr>
          <w:ilvl w:val="1"/>
          <w:numId w:val="2"/>
        </w:numPr>
        <w:tabs>
          <w:tab w:val="left" w:pos="1298"/>
          <w:tab w:val="left" w:pos="1440"/>
        </w:tabs>
        <w:spacing w:line="276" w:lineRule="auto"/>
        <w:ind w:left="0" w:firstLine="720"/>
        <w:jc w:val="both"/>
        <w:rPr>
          <w:rFonts w:cs="Times New Roman"/>
          <w:szCs w:val="24"/>
        </w:rPr>
      </w:pPr>
      <w:r w:rsidRPr="00451956">
        <w:rPr>
          <w:rFonts w:cs="Times New Roman"/>
          <w:szCs w:val="24"/>
        </w:rPr>
        <w:t>mokėtinos finansavimo sumos kitiems viešojo sektoriaus subjektams;</w:t>
      </w:r>
    </w:p>
    <w:p w14:paraId="08FC93E1" w14:textId="77777777" w:rsidR="00451956" w:rsidRPr="00451956" w:rsidRDefault="00451956" w:rsidP="00451956">
      <w:pPr>
        <w:numPr>
          <w:ilvl w:val="1"/>
          <w:numId w:val="2"/>
        </w:numPr>
        <w:tabs>
          <w:tab w:val="left" w:pos="1298"/>
          <w:tab w:val="left" w:pos="1440"/>
        </w:tabs>
        <w:spacing w:line="276" w:lineRule="auto"/>
        <w:ind w:left="0" w:firstLine="720"/>
        <w:jc w:val="both"/>
        <w:rPr>
          <w:rFonts w:cs="Times New Roman"/>
          <w:szCs w:val="24"/>
        </w:rPr>
      </w:pPr>
      <w:r w:rsidRPr="00451956">
        <w:rPr>
          <w:rFonts w:cs="Times New Roman"/>
          <w:szCs w:val="24"/>
        </w:rPr>
        <w:t>mokėtinos finansavimo sumos ne viešojo sektoriaus subjektams.</w:t>
      </w:r>
    </w:p>
    <w:p w14:paraId="5CC1D98E" w14:textId="61BD87CF" w:rsidR="00451956" w:rsidRPr="00451956" w:rsidRDefault="00451956" w:rsidP="00451956">
      <w:pPr>
        <w:numPr>
          <w:ilvl w:val="0"/>
          <w:numId w:val="2"/>
        </w:numPr>
        <w:tabs>
          <w:tab w:val="clear" w:pos="4188"/>
          <w:tab w:val="num" w:pos="360"/>
          <w:tab w:val="num" w:pos="1260"/>
          <w:tab w:val="left" w:pos="1298"/>
        </w:tabs>
        <w:spacing w:line="276" w:lineRule="auto"/>
        <w:ind w:left="0" w:firstLine="720"/>
        <w:jc w:val="both"/>
        <w:rPr>
          <w:szCs w:val="24"/>
        </w:rPr>
      </w:pPr>
      <w:r w:rsidRPr="00451956">
        <w:rPr>
          <w:szCs w:val="24"/>
        </w:rPr>
        <w:lastRenderedPageBreak/>
        <w:t>Mokėtinos finansavimo sumos registruojamos, kaip nurodyta šiame apskaitos vadove arba registruojant finansavimo sąnaudas.</w:t>
      </w:r>
    </w:p>
    <w:p w14:paraId="13C40CFB" w14:textId="77777777" w:rsidR="00451956" w:rsidRPr="00451956" w:rsidRDefault="00451956" w:rsidP="00451956">
      <w:pPr>
        <w:numPr>
          <w:ilvl w:val="0"/>
          <w:numId w:val="2"/>
        </w:numPr>
        <w:tabs>
          <w:tab w:val="clear" w:pos="4188"/>
          <w:tab w:val="num" w:pos="360"/>
          <w:tab w:val="left" w:pos="1260"/>
          <w:tab w:val="left" w:pos="1298"/>
        </w:tabs>
        <w:spacing w:line="276" w:lineRule="auto"/>
        <w:ind w:left="0" w:firstLine="720"/>
        <w:jc w:val="both"/>
        <w:rPr>
          <w:szCs w:val="18"/>
        </w:rPr>
      </w:pPr>
      <w:r w:rsidRPr="00451956">
        <w:rPr>
          <w:szCs w:val="24"/>
        </w:rPr>
        <w:t>4 klasės finansavimo sumų sąskaitos uždaromos finansinių metų paskutinės dienos data debetuojant gautas finansavimo sumas ir kredituojant panaudotas, perduotas, grąžintas finansavimo sumas pagal finansavimo šaltinį ir kitus detalizavimo požymius.</w:t>
      </w:r>
    </w:p>
    <w:p w14:paraId="6332BE57" w14:textId="77777777" w:rsidR="00451956" w:rsidRPr="00451956" w:rsidRDefault="00451956" w:rsidP="00451956">
      <w:pPr>
        <w:tabs>
          <w:tab w:val="left" w:pos="1260"/>
          <w:tab w:val="left" w:pos="1298"/>
        </w:tabs>
        <w:spacing w:line="276" w:lineRule="auto"/>
        <w:jc w:val="both"/>
        <w:rPr>
          <w:szCs w:val="18"/>
        </w:rPr>
      </w:pPr>
    </w:p>
    <w:p w14:paraId="2CBD028C" w14:textId="77777777" w:rsidR="00451956" w:rsidRPr="00451956" w:rsidRDefault="00451956" w:rsidP="00451956">
      <w:pPr>
        <w:tabs>
          <w:tab w:val="left" w:pos="1298"/>
        </w:tabs>
        <w:spacing w:line="276" w:lineRule="auto"/>
        <w:jc w:val="center"/>
        <w:rPr>
          <w:rFonts w:cs="Times New Roman"/>
          <w:b/>
          <w:szCs w:val="24"/>
        </w:rPr>
      </w:pPr>
      <w:r w:rsidRPr="00451956">
        <w:rPr>
          <w:b/>
          <w:szCs w:val="24"/>
        </w:rPr>
        <w:t xml:space="preserve">Finansavimo pajamos </w:t>
      </w:r>
    </w:p>
    <w:p w14:paraId="6A1780C2" w14:textId="77777777" w:rsidR="00451956" w:rsidRPr="00451956" w:rsidRDefault="00451956" w:rsidP="00451956">
      <w:pPr>
        <w:tabs>
          <w:tab w:val="left" w:pos="1298"/>
        </w:tabs>
        <w:spacing w:line="276" w:lineRule="auto"/>
        <w:jc w:val="both"/>
        <w:rPr>
          <w:b/>
          <w:color w:val="C00000"/>
          <w:szCs w:val="24"/>
        </w:rPr>
      </w:pPr>
    </w:p>
    <w:p w14:paraId="22B392C2" w14:textId="77777777" w:rsidR="00451956" w:rsidRPr="00451956" w:rsidRDefault="00451956" w:rsidP="00451956">
      <w:pPr>
        <w:numPr>
          <w:ilvl w:val="0"/>
          <w:numId w:val="2"/>
        </w:numPr>
        <w:tabs>
          <w:tab w:val="clear" w:pos="4188"/>
          <w:tab w:val="num" w:pos="360"/>
          <w:tab w:val="left" w:pos="1260"/>
          <w:tab w:val="left" w:pos="1298"/>
        </w:tabs>
        <w:spacing w:line="276" w:lineRule="auto"/>
        <w:ind w:left="0" w:firstLine="720"/>
        <w:jc w:val="both"/>
        <w:rPr>
          <w:color w:val="000000"/>
        </w:rPr>
      </w:pPr>
      <w:bookmarkStart w:id="39" w:name="_Ref228246284"/>
      <w:r w:rsidRPr="00451956">
        <w:rPr>
          <w:color w:val="000000"/>
          <w:szCs w:val="24"/>
        </w:rPr>
        <w:t>IAENF apskaitoje finansavimo pajamos registruojamos, kai IAENF gautinos arba gautos finansavimo sumos panaudojamos IAENF sąnaudoms kompensuoti arba perduodamos kaip finansavimas ne viešojo sektoriaus subjektams.</w:t>
      </w:r>
    </w:p>
    <w:p w14:paraId="5E11CEC0" w14:textId="77777777" w:rsidR="00451956" w:rsidRPr="00451956" w:rsidRDefault="00451956" w:rsidP="00451956">
      <w:pPr>
        <w:numPr>
          <w:ilvl w:val="0"/>
          <w:numId w:val="2"/>
        </w:numPr>
        <w:tabs>
          <w:tab w:val="clear" w:pos="4188"/>
          <w:tab w:val="num" w:pos="360"/>
          <w:tab w:val="left" w:pos="1260"/>
          <w:tab w:val="left" w:pos="1298"/>
        </w:tabs>
        <w:spacing w:line="276" w:lineRule="auto"/>
        <w:ind w:left="0" w:firstLine="720"/>
        <w:jc w:val="both"/>
        <w:rPr>
          <w:color w:val="000000"/>
        </w:rPr>
      </w:pPr>
      <w:r w:rsidRPr="00451956">
        <w:rPr>
          <w:color w:val="000000"/>
        </w:rPr>
        <w:t>Panaudotos finansavimo sumos pripažįstamos finansavimo pajamomis tais laikotarpiais, kuriais patiriamos su finansavimo sumomis susijusios sąnaudos.</w:t>
      </w:r>
      <w:bookmarkEnd w:id="39"/>
      <w:r w:rsidRPr="00451956">
        <w:rPr>
          <w:color w:val="000000"/>
        </w:rPr>
        <w:t xml:space="preserve"> </w:t>
      </w:r>
    </w:p>
    <w:p w14:paraId="6C359761" w14:textId="77777777" w:rsidR="00451956" w:rsidRPr="00451956" w:rsidRDefault="00451956" w:rsidP="00451956">
      <w:pPr>
        <w:numPr>
          <w:ilvl w:val="0"/>
          <w:numId w:val="2"/>
        </w:numPr>
        <w:tabs>
          <w:tab w:val="clear" w:pos="4188"/>
          <w:tab w:val="num" w:pos="360"/>
          <w:tab w:val="left" w:pos="1260"/>
          <w:tab w:val="left" w:pos="1298"/>
        </w:tabs>
        <w:spacing w:line="276" w:lineRule="auto"/>
        <w:ind w:left="0" w:firstLine="720"/>
        <w:jc w:val="both"/>
        <w:rPr>
          <w:color w:val="000000"/>
        </w:rPr>
      </w:pPr>
      <w:bookmarkStart w:id="40" w:name="_Ref228246304"/>
      <w:r w:rsidRPr="00451956">
        <w:rPr>
          <w:color w:val="000000"/>
        </w:rPr>
        <w:t xml:space="preserve">Finansavimo pajamos pripažįstamos kiekvieną kartą registruojant atitinkamų sąnaudų operaciją. </w:t>
      </w:r>
      <w:bookmarkEnd w:id="40"/>
    </w:p>
    <w:p w14:paraId="5EFD5933" w14:textId="77777777" w:rsidR="00451956" w:rsidRPr="00451956" w:rsidRDefault="00451956" w:rsidP="00451956">
      <w:pPr>
        <w:tabs>
          <w:tab w:val="left" w:pos="1260"/>
          <w:tab w:val="left" w:pos="1298"/>
        </w:tabs>
        <w:spacing w:line="276" w:lineRule="auto"/>
        <w:jc w:val="both"/>
        <w:rPr>
          <w:color w:val="000000"/>
        </w:rPr>
      </w:pPr>
    </w:p>
    <w:p w14:paraId="3853E832" w14:textId="77777777" w:rsidR="00451956" w:rsidRPr="00451956" w:rsidRDefault="00451956" w:rsidP="00451956">
      <w:pPr>
        <w:tabs>
          <w:tab w:val="left" w:pos="1298"/>
        </w:tabs>
        <w:spacing w:line="276" w:lineRule="auto"/>
        <w:jc w:val="center"/>
        <w:rPr>
          <w:rFonts w:cs="Times New Roman"/>
          <w:b/>
          <w:szCs w:val="24"/>
        </w:rPr>
      </w:pPr>
      <w:r w:rsidRPr="00451956">
        <w:rPr>
          <w:b/>
          <w:szCs w:val="24"/>
        </w:rPr>
        <w:t>Finansavimo sąnaudos</w:t>
      </w:r>
    </w:p>
    <w:p w14:paraId="05FFAADF" w14:textId="77777777" w:rsidR="00451956" w:rsidRPr="00451956" w:rsidRDefault="00451956" w:rsidP="00451956">
      <w:pPr>
        <w:tabs>
          <w:tab w:val="left" w:pos="1298"/>
        </w:tabs>
        <w:spacing w:line="276" w:lineRule="auto"/>
        <w:jc w:val="both"/>
        <w:rPr>
          <w:b/>
          <w:szCs w:val="24"/>
        </w:rPr>
      </w:pPr>
    </w:p>
    <w:p w14:paraId="3C4AE549" w14:textId="77777777" w:rsidR="00451956" w:rsidRPr="00451956" w:rsidRDefault="00451956" w:rsidP="00451956">
      <w:pPr>
        <w:numPr>
          <w:ilvl w:val="0"/>
          <w:numId w:val="2"/>
        </w:numPr>
        <w:tabs>
          <w:tab w:val="clear" w:pos="4188"/>
          <w:tab w:val="num" w:pos="360"/>
          <w:tab w:val="left" w:pos="1260"/>
          <w:tab w:val="left" w:pos="1298"/>
        </w:tabs>
        <w:spacing w:line="276" w:lineRule="auto"/>
        <w:ind w:left="0" w:firstLine="720"/>
        <w:jc w:val="both"/>
        <w:rPr>
          <w:szCs w:val="24"/>
        </w:rPr>
      </w:pPr>
      <w:bookmarkStart w:id="41" w:name="_Ref214695407"/>
      <w:r w:rsidRPr="00451956">
        <w:rPr>
          <w:szCs w:val="24"/>
        </w:rPr>
        <w:t>IAENF apskaitoje registruojamos finansavimo sąnaudos tuomet, kai:</w:t>
      </w:r>
      <w:bookmarkEnd w:id="41"/>
    </w:p>
    <w:p w14:paraId="204AE4CF" w14:textId="77777777" w:rsidR="00451956" w:rsidRPr="00451956" w:rsidRDefault="00451956" w:rsidP="00451956">
      <w:pPr>
        <w:numPr>
          <w:ilvl w:val="1"/>
          <w:numId w:val="2"/>
        </w:numPr>
        <w:tabs>
          <w:tab w:val="left" w:pos="1298"/>
          <w:tab w:val="left" w:pos="1440"/>
        </w:tabs>
        <w:spacing w:line="276" w:lineRule="auto"/>
        <w:ind w:left="0" w:firstLine="720"/>
        <w:jc w:val="both"/>
        <w:rPr>
          <w:szCs w:val="24"/>
        </w:rPr>
      </w:pPr>
      <w:r w:rsidRPr="00451956">
        <w:rPr>
          <w:szCs w:val="24"/>
        </w:rPr>
        <w:t>iš IAENF pajamų (išskyrus finansavimo pajamas) įsipareigota suteikti finansavimo sumas arba jas suteikia kitiems subjektams;</w:t>
      </w:r>
    </w:p>
    <w:p w14:paraId="74389105" w14:textId="77777777" w:rsidR="00451956" w:rsidRPr="00451956" w:rsidRDefault="00451956" w:rsidP="00451956">
      <w:pPr>
        <w:numPr>
          <w:ilvl w:val="1"/>
          <w:numId w:val="2"/>
        </w:numPr>
        <w:tabs>
          <w:tab w:val="left" w:pos="1298"/>
          <w:tab w:val="left" w:pos="1440"/>
        </w:tabs>
        <w:spacing w:line="276" w:lineRule="auto"/>
        <w:ind w:left="0" w:firstLine="720"/>
        <w:jc w:val="both"/>
        <w:rPr>
          <w:szCs w:val="24"/>
        </w:rPr>
      </w:pPr>
      <w:bookmarkStart w:id="42" w:name="_Ref202532900"/>
      <w:r w:rsidRPr="00451956">
        <w:rPr>
          <w:szCs w:val="24"/>
        </w:rPr>
        <w:t>iš gautų finansavimo sumų finansuojami ne viešojo sektoriaus subjektai.</w:t>
      </w:r>
      <w:bookmarkEnd w:id="42"/>
    </w:p>
    <w:p w14:paraId="39205305" w14:textId="77777777" w:rsidR="00451956" w:rsidRPr="00451956" w:rsidRDefault="00451956" w:rsidP="00451956">
      <w:pPr>
        <w:numPr>
          <w:ilvl w:val="0"/>
          <w:numId w:val="2"/>
        </w:numPr>
        <w:tabs>
          <w:tab w:val="clear" w:pos="4188"/>
          <w:tab w:val="num" w:pos="360"/>
          <w:tab w:val="num" w:pos="1260"/>
          <w:tab w:val="left" w:pos="1298"/>
        </w:tabs>
        <w:spacing w:line="276" w:lineRule="auto"/>
        <w:ind w:left="0" w:firstLine="720"/>
        <w:jc w:val="both"/>
        <w:rPr>
          <w:rFonts w:cs="Times New Roman"/>
          <w:szCs w:val="24"/>
        </w:rPr>
      </w:pPr>
      <w:r w:rsidRPr="00451956">
        <w:rPr>
          <w:szCs w:val="24"/>
        </w:rPr>
        <w:t>Finansavimo sąnaudos yra skirstomos į:</w:t>
      </w:r>
    </w:p>
    <w:p w14:paraId="281DB75E" w14:textId="248FE737" w:rsidR="00451956" w:rsidRPr="00451956" w:rsidRDefault="00451956" w:rsidP="00451956">
      <w:pPr>
        <w:numPr>
          <w:ilvl w:val="1"/>
          <w:numId w:val="2"/>
        </w:numPr>
        <w:tabs>
          <w:tab w:val="left" w:pos="1298"/>
          <w:tab w:val="left" w:pos="1440"/>
        </w:tabs>
        <w:spacing w:line="276" w:lineRule="auto"/>
        <w:ind w:left="0" w:firstLine="720"/>
        <w:jc w:val="both"/>
        <w:rPr>
          <w:rFonts w:cs="Times New Roman"/>
          <w:szCs w:val="24"/>
        </w:rPr>
      </w:pPr>
      <w:r w:rsidRPr="00451956">
        <w:rPr>
          <w:rFonts w:cs="Times New Roman"/>
          <w:szCs w:val="24"/>
        </w:rPr>
        <w:t>kitų viešojo sektoriaus subjektų finansavimo sąnaud</w:t>
      </w:r>
      <w:r w:rsidR="00CC7E69">
        <w:rPr>
          <w:rFonts w:cs="Times New Roman"/>
          <w:szCs w:val="24"/>
        </w:rPr>
        <w:t>a</w:t>
      </w:r>
      <w:r w:rsidRPr="00451956">
        <w:rPr>
          <w:rFonts w:cs="Times New Roman"/>
          <w:szCs w:val="24"/>
        </w:rPr>
        <w:t>s:</w:t>
      </w:r>
    </w:p>
    <w:p w14:paraId="17104EBE" w14:textId="77777777" w:rsidR="00451956" w:rsidRPr="00451956" w:rsidRDefault="00451956" w:rsidP="00451956">
      <w:pPr>
        <w:numPr>
          <w:ilvl w:val="2"/>
          <w:numId w:val="2"/>
        </w:numPr>
        <w:tabs>
          <w:tab w:val="left" w:pos="1298"/>
          <w:tab w:val="left" w:pos="1440"/>
        </w:tabs>
        <w:spacing w:line="276" w:lineRule="auto"/>
        <w:ind w:hanging="695"/>
        <w:jc w:val="both"/>
        <w:rPr>
          <w:rFonts w:cs="Times New Roman"/>
          <w:szCs w:val="24"/>
        </w:rPr>
      </w:pPr>
      <w:r w:rsidRPr="00451956">
        <w:rPr>
          <w:rFonts w:cs="Times New Roman"/>
          <w:szCs w:val="24"/>
        </w:rPr>
        <w:t>IAENF administruojančio subjekto finansavimo sąnaudas;</w:t>
      </w:r>
    </w:p>
    <w:p w14:paraId="67A98E56" w14:textId="5CE9D96D" w:rsidR="00451956" w:rsidRPr="00451956" w:rsidRDefault="00451956" w:rsidP="00451956">
      <w:pPr>
        <w:numPr>
          <w:ilvl w:val="2"/>
          <w:numId w:val="2"/>
        </w:numPr>
        <w:tabs>
          <w:tab w:val="left" w:pos="1298"/>
          <w:tab w:val="left" w:pos="1440"/>
        </w:tabs>
        <w:spacing w:line="276" w:lineRule="auto"/>
        <w:ind w:hanging="695"/>
        <w:jc w:val="both"/>
        <w:rPr>
          <w:rFonts w:cs="Times New Roman"/>
          <w:szCs w:val="24"/>
        </w:rPr>
      </w:pPr>
      <w:r w:rsidRPr="00451956">
        <w:rPr>
          <w:rFonts w:cs="Times New Roman"/>
          <w:szCs w:val="24"/>
        </w:rPr>
        <w:t>kitų viešojo sektoriaus subjektų finansavimo sąnaud</w:t>
      </w:r>
      <w:r w:rsidR="00CC7E69">
        <w:rPr>
          <w:rFonts w:cs="Times New Roman"/>
          <w:szCs w:val="24"/>
        </w:rPr>
        <w:t>a</w:t>
      </w:r>
      <w:r w:rsidRPr="00451956">
        <w:rPr>
          <w:rFonts w:cs="Times New Roman"/>
          <w:szCs w:val="24"/>
        </w:rPr>
        <w:t>s</w:t>
      </w:r>
      <w:r w:rsidR="00CC7E69">
        <w:rPr>
          <w:rFonts w:cs="Times New Roman"/>
          <w:szCs w:val="24"/>
        </w:rPr>
        <w:t>;</w:t>
      </w:r>
    </w:p>
    <w:p w14:paraId="6EC665BC" w14:textId="77777777" w:rsidR="00451956" w:rsidRPr="00451956" w:rsidRDefault="00451956" w:rsidP="00451956">
      <w:pPr>
        <w:numPr>
          <w:ilvl w:val="1"/>
          <w:numId w:val="2"/>
        </w:numPr>
        <w:tabs>
          <w:tab w:val="left" w:pos="1298"/>
          <w:tab w:val="left" w:pos="1440"/>
        </w:tabs>
        <w:spacing w:line="276" w:lineRule="auto"/>
        <w:ind w:left="0" w:firstLine="720"/>
        <w:jc w:val="both"/>
        <w:rPr>
          <w:rFonts w:cs="Times New Roman"/>
          <w:szCs w:val="24"/>
        </w:rPr>
      </w:pPr>
      <w:r w:rsidRPr="00451956">
        <w:rPr>
          <w:rFonts w:cs="Times New Roman"/>
          <w:szCs w:val="24"/>
        </w:rPr>
        <w:t>ne viešojo sektoriaus subjekto finansavimo sąnaudas:</w:t>
      </w:r>
    </w:p>
    <w:p w14:paraId="4C39DE19" w14:textId="77777777" w:rsidR="00451956" w:rsidRPr="00451956" w:rsidRDefault="00451956" w:rsidP="00451956">
      <w:pPr>
        <w:numPr>
          <w:ilvl w:val="2"/>
          <w:numId w:val="2"/>
        </w:numPr>
        <w:tabs>
          <w:tab w:val="left" w:pos="1298"/>
          <w:tab w:val="left" w:pos="1440"/>
        </w:tabs>
        <w:spacing w:line="276" w:lineRule="auto"/>
        <w:ind w:left="0" w:firstLine="709"/>
        <w:jc w:val="both"/>
        <w:rPr>
          <w:rFonts w:cs="Times New Roman"/>
          <w:szCs w:val="24"/>
        </w:rPr>
      </w:pPr>
      <w:r w:rsidRPr="00451956">
        <w:rPr>
          <w:rFonts w:cs="Times New Roman"/>
          <w:szCs w:val="24"/>
        </w:rPr>
        <w:t>eksploatavimo nutraukimo techniniams projektams įgyvendinti sąnaudos;</w:t>
      </w:r>
    </w:p>
    <w:p w14:paraId="630A4836" w14:textId="77777777" w:rsidR="00451956" w:rsidRPr="00451956" w:rsidRDefault="00451956" w:rsidP="00451956">
      <w:pPr>
        <w:numPr>
          <w:ilvl w:val="2"/>
          <w:numId w:val="2"/>
        </w:numPr>
        <w:tabs>
          <w:tab w:val="left" w:pos="1298"/>
          <w:tab w:val="left" w:pos="1440"/>
        </w:tabs>
        <w:spacing w:line="276" w:lineRule="auto"/>
        <w:ind w:left="0" w:firstLine="709"/>
        <w:jc w:val="both"/>
        <w:rPr>
          <w:rFonts w:cs="Times New Roman"/>
          <w:szCs w:val="24"/>
        </w:rPr>
      </w:pPr>
      <w:r w:rsidRPr="00451956">
        <w:rPr>
          <w:rFonts w:cs="Times New Roman"/>
          <w:szCs w:val="24"/>
        </w:rPr>
        <w:t>sustabdyto pirmojo bloko priežiūrai ir fizinei saugai užtikrinti sąnaudos;</w:t>
      </w:r>
    </w:p>
    <w:p w14:paraId="1C81255F" w14:textId="77777777" w:rsidR="00451956" w:rsidRPr="00451956" w:rsidRDefault="00451956" w:rsidP="00451956">
      <w:pPr>
        <w:numPr>
          <w:ilvl w:val="2"/>
          <w:numId w:val="2"/>
        </w:numPr>
        <w:tabs>
          <w:tab w:val="left" w:pos="1298"/>
          <w:tab w:val="left" w:pos="1440"/>
        </w:tabs>
        <w:spacing w:line="276" w:lineRule="auto"/>
        <w:ind w:left="0" w:firstLine="709"/>
        <w:jc w:val="both"/>
        <w:rPr>
          <w:rFonts w:cs="Times New Roman"/>
          <w:szCs w:val="24"/>
        </w:rPr>
      </w:pPr>
      <w:r w:rsidRPr="00451956">
        <w:rPr>
          <w:rFonts w:cs="Times New Roman"/>
          <w:szCs w:val="24"/>
        </w:rPr>
        <w:t>neigiamiems socialiniams ir ekonominiams VĮ IAE eksploatavimo nutraukimo padariniams sušvelninti;</w:t>
      </w:r>
    </w:p>
    <w:p w14:paraId="21837A9D" w14:textId="77777777" w:rsidR="00451956" w:rsidRPr="00451956" w:rsidRDefault="00451956" w:rsidP="00451956">
      <w:pPr>
        <w:numPr>
          <w:ilvl w:val="2"/>
          <w:numId w:val="2"/>
        </w:numPr>
        <w:tabs>
          <w:tab w:val="left" w:pos="1298"/>
          <w:tab w:val="left" w:pos="1440"/>
        </w:tabs>
        <w:spacing w:line="276" w:lineRule="auto"/>
        <w:ind w:left="0" w:firstLine="709"/>
        <w:jc w:val="both"/>
        <w:rPr>
          <w:rFonts w:cs="Times New Roman"/>
          <w:szCs w:val="24"/>
        </w:rPr>
      </w:pPr>
      <w:r w:rsidRPr="00451956">
        <w:rPr>
          <w:rFonts w:cs="Times New Roman"/>
          <w:szCs w:val="24"/>
        </w:rPr>
        <w:t>radioaktyviosioms atliekoms, įskaitant panaudotą branduolinį kurą, tvarkyti, saugoti ir laidoti;</w:t>
      </w:r>
    </w:p>
    <w:p w14:paraId="4C03AF5A" w14:textId="77777777" w:rsidR="00451956" w:rsidRPr="00451956" w:rsidRDefault="00451956" w:rsidP="00451956">
      <w:pPr>
        <w:numPr>
          <w:ilvl w:val="2"/>
          <w:numId w:val="2"/>
        </w:numPr>
        <w:tabs>
          <w:tab w:val="left" w:pos="1298"/>
          <w:tab w:val="left" w:pos="1440"/>
        </w:tabs>
        <w:spacing w:line="276" w:lineRule="auto"/>
        <w:ind w:left="0" w:firstLine="709"/>
        <w:jc w:val="both"/>
        <w:rPr>
          <w:rFonts w:cs="Times New Roman"/>
          <w:szCs w:val="24"/>
        </w:rPr>
      </w:pPr>
      <w:r w:rsidRPr="00451956">
        <w:rPr>
          <w:rFonts w:cs="Times New Roman"/>
          <w:szCs w:val="24"/>
        </w:rPr>
        <w:t>eksploatavimo nutraukimo fondo administravimo išlaidoms padengti.</w:t>
      </w:r>
    </w:p>
    <w:p w14:paraId="446AF320" w14:textId="77777777" w:rsidR="00451956" w:rsidRPr="00451956" w:rsidRDefault="00451956" w:rsidP="00451956">
      <w:pPr>
        <w:numPr>
          <w:ilvl w:val="0"/>
          <w:numId w:val="2"/>
        </w:numPr>
        <w:tabs>
          <w:tab w:val="clear" w:pos="4188"/>
          <w:tab w:val="num" w:pos="360"/>
          <w:tab w:val="left" w:pos="1134"/>
          <w:tab w:val="left" w:pos="1298"/>
        </w:tabs>
        <w:spacing w:line="276" w:lineRule="auto"/>
        <w:ind w:left="0" w:firstLine="720"/>
        <w:jc w:val="both"/>
        <w:rPr>
          <w:szCs w:val="24"/>
        </w:rPr>
      </w:pPr>
      <w:r w:rsidRPr="00451956">
        <w:rPr>
          <w:szCs w:val="24"/>
        </w:rPr>
        <w:t xml:space="preserve">Finansavimo sąnaudos registruojamos pagal gautą iš finansavimo prašančio subjekto </w:t>
      </w:r>
      <w:r w:rsidRPr="00451956">
        <w:rPr>
          <w:color w:val="000000"/>
          <w:szCs w:val="24"/>
        </w:rPr>
        <w:t>mokėjimo paraišką (ataskaitas) arba</w:t>
      </w:r>
      <w:r w:rsidRPr="00451956">
        <w:rPr>
          <w:szCs w:val="24"/>
        </w:rPr>
        <w:t xml:space="preserve"> pagal buhalterinę pažymą, ta pačia suma kredituojant mokėtinų finansavimo sumų arba sukauptų įsipareigojimų sąskaitas.</w:t>
      </w:r>
    </w:p>
    <w:p w14:paraId="55FDEDE3" w14:textId="77777777" w:rsidR="00451956" w:rsidRPr="00451956" w:rsidRDefault="00451956" w:rsidP="00451956">
      <w:pPr>
        <w:numPr>
          <w:ilvl w:val="0"/>
          <w:numId w:val="2"/>
        </w:numPr>
        <w:tabs>
          <w:tab w:val="clear" w:pos="4188"/>
          <w:tab w:val="num" w:pos="360"/>
          <w:tab w:val="left" w:pos="1134"/>
          <w:tab w:val="left" w:pos="1298"/>
        </w:tabs>
        <w:spacing w:line="276" w:lineRule="auto"/>
        <w:ind w:left="0" w:firstLine="720"/>
        <w:jc w:val="both"/>
      </w:pPr>
      <w:bookmarkStart w:id="43" w:name="_Ref231031105"/>
      <w:bookmarkStart w:id="44" w:name="_Ref214695429"/>
      <w:r w:rsidRPr="00451956">
        <w:t>Tais atvejais, kai iš IAENF finansavimo sumos pervedamos ne viešojo sektoriaus subjektų veiklai ar vykdomoms programoms finansuoti avansu, Fondas registruoja ateinančių laikotarpių finansavimo sąnaudas. IAENF apskaitos tvarkytojas registruoja ateinančių laikotarpių finansavimo sąnaudų sumažėjimą ir finansavimo sąnaudas, kai gauna patvirtinimą (pvz., sąmatos vykdymo ataskaitą ar kitas dokumentas) apie patirtas sąnaudas.</w:t>
      </w:r>
      <w:bookmarkEnd w:id="43"/>
    </w:p>
    <w:p w14:paraId="099C0073" w14:textId="77777777" w:rsidR="00451956" w:rsidRPr="00451956" w:rsidRDefault="00451956" w:rsidP="00451956">
      <w:pPr>
        <w:numPr>
          <w:ilvl w:val="0"/>
          <w:numId w:val="2"/>
        </w:numPr>
        <w:tabs>
          <w:tab w:val="clear" w:pos="4188"/>
          <w:tab w:val="num" w:pos="360"/>
          <w:tab w:val="left" w:pos="1134"/>
          <w:tab w:val="left" w:pos="1298"/>
        </w:tabs>
        <w:spacing w:line="276" w:lineRule="auto"/>
        <w:ind w:left="0" w:firstLine="720"/>
        <w:jc w:val="both"/>
        <w:rPr>
          <w:szCs w:val="24"/>
        </w:rPr>
      </w:pPr>
      <w:r w:rsidRPr="00451956">
        <w:rPr>
          <w:szCs w:val="24"/>
        </w:rPr>
        <w:t xml:space="preserve">Jeigu suteiktos finansavimo sumos yra grąžinamos į IAENF, tuomet atitinkama suma yra mažinamos ataskaitinio laikotarpio finansavimo sąnaudos arba perduotos finansavimo sumos, </w:t>
      </w:r>
      <w:r w:rsidRPr="00451956">
        <w:rPr>
          <w:szCs w:val="24"/>
        </w:rPr>
        <w:lastRenderedPageBreak/>
        <w:t>neatsižvelgiant į tai, kurį laikotarpį grąžinimas įvyko.</w:t>
      </w:r>
      <w:bookmarkEnd w:id="44"/>
      <w:r w:rsidRPr="00451956">
        <w:rPr>
          <w:szCs w:val="24"/>
        </w:rPr>
        <w:t xml:space="preserve"> Metiniai finansinių ataskaitų rinkiniai nekoreguojami jei sąnaudos pripažįstamos netinkamomis ir grąžinamos praeitų metų finansavimų sumos į VSAFAS.</w:t>
      </w:r>
    </w:p>
    <w:p w14:paraId="40C9ED3B" w14:textId="77777777" w:rsidR="00451956" w:rsidRPr="00451956" w:rsidRDefault="00451956" w:rsidP="00451956">
      <w:pPr>
        <w:tabs>
          <w:tab w:val="left" w:pos="1298"/>
        </w:tabs>
        <w:spacing w:line="276" w:lineRule="auto"/>
      </w:pPr>
    </w:p>
    <w:p w14:paraId="1D9EC5C8" w14:textId="77777777" w:rsidR="00451956" w:rsidRPr="00451956" w:rsidRDefault="00451956" w:rsidP="00451956">
      <w:pPr>
        <w:keepNext/>
        <w:tabs>
          <w:tab w:val="left" w:pos="1298"/>
        </w:tabs>
        <w:spacing w:after="120" w:line="276" w:lineRule="auto"/>
        <w:jc w:val="center"/>
        <w:outlineLvl w:val="1"/>
        <w:rPr>
          <w:b/>
          <w:bCs/>
          <w:szCs w:val="24"/>
        </w:rPr>
      </w:pPr>
      <w:bookmarkStart w:id="45" w:name="_Toc200345196"/>
      <w:bookmarkStart w:id="46" w:name="_Toc233421908"/>
      <w:r w:rsidRPr="00451956">
        <w:rPr>
          <w:b/>
          <w:bCs/>
          <w:szCs w:val="24"/>
        </w:rPr>
        <w:t>Įsipareigojimai</w:t>
      </w:r>
      <w:bookmarkEnd w:id="45"/>
      <w:bookmarkEnd w:id="46"/>
    </w:p>
    <w:p w14:paraId="6F1638DC" w14:textId="77777777" w:rsidR="00451956" w:rsidRPr="00451956" w:rsidRDefault="00451956" w:rsidP="00451956">
      <w:pPr>
        <w:tabs>
          <w:tab w:val="left" w:pos="1298"/>
          <w:tab w:val="left" w:pos="5700"/>
        </w:tabs>
        <w:spacing w:line="276" w:lineRule="auto"/>
      </w:pPr>
    </w:p>
    <w:p w14:paraId="42903A65" w14:textId="77777777" w:rsidR="00451956" w:rsidRPr="00451956" w:rsidRDefault="00451956" w:rsidP="00451956">
      <w:pPr>
        <w:numPr>
          <w:ilvl w:val="0"/>
          <w:numId w:val="2"/>
        </w:numPr>
        <w:tabs>
          <w:tab w:val="clear" w:pos="4188"/>
          <w:tab w:val="num" w:pos="360"/>
          <w:tab w:val="num" w:pos="1260"/>
          <w:tab w:val="left" w:pos="1298"/>
        </w:tabs>
        <w:spacing w:line="276" w:lineRule="auto"/>
        <w:ind w:left="0" w:firstLine="720"/>
        <w:jc w:val="both"/>
        <w:rPr>
          <w:snapToGrid w:val="0"/>
        </w:rPr>
      </w:pPr>
      <w:bookmarkStart w:id="47" w:name="_Ref212602681"/>
      <w:r w:rsidRPr="00451956">
        <w:rPr>
          <w:snapToGrid w:val="0"/>
        </w:rPr>
        <w:t>Įsipareigojimų apskaita tvarkoma pagal 17-ojo VSAFAS „Finansinis turtas ir finansiniai įsipareigojimai“ ir 18-ojo VSAFAS „Atidėjiniai, neapibrėžtieji įsipareigojimai, neapibrėžtasis turtas ir poataskaitiniai įvykiai“ reikalavimus.</w:t>
      </w:r>
    </w:p>
    <w:p w14:paraId="321D12E1" w14:textId="77777777" w:rsidR="00451956" w:rsidRPr="00451956" w:rsidRDefault="00451956" w:rsidP="00451956">
      <w:pPr>
        <w:numPr>
          <w:ilvl w:val="0"/>
          <w:numId w:val="2"/>
        </w:numPr>
        <w:tabs>
          <w:tab w:val="clear" w:pos="4188"/>
          <w:tab w:val="num" w:pos="360"/>
          <w:tab w:val="num" w:pos="1260"/>
          <w:tab w:val="left" w:pos="1298"/>
        </w:tabs>
        <w:spacing w:line="276" w:lineRule="auto"/>
        <w:ind w:left="0" w:firstLine="720"/>
        <w:jc w:val="both"/>
        <w:rPr>
          <w:rFonts w:cs="Times New Roman"/>
          <w:szCs w:val="24"/>
        </w:rPr>
      </w:pPr>
      <w:r w:rsidRPr="00451956">
        <w:rPr>
          <w:rFonts w:cs="Times New Roman"/>
          <w:szCs w:val="24"/>
        </w:rPr>
        <w:t>IAENF apskaitoje visi įsipareigojimai laikomi finansiniais įsipareigojimais ir skirstomi į ilgalaikius ir trumpalaikius. Nustatant, ar įsipareigojimai priskirtini ilgalaikiams ar trumpalaikiams, atsižvelgiama į jų numatomą įvykdymą per 12 mėnesių skaičiuojant nuo einamojo ataskaitinio laikotarpio paskutinės dienos.</w:t>
      </w:r>
    </w:p>
    <w:p w14:paraId="206A0194" w14:textId="77777777" w:rsidR="00451956" w:rsidRPr="00451956" w:rsidRDefault="00451956" w:rsidP="00451956">
      <w:pPr>
        <w:numPr>
          <w:ilvl w:val="0"/>
          <w:numId w:val="2"/>
        </w:numPr>
        <w:tabs>
          <w:tab w:val="clear" w:pos="4188"/>
          <w:tab w:val="num" w:pos="360"/>
          <w:tab w:val="num" w:pos="1260"/>
          <w:tab w:val="left" w:pos="1298"/>
        </w:tabs>
        <w:spacing w:line="276" w:lineRule="auto"/>
        <w:ind w:left="0" w:firstLine="720"/>
        <w:jc w:val="both"/>
        <w:rPr>
          <w:rFonts w:cs="Times New Roman"/>
          <w:szCs w:val="24"/>
        </w:rPr>
      </w:pPr>
      <w:r w:rsidRPr="00451956">
        <w:rPr>
          <w:rFonts w:cs="Times New Roman"/>
          <w:szCs w:val="24"/>
        </w:rPr>
        <w:t>Prie ilgalaikių finansinių įsipareigojimų priskiriami:</w:t>
      </w:r>
    </w:p>
    <w:p w14:paraId="1DCB5B51" w14:textId="77777777" w:rsidR="00451956" w:rsidRPr="00451956" w:rsidRDefault="00451956" w:rsidP="00451956">
      <w:pPr>
        <w:widowControl w:val="0"/>
        <w:numPr>
          <w:ilvl w:val="1"/>
          <w:numId w:val="2"/>
        </w:numPr>
        <w:tabs>
          <w:tab w:val="left" w:pos="851"/>
        </w:tabs>
        <w:spacing w:line="276" w:lineRule="auto"/>
        <w:ind w:left="794" w:firstLine="0"/>
        <w:jc w:val="both"/>
        <w:rPr>
          <w:rFonts w:cs="Times New Roman"/>
          <w:szCs w:val="24"/>
        </w:rPr>
      </w:pPr>
      <w:r w:rsidRPr="00451956">
        <w:t>ilgalaikiai skoliniai įsipareigojimai;</w:t>
      </w:r>
    </w:p>
    <w:p w14:paraId="1D7AF005" w14:textId="77777777" w:rsidR="00451956" w:rsidRPr="00451956" w:rsidRDefault="00451956" w:rsidP="00451956">
      <w:pPr>
        <w:numPr>
          <w:ilvl w:val="1"/>
          <w:numId w:val="2"/>
        </w:numPr>
        <w:tabs>
          <w:tab w:val="left" w:pos="1298"/>
          <w:tab w:val="left" w:pos="1440"/>
        </w:tabs>
        <w:spacing w:line="276" w:lineRule="auto"/>
        <w:ind w:left="794" w:firstLine="0"/>
        <w:jc w:val="both"/>
        <w:rPr>
          <w:rFonts w:cs="Times New Roman"/>
          <w:szCs w:val="24"/>
        </w:rPr>
      </w:pPr>
      <w:r w:rsidRPr="00451956">
        <w:rPr>
          <w:rFonts w:cs="Times New Roman"/>
          <w:szCs w:val="24"/>
        </w:rPr>
        <w:t>ilgalaikiai atidėjiniai;</w:t>
      </w:r>
    </w:p>
    <w:p w14:paraId="1056AF22" w14:textId="77777777" w:rsidR="00451956" w:rsidRPr="00451956" w:rsidRDefault="00451956" w:rsidP="00451956">
      <w:pPr>
        <w:numPr>
          <w:ilvl w:val="1"/>
          <w:numId w:val="2"/>
        </w:numPr>
        <w:tabs>
          <w:tab w:val="left" w:pos="1298"/>
          <w:tab w:val="left" w:pos="1440"/>
        </w:tabs>
        <w:spacing w:line="276" w:lineRule="auto"/>
        <w:ind w:left="794" w:firstLine="0"/>
        <w:jc w:val="both"/>
        <w:rPr>
          <w:rFonts w:cs="Times New Roman"/>
          <w:szCs w:val="24"/>
        </w:rPr>
      </w:pPr>
      <w:r w:rsidRPr="00451956">
        <w:rPr>
          <w:rFonts w:cs="Times New Roman"/>
          <w:szCs w:val="24"/>
        </w:rPr>
        <w:t>kiti ilgalaikiai įsipareigojimai.</w:t>
      </w:r>
    </w:p>
    <w:p w14:paraId="6889717B" w14:textId="77777777" w:rsidR="00451956" w:rsidRPr="00451956" w:rsidRDefault="00451956" w:rsidP="00451956">
      <w:pPr>
        <w:numPr>
          <w:ilvl w:val="0"/>
          <w:numId w:val="2"/>
        </w:numPr>
        <w:tabs>
          <w:tab w:val="clear" w:pos="4188"/>
          <w:tab w:val="num" w:pos="360"/>
          <w:tab w:val="num" w:pos="1134"/>
          <w:tab w:val="left" w:pos="1298"/>
        </w:tabs>
        <w:spacing w:line="276" w:lineRule="auto"/>
        <w:ind w:left="0" w:firstLine="720"/>
        <w:jc w:val="both"/>
        <w:rPr>
          <w:rFonts w:cs="Times New Roman"/>
          <w:szCs w:val="24"/>
        </w:rPr>
      </w:pPr>
      <w:r w:rsidRPr="00451956">
        <w:rPr>
          <w:rFonts w:cs="Times New Roman"/>
          <w:szCs w:val="24"/>
        </w:rPr>
        <w:t>Prie trumpalaikių finansinių įsipareigojimų priskiriami:</w:t>
      </w:r>
    </w:p>
    <w:p w14:paraId="7BD37C7B" w14:textId="77777777" w:rsidR="00451956" w:rsidRPr="00451956" w:rsidRDefault="00451956" w:rsidP="00451956">
      <w:pPr>
        <w:numPr>
          <w:ilvl w:val="1"/>
          <w:numId w:val="2"/>
        </w:numPr>
        <w:tabs>
          <w:tab w:val="left" w:pos="1298"/>
        </w:tabs>
        <w:spacing w:line="276" w:lineRule="auto"/>
        <w:ind w:left="1645" w:hanging="851"/>
        <w:jc w:val="both"/>
        <w:rPr>
          <w:rFonts w:cs="Times New Roman"/>
          <w:szCs w:val="24"/>
        </w:rPr>
      </w:pPr>
      <w:r w:rsidRPr="00451956">
        <w:t>ilgalaikių skolinių įsipareigojimų einamųjų metų dalis;</w:t>
      </w:r>
    </w:p>
    <w:p w14:paraId="7B5B8419" w14:textId="77777777" w:rsidR="00451956" w:rsidRPr="00451956" w:rsidRDefault="00451956" w:rsidP="00451956">
      <w:pPr>
        <w:numPr>
          <w:ilvl w:val="1"/>
          <w:numId w:val="2"/>
        </w:numPr>
        <w:tabs>
          <w:tab w:val="left" w:pos="1298"/>
          <w:tab w:val="left" w:pos="1440"/>
        </w:tabs>
        <w:spacing w:line="276" w:lineRule="auto"/>
        <w:ind w:left="1645" w:hanging="851"/>
        <w:jc w:val="both"/>
        <w:rPr>
          <w:rFonts w:cs="Times New Roman"/>
          <w:szCs w:val="24"/>
        </w:rPr>
      </w:pPr>
      <w:r w:rsidRPr="00451956">
        <w:rPr>
          <w:rFonts w:cs="Times New Roman"/>
          <w:szCs w:val="24"/>
        </w:rPr>
        <w:t>ilgalaikių atidėjinių einamųjų metų dalis ir trumpalaikiai atidėjiniai;</w:t>
      </w:r>
    </w:p>
    <w:p w14:paraId="00E7B862" w14:textId="77777777" w:rsidR="00451956" w:rsidRPr="00451956" w:rsidRDefault="00451956" w:rsidP="00451956">
      <w:pPr>
        <w:numPr>
          <w:ilvl w:val="1"/>
          <w:numId w:val="2"/>
        </w:numPr>
        <w:tabs>
          <w:tab w:val="left" w:pos="1298"/>
          <w:tab w:val="left" w:pos="1440"/>
        </w:tabs>
        <w:spacing w:line="276" w:lineRule="auto"/>
        <w:ind w:left="1645" w:hanging="851"/>
        <w:jc w:val="both"/>
        <w:rPr>
          <w:rFonts w:cs="Times New Roman"/>
          <w:szCs w:val="24"/>
        </w:rPr>
      </w:pPr>
      <w:r w:rsidRPr="00451956">
        <w:rPr>
          <w:rFonts w:cs="Times New Roman"/>
          <w:szCs w:val="24"/>
        </w:rPr>
        <w:t>kitų ilgalaikių įsipareigojimų einamųjų metų dalis;</w:t>
      </w:r>
    </w:p>
    <w:p w14:paraId="54994079" w14:textId="77777777" w:rsidR="00451956" w:rsidRPr="00451956" w:rsidRDefault="00451956" w:rsidP="00451956">
      <w:pPr>
        <w:numPr>
          <w:ilvl w:val="1"/>
          <w:numId w:val="2"/>
        </w:numPr>
        <w:tabs>
          <w:tab w:val="left" w:pos="1298"/>
          <w:tab w:val="left" w:pos="1440"/>
        </w:tabs>
        <w:spacing w:line="276" w:lineRule="auto"/>
        <w:ind w:left="1645" w:hanging="851"/>
        <w:jc w:val="both"/>
        <w:rPr>
          <w:rFonts w:cs="Times New Roman"/>
          <w:szCs w:val="24"/>
        </w:rPr>
      </w:pPr>
      <w:r w:rsidRPr="00451956">
        <w:rPr>
          <w:rFonts w:cs="Times New Roman"/>
          <w:szCs w:val="24"/>
        </w:rPr>
        <w:t>trumpalaikiai skoliniai įsipareigojimai;</w:t>
      </w:r>
    </w:p>
    <w:p w14:paraId="164B36A1" w14:textId="77777777" w:rsidR="00451956" w:rsidRPr="00451956" w:rsidRDefault="00451956" w:rsidP="00451956">
      <w:pPr>
        <w:numPr>
          <w:ilvl w:val="1"/>
          <w:numId w:val="2"/>
        </w:numPr>
        <w:tabs>
          <w:tab w:val="left" w:pos="1298"/>
          <w:tab w:val="left" w:pos="1440"/>
        </w:tabs>
        <w:spacing w:line="276" w:lineRule="auto"/>
        <w:ind w:left="1645" w:hanging="851"/>
        <w:jc w:val="both"/>
        <w:rPr>
          <w:rFonts w:cs="Times New Roman"/>
          <w:szCs w:val="24"/>
        </w:rPr>
      </w:pPr>
      <w:r w:rsidRPr="00451956">
        <w:rPr>
          <w:rFonts w:cs="Times New Roman"/>
          <w:szCs w:val="24"/>
        </w:rPr>
        <w:t>mokėtinos subsidijos, dotacijos ir finansavimo sumos;</w:t>
      </w:r>
    </w:p>
    <w:p w14:paraId="5E7B872B" w14:textId="77777777" w:rsidR="00451956" w:rsidRPr="00451956" w:rsidRDefault="00451956" w:rsidP="00451956">
      <w:pPr>
        <w:numPr>
          <w:ilvl w:val="1"/>
          <w:numId w:val="2"/>
        </w:numPr>
        <w:tabs>
          <w:tab w:val="left" w:pos="1298"/>
          <w:tab w:val="left" w:pos="1440"/>
        </w:tabs>
        <w:spacing w:line="276" w:lineRule="auto"/>
        <w:ind w:left="1645" w:hanging="851"/>
        <w:jc w:val="both"/>
        <w:rPr>
          <w:rFonts w:cs="Times New Roman"/>
          <w:szCs w:val="24"/>
        </w:rPr>
      </w:pPr>
      <w:r w:rsidRPr="00451956">
        <w:rPr>
          <w:rFonts w:cs="Times New Roman"/>
          <w:szCs w:val="24"/>
        </w:rPr>
        <w:t>grąžintinos finansavimo sumos;</w:t>
      </w:r>
    </w:p>
    <w:p w14:paraId="43FD5DCE" w14:textId="77777777" w:rsidR="00451956" w:rsidRPr="00451956" w:rsidRDefault="00451956" w:rsidP="00451956">
      <w:pPr>
        <w:numPr>
          <w:ilvl w:val="1"/>
          <w:numId w:val="2"/>
        </w:numPr>
        <w:tabs>
          <w:tab w:val="left" w:pos="1298"/>
          <w:tab w:val="left" w:pos="1440"/>
        </w:tabs>
        <w:spacing w:line="276" w:lineRule="auto"/>
        <w:ind w:left="1645" w:hanging="851"/>
        <w:jc w:val="both"/>
        <w:rPr>
          <w:rFonts w:cs="Times New Roman"/>
          <w:szCs w:val="24"/>
        </w:rPr>
      </w:pPr>
      <w:r w:rsidRPr="00451956">
        <w:rPr>
          <w:rFonts w:cs="Times New Roman"/>
          <w:szCs w:val="24"/>
        </w:rPr>
        <w:t>tiekėjams mokėtinos sumos;</w:t>
      </w:r>
    </w:p>
    <w:p w14:paraId="6A0471DD" w14:textId="77777777" w:rsidR="00451956" w:rsidRPr="00451956" w:rsidRDefault="00451956" w:rsidP="00451956">
      <w:pPr>
        <w:numPr>
          <w:ilvl w:val="1"/>
          <w:numId w:val="2"/>
        </w:numPr>
        <w:tabs>
          <w:tab w:val="left" w:pos="1298"/>
          <w:tab w:val="left" w:pos="1440"/>
        </w:tabs>
        <w:spacing w:line="276" w:lineRule="auto"/>
        <w:ind w:left="1645" w:hanging="851"/>
        <w:jc w:val="both"/>
        <w:rPr>
          <w:rFonts w:cs="Times New Roman"/>
          <w:szCs w:val="24"/>
        </w:rPr>
      </w:pPr>
      <w:r w:rsidRPr="00451956">
        <w:rPr>
          <w:rFonts w:cs="Times New Roman"/>
          <w:szCs w:val="24"/>
        </w:rPr>
        <w:t>kiti trumpalaikiai įsipareigojimai.</w:t>
      </w:r>
    </w:p>
    <w:p w14:paraId="479116CF" w14:textId="77777777" w:rsidR="00451956" w:rsidRPr="00451956" w:rsidRDefault="00451956" w:rsidP="00451956">
      <w:pPr>
        <w:numPr>
          <w:ilvl w:val="0"/>
          <w:numId w:val="2"/>
        </w:numPr>
        <w:tabs>
          <w:tab w:val="clear" w:pos="4188"/>
          <w:tab w:val="num" w:pos="360"/>
          <w:tab w:val="num" w:pos="1260"/>
          <w:tab w:val="left" w:pos="1298"/>
        </w:tabs>
        <w:spacing w:line="276" w:lineRule="auto"/>
        <w:ind w:left="0" w:firstLine="720"/>
        <w:jc w:val="both"/>
      </w:pPr>
      <w:r w:rsidRPr="00451956">
        <w:rPr>
          <w:rFonts w:cs="Times New Roman"/>
          <w:szCs w:val="24"/>
        </w:rPr>
        <w:t>Pirminio pripažinimo metu finansiniai įsipareigojimai įvertinami ir apskaitoje registruojami įsigijimo savikaina.</w:t>
      </w:r>
    </w:p>
    <w:p w14:paraId="2424CFC7" w14:textId="77777777" w:rsidR="00451956" w:rsidRPr="00451956" w:rsidRDefault="00451956" w:rsidP="00451956">
      <w:pPr>
        <w:numPr>
          <w:ilvl w:val="0"/>
          <w:numId w:val="2"/>
        </w:numPr>
        <w:tabs>
          <w:tab w:val="clear" w:pos="4188"/>
          <w:tab w:val="num" w:pos="360"/>
          <w:tab w:val="num" w:pos="1260"/>
          <w:tab w:val="left" w:pos="1298"/>
        </w:tabs>
        <w:spacing w:line="276" w:lineRule="auto"/>
        <w:ind w:left="0" w:firstLine="720"/>
        <w:jc w:val="both"/>
        <w:rPr>
          <w:color w:val="000000"/>
        </w:rPr>
      </w:pPr>
      <w:r w:rsidRPr="00451956">
        <w:rPr>
          <w:rFonts w:cs="Times New Roman"/>
          <w:color w:val="000000"/>
          <w:szCs w:val="24"/>
        </w:rPr>
        <w:t>Po pirminio pripažinimo kiekvieną kartą prieš sudarant finansinių ataskaitų rinkinį įsipareigojimai įvertinami:</w:t>
      </w:r>
    </w:p>
    <w:p w14:paraId="3343D132" w14:textId="77777777" w:rsidR="00451956" w:rsidRPr="00451956" w:rsidRDefault="00451956" w:rsidP="00451956">
      <w:pPr>
        <w:numPr>
          <w:ilvl w:val="1"/>
          <w:numId w:val="2"/>
        </w:numPr>
        <w:tabs>
          <w:tab w:val="left" w:pos="1134"/>
          <w:tab w:val="left" w:pos="1276"/>
          <w:tab w:val="left" w:pos="1418"/>
          <w:tab w:val="left" w:pos="1701"/>
          <w:tab w:val="left" w:pos="1843"/>
          <w:tab w:val="left" w:pos="2127"/>
        </w:tabs>
        <w:spacing w:line="276" w:lineRule="auto"/>
        <w:ind w:left="0" w:firstLine="794"/>
        <w:jc w:val="both"/>
        <w:rPr>
          <w:color w:val="000000"/>
        </w:rPr>
      </w:pPr>
      <w:r w:rsidRPr="00451956">
        <w:rPr>
          <w:color w:val="000000"/>
        </w:rPr>
        <w:t>finansiniai įsipareigojimai, susiję su rinkos kainomis, – tikrąja verte;</w:t>
      </w:r>
    </w:p>
    <w:p w14:paraId="4BBD4514" w14:textId="77777777" w:rsidR="00451956" w:rsidRPr="00451956" w:rsidRDefault="00451956" w:rsidP="00451956">
      <w:pPr>
        <w:numPr>
          <w:ilvl w:val="1"/>
          <w:numId w:val="2"/>
        </w:numPr>
        <w:tabs>
          <w:tab w:val="left" w:pos="1134"/>
          <w:tab w:val="left" w:pos="1298"/>
          <w:tab w:val="left" w:pos="1560"/>
          <w:tab w:val="left" w:pos="1843"/>
        </w:tabs>
        <w:spacing w:line="276" w:lineRule="auto"/>
        <w:ind w:left="0" w:firstLine="794"/>
        <w:jc w:val="both"/>
        <w:rPr>
          <w:color w:val="000000"/>
        </w:rPr>
      </w:pPr>
      <w:r w:rsidRPr="00451956">
        <w:rPr>
          <w:color w:val="000000"/>
        </w:rPr>
        <w:t>iš suteiktų garantijų kilę finansiniai įsipareigojimai – tikrąja verte;</w:t>
      </w:r>
    </w:p>
    <w:p w14:paraId="370FE8E8" w14:textId="20559C99" w:rsidR="00451956" w:rsidRPr="00451956" w:rsidRDefault="008F772B" w:rsidP="00451956">
      <w:pPr>
        <w:numPr>
          <w:ilvl w:val="1"/>
          <w:numId w:val="2"/>
        </w:numPr>
        <w:tabs>
          <w:tab w:val="left" w:pos="1298"/>
          <w:tab w:val="left" w:pos="1440"/>
        </w:tabs>
        <w:spacing w:line="276" w:lineRule="auto"/>
        <w:ind w:left="0" w:firstLine="794"/>
        <w:jc w:val="both"/>
        <w:rPr>
          <w:color w:val="000000"/>
        </w:rPr>
      </w:pPr>
      <w:r>
        <w:t xml:space="preserve"> </w:t>
      </w:r>
      <w:r w:rsidR="00B17C82">
        <w:t>81.1 ir 81</w:t>
      </w:r>
      <w:r w:rsidR="00451956" w:rsidRPr="00451956">
        <w:t xml:space="preserve">.2 papunkčiuose nenurodyti ilgalaikiai finansiniai įsipareigojimai, jų einamųjų metų dalis, trumpalaikiai skoliniai įsipareigojimai, nesusiję su rinkos kainomis, – amortizuota savikaina. Trumpalaikių skolinių įsipareigojimų pagal iš kito viešojo sektoriaus subjekto gautas trumpalaikes paskolas amortizuota savikaina lygi jų įsigijimo savikainai </w:t>
      </w:r>
      <w:r w:rsidR="00451956" w:rsidRPr="00451956">
        <w:rPr>
          <w:color w:val="000000"/>
        </w:rPr>
        <w:t>ilgalaikiai finansiniai įsipareigojimai – amortizuota savikaina;</w:t>
      </w:r>
    </w:p>
    <w:p w14:paraId="7866E18C" w14:textId="0F6568A2" w:rsidR="00451956" w:rsidRPr="00451956" w:rsidRDefault="008F772B" w:rsidP="00451956">
      <w:pPr>
        <w:numPr>
          <w:ilvl w:val="1"/>
          <w:numId w:val="2"/>
        </w:numPr>
        <w:tabs>
          <w:tab w:val="left" w:pos="1298"/>
          <w:tab w:val="left" w:pos="1440"/>
        </w:tabs>
        <w:spacing w:line="276" w:lineRule="auto"/>
        <w:ind w:left="0" w:firstLine="794"/>
        <w:jc w:val="both"/>
        <w:rPr>
          <w:color w:val="000000"/>
        </w:rPr>
      </w:pPr>
      <w:r>
        <w:rPr>
          <w:color w:val="000000"/>
        </w:rPr>
        <w:t xml:space="preserve"> </w:t>
      </w:r>
      <w:r w:rsidR="00451956" w:rsidRPr="00451956">
        <w:rPr>
          <w:color w:val="000000"/>
        </w:rPr>
        <w:t>trumpalaikiai finansiniai įsipareigojimai – įsigijimo savikaina.</w:t>
      </w:r>
    </w:p>
    <w:p w14:paraId="1DE7ACD3" w14:textId="77777777" w:rsidR="00451956" w:rsidRPr="00451956" w:rsidRDefault="00451956" w:rsidP="00451956">
      <w:pPr>
        <w:numPr>
          <w:ilvl w:val="0"/>
          <w:numId w:val="2"/>
        </w:numPr>
        <w:tabs>
          <w:tab w:val="clear" w:pos="4188"/>
          <w:tab w:val="num" w:pos="360"/>
          <w:tab w:val="num" w:pos="900"/>
          <w:tab w:val="left" w:pos="1298"/>
        </w:tabs>
        <w:spacing w:line="276" w:lineRule="auto"/>
        <w:ind w:left="0" w:firstLine="720"/>
        <w:jc w:val="both"/>
        <w:rPr>
          <w:rFonts w:cs="Times New Roman"/>
          <w:szCs w:val="24"/>
        </w:rPr>
      </w:pPr>
      <w:r w:rsidRPr="00451956">
        <w:rPr>
          <w:rFonts w:cs="Times New Roman"/>
          <w:color w:val="000000"/>
          <w:szCs w:val="24"/>
        </w:rPr>
        <w:t xml:space="preserve">Finansinių įsipareigojimų amortizuota savikaina apskaičiuojama vadovaujantis 17-ojo VSAFAS </w:t>
      </w:r>
      <w:r w:rsidRPr="00451956">
        <w:rPr>
          <w:color w:val="000000"/>
        </w:rPr>
        <w:t xml:space="preserve">„Finansinis turtas ir finansiniai įsipareigojimai“ reikalavimais. Amortizuota savikaina </w:t>
      </w:r>
      <w:r w:rsidRPr="00451956">
        <w:t xml:space="preserve">apskaičiuojama naudojant apskaičiuotų palūkanų normą remiantis rinkoje taikoma palūkanų norma. </w:t>
      </w:r>
    </w:p>
    <w:p w14:paraId="5BDDE2F5" w14:textId="77777777" w:rsidR="00451956" w:rsidRPr="00451956" w:rsidRDefault="00451956" w:rsidP="00451956">
      <w:pPr>
        <w:numPr>
          <w:ilvl w:val="0"/>
          <w:numId w:val="2"/>
        </w:numPr>
        <w:tabs>
          <w:tab w:val="clear" w:pos="4188"/>
          <w:tab w:val="num" w:pos="360"/>
          <w:tab w:val="left" w:pos="1260"/>
          <w:tab w:val="left" w:pos="1298"/>
        </w:tabs>
        <w:spacing w:line="276" w:lineRule="auto"/>
        <w:ind w:left="0" w:firstLine="720"/>
        <w:jc w:val="both"/>
        <w:rPr>
          <w:lang w:eastAsia="en-US"/>
        </w:rPr>
      </w:pPr>
      <w:bookmarkStart w:id="48" w:name="_Ref228096012"/>
      <w:r w:rsidRPr="00451956">
        <w:rPr>
          <w:lang w:eastAsia="en-US"/>
        </w:rPr>
        <w:t xml:space="preserve">Ilgalaikiai ir trumpalaikiai įsipareigojimai, išskyrus atidėjinius, registruojami apskaitoje ūkinės operacijos ar ūkinio įvykio dieną pagal visus ne vėliau kaip iki kito mėnesio 20 dienos gautus dokumentus, o metų pabaigoje – ne vėliau kaip iki kito mėnesio 30 d. gautus dokumentus. </w:t>
      </w:r>
      <w:bookmarkEnd w:id="48"/>
    </w:p>
    <w:p w14:paraId="6A58B5B5" w14:textId="77777777" w:rsidR="00451956" w:rsidRPr="00451956" w:rsidRDefault="00451956" w:rsidP="00451956">
      <w:pPr>
        <w:numPr>
          <w:ilvl w:val="0"/>
          <w:numId w:val="2"/>
        </w:numPr>
        <w:tabs>
          <w:tab w:val="clear" w:pos="4188"/>
          <w:tab w:val="num" w:pos="360"/>
          <w:tab w:val="left" w:pos="1260"/>
          <w:tab w:val="left" w:pos="1298"/>
        </w:tabs>
        <w:spacing w:line="276" w:lineRule="auto"/>
        <w:ind w:left="0" w:firstLine="720"/>
        <w:jc w:val="both"/>
        <w:rPr>
          <w:lang w:eastAsia="en-US"/>
        </w:rPr>
      </w:pPr>
      <w:bookmarkStart w:id="49" w:name="_Ref212609906"/>
      <w:r w:rsidRPr="00451956">
        <w:rPr>
          <w:lang w:eastAsia="en-US"/>
        </w:rPr>
        <w:lastRenderedPageBreak/>
        <w:t xml:space="preserve">Negavus apskaitos dokumentų, kuriais patvirtinami IAENF įsipareigojimai, tačiau esant įrodymų, kad sąnaudos, susijusios su ataskaitiniu laikotarpiu, buvo padarytos, surašoma buhalterinė pažyma ir apskaitoje registruojamos sąnaudos ir sukaupti įsipareigojimai (sukauptos sąnaudos). Kitą laikotarpį gavus </w:t>
      </w:r>
      <w:r w:rsidRPr="00451956">
        <w:rPr>
          <w:szCs w:val="24"/>
          <w:lang w:eastAsia="en-US"/>
        </w:rPr>
        <w:t>apskaitos</w:t>
      </w:r>
      <w:r w:rsidRPr="00451956">
        <w:rPr>
          <w:lang w:eastAsia="en-US"/>
        </w:rPr>
        <w:t xml:space="preserve"> dokumentą, kuriuo patvirtinamos padarytos sąnaudos ir Fondo įsipareigojimas, mažinamos sukauptos sąnaudos ir registruojamos mokėtinos sumos. Jei yra neatitikimų tarp apskaičiuotų sukauptų sąnaudų ir </w:t>
      </w:r>
      <w:r w:rsidRPr="00451956">
        <w:rPr>
          <w:szCs w:val="24"/>
          <w:lang w:eastAsia="en-US"/>
        </w:rPr>
        <w:t>apskaitos</w:t>
      </w:r>
      <w:r w:rsidRPr="00451956">
        <w:rPr>
          <w:lang w:eastAsia="en-US"/>
        </w:rPr>
        <w:t xml:space="preserve"> dokumente nurodytos sumos, teigiamas ar neigiamas skirtumas yra registruojamas tose pačiose sąnaudų sąskaitose kaip ir praėjusį laikotarpį apskaičiuota sąnaudų suma, taip pat kaip atidėjinio atveju.</w:t>
      </w:r>
      <w:bookmarkEnd w:id="47"/>
      <w:bookmarkEnd w:id="49"/>
    </w:p>
    <w:p w14:paraId="683FBF63" w14:textId="77777777" w:rsidR="00451956" w:rsidRPr="00451956" w:rsidRDefault="00451956" w:rsidP="00451956">
      <w:pPr>
        <w:numPr>
          <w:ilvl w:val="0"/>
          <w:numId w:val="2"/>
        </w:numPr>
        <w:tabs>
          <w:tab w:val="clear" w:pos="4188"/>
          <w:tab w:val="num" w:pos="360"/>
          <w:tab w:val="num" w:pos="1260"/>
          <w:tab w:val="left" w:pos="1298"/>
        </w:tabs>
        <w:spacing w:line="276" w:lineRule="auto"/>
        <w:ind w:left="0" w:firstLine="720"/>
        <w:jc w:val="both"/>
      </w:pPr>
      <w:r w:rsidRPr="00451956">
        <w:rPr>
          <w:lang w:eastAsia="en-US"/>
        </w:rPr>
        <w:t>Kiekvieno ataskaitinio laikotarpio paskutinę dieną ilgalaikių įsipareigojimų dalis, kuri bus grąžinta per 12 mėnesių po paskutinės einamojo ataskaitinio laikotarpio dienos, perkeliama į trumpalaikius įsipareigojimus ir registruojama sąskaitose, skirtose ilgalaikių įsipareigojimų einamųjų metų daliai.</w:t>
      </w:r>
    </w:p>
    <w:p w14:paraId="709E229C" w14:textId="77777777" w:rsidR="00451956" w:rsidRPr="00451956" w:rsidRDefault="00451956" w:rsidP="00451956">
      <w:pPr>
        <w:numPr>
          <w:ilvl w:val="0"/>
          <w:numId w:val="2"/>
        </w:numPr>
        <w:tabs>
          <w:tab w:val="clear" w:pos="4188"/>
          <w:tab w:val="num" w:pos="360"/>
          <w:tab w:val="num" w:pos="1260"/>
          <w:tab w:val="left" w:pos="1298"/>
          <w:tab w:val="num" w:pos="1800"/>
        </w:tabs>
        <w:spacing w:line="276" w:lineRule="auto"/>
        <w:ind w:left="0" w:firstLine="720"/>
        <w:jc w:val="both"/>
        <w:rPr>
          <w:lang w:eastAsia="en-US"/>
        </w:rPr>
      </w:pPr>
      <w:r w:rsidRPr="00451956">
        <w:rPr>
          <w:lang w:eastAsia="en-US"/>
        </w:rPr>
        <w:t>Registruojant ilgalaikius įsipareigojimus, nustatoma, kokia yra tokios pačios trukmės ilgalaikių įsipareigojimų rinkos palūkanų norma įsipareigojimų pirminio pripažinimo dieną. Ši palūkanų norma laikoma diskonto norma, kuri naudojama įvertinti ilgalaikiams įsipareigojimams amortizuota savikaina kiekvieno ataskaitinio laikotarpio paskutinę dieną.</w:t>
      </w:r>
    </w:p>
    <w:p w14:paraId="7DA2BF37" w14:textId="77777777" w:rsidR="00451956" w:rsidRPr="00451956" w:rsidRDefault="00451956" w:rsidP="00451956">
      <w:pPr>
        <w:numPr>
          <w:ilvl w:val="0"/>
          <w:numId w:val="2"/>
        </w:numPr>
        <w:tabs>
          <w:tab w:val="clear" w:pos="4188"/>
          <w:tab w:val="num" w:pos="360"/>
          <w:tab w:val="left" w:pos="1260"/>
          <w:tab w:val="left" w:pos="1298"/>
          <w:tab w:val="num" w:pos="1800"/>
        </w:tabs>
        <w:spacing w:line="276" w:lineRule="auto"/>
        <w:ind w:left="0" w:firstLine="720"/>
        <w:jc w:val="both"/>
        <w:rPr>
          <w:iCs/>
          <w:lang w:eastAsia="en-US"/>
        </w:rPr>
      </w:pPr>
      <w:r w:rsidRPr="00451956">
        <w:rPr>
          <w:iCs/>
          <w:lang w:eastAsia="en-US"/>
        </w:rPr>
        <w:t>Ilgalaikių įsipareigojimų amortizuota savikaina skaičiuojama tik tada, kai diskonto norma daugiau negu 1 procento nukrypsta nuo prisiimtų įsipareigojimų sutartyse nurodytos palūkanų normos.</w:t>
      </w:r>
    </w:p>
    <w:p w14:paraId="678EAD9E" w14:textId="77777777" w:rsidR="00451956" w:rsidRPr="00451956" w:rsidRDefault="00451956" w:rsidP="00451956">
      <w:pPr>
        <w:numPr>
          <w:ilvl w:val="0"/>
          <w:numId w:val="2"/>
        </w:numPr>
        <w:tabs>
          <w:tab w:val="clear" w:pos="4188"/>
          <w:tab w:val="num" w:pos="360"/>
          <w:tab w:val="left" w:pos="1260"/>
          <w:tab w:val="left" w:pos="1298"/>
        </w:tabs>
        <w:spacing w:line="276" w:lineRule="auto"/>
        <w:ind w:left="0" w:firstLine="720"/>
        <w:jc w:val="both"/>
        <w:rPr>
          <w:rFonts w:cs="Times New Roman"/>
          <w:color w:val="000000"/>
          <w:szCs w:val="24"/>
        </w:rPr>
      </w:pPr>
      <w:r w:rsidRPr="00451956">
        <w:rPr>
          <w:color w:val="000000"/>
        </w:rPr>
        <w:t>Jeigu finansinis įsipareigojimas yra prisiimamas palankesnėmis nei rinkos sąlygomis (sutartyje nurodyta palūkanų norma mažesnė už rinkos palūkanų normą), ilgalaikių įsipareigojimų įsigijimo ir amortizuotos savikainos skirtumas yra pripažįstamas finansinės ir investicinės veiklos pajamomis, o skirtumas dėl kiekvieno vėlesnio amortizuotos savikainos apskaičiavimo pripažįstamas</w:t>
      </w:r>
      <w:r w:rsidRPr="00451956" w:rsidDel="007D2ADA">
        <w:rPr>
          <w:color w:val="000000"/>
        </w:rPr>
        <w:t xml:space="preserve"> </w:t>
      </w:r>
      <w:r w:rsidRPr="00451956">
        <w:rPr>
          <w:color w:val="000000"/>
        </w:rPr>
        <w:t>finansinės ir investicinės veiklos sąnaudomis. Ir atvirkščiai, jei finansinis įsipareigojimas yra prisiimamas blogesnėmis nei rinkos sąlygomis (sutartyje nurodyta palūkanų norma didesnė negu rinkos palūkanų norma), ilgalaikių įsipareigojimų įsigijimo ir amortizuotos savikainos skirtumas yra pripažįstamas finansinės ir investicinės veiklos sąnaudomis, o skirtumas dėl kiekvieno vėlesnio amortizuotos savikainos apskaičiavimo mažina</w:t>
      </w:r>
      <w:r w:rsidRPr="00451956" w:rsidDel="007D2ADA">
        <w:rPr>
          <w:color w:val="000000"/>
        </w:rPr>
        <w:t xml:space="preserve"> </w:t>
      </w:r>
      <w:r w:rsidRPr="00451956">
        <w:rPr>
          <w:color w:val="000000"/>
        </w:rPr>
        <w:t>finansinės i</w:t>
      </w:r>
      <w:r w:rsidR="006A1CC9">
        <w:rPr>
          <w:color w:val="000000"/>
        </w:rPr>
        <w:t>r investicinės veiklos sąnaudas</w:t>
      </w:r>
      <w:r w:rsidRPr="00451956">
        <w:rPr>
          <w:color w:val="000000"/>
          <w:szCs w:val="24"/>
        </w:rPr>
        <w:t>)</w:t>
      </w:r>
      <w:r w:rsidRPr="00451956">
        <w:rPr>
          <w:color w:val="000000"/>
        </w:rPr>
        <w:t>.</w:t>
      </w:r>
    </w:p>
    <w:p w14:paraId="67A7845A" w14:textId="77777777" w:rsidR="00451956" w:rsidRPr="00451956" w:rsidRDefault="00451956" w:rsidP="00451956">
      <w:pPr>
        <w:numPr>
          <w:ilvl w:val="0"/>
          <w:numId w:val="2"/>
        </w:numPr>
        <w:tabs>
          <w:tab w:val="clear" w:pos="4188"/>
          <w:tab w:val="num" w:pos="360"/>
          <w:tab w:val="left" w:pos="1260"/>
          <w:tab w:val="left" w:pos="1298"/>
        </w:tabs>
        <w:spacing w:line="276" w:lineRule="auto"/>
        <w:ind w:left="0" w:firstLine="720"/>
        <w:jc w:val="both"/>
        <w:rPr>
          <w:lang w:eastAsia="en-US"/>
        </w:rPr>
      </w:pPr>
      <w:r w:rsidRPr="00451956">
        <w:rPr>
          <w:lang w:eastAsia="en-US"/>
        </w:rPr>
        <w:t>Apskaitoje registruojamas įsipareigojimų sumažėjimas, kai įsipareigojimas yra apmokamas</w:t>
      </w:r>
      <w:r w:rsidRPr="00451956">
        <w:rPr>
          <w:szCs w:val="24"/>
        </w:rPr>
        <w:t xml:space="preserve"> </w:t>
      </w:r>
      <w:r w:rsidRPr="00451956">
        <w:rPr>
          <w:lang w:eastAsia="en-US"/>
        </w:rPr>
        <w:t>arba kai įsipareigojimą anuliuoja kreditorius. Kiti įsipareigojimų nurašymo atvejai nustatyti 17-ajame VSAFAS „Finansinis turtas ir finansiniai įsipareigojimai“</w:t>
      </w:r>
      <w:r w:rsidRPr="00451956">
        <w:rPr>
          <w:szCs w:val="24"/>
        </w:rPr>
        <w:t>.</w:t>
      </w:r>
    </w:p>
    <w:p w14:paraId="208D5780" w14:textId="77777777" w:rsidR="00451956" w:rsidRPr="00451956" w:rsidRDefault="00451956" w:rsidP="00451956">
      <w:pPr>
        <w:numPr>
          <w:ilvl w:val="0"/>
          <w:numId w:val="2"/>
        </w:numPr>
        <w:tabs>
          <w:tab w:val="clear" w:pos="4188"/>
          <w:tab w:val="num" w:pos="360"/>
          <w:tab w:val="left" w:pos="1260"/>
          <w:tab w:val="left" w:pos="1298"/>
        </w:tabs>
        <w:spacing w:line="276" w:lineRule="auto"/>
        <w:ind w:left="0" w:firstLine="720"/>
        <w:jc w:val="both"/>
        <w:rPr>
          <w:rFonts w:cs="Times New Roman"/>
          <w:szCs w:val="24"/>
        </w:rPr>
      </w:pPr>
      <w:r w:rsidRPr="00451956">
        <w:rPr>
          <w:szCs w:val="24"/>
        </w:rPr>
        <w:t xml:space="preserve">Ūkinės operacijos, susijusios su ilgalaikiais finansiniais įsipareigojimais IAENF apskaitoje registruojamos, </w:t>
      </w:r>
      <w:r w:rsidR="00A8785A">
        <w:rPr>
          <w:szCs w:val="24"/>
        </w:rPr>
        <w:t>Lietuvos Respublikos finansų</w:t>
      </w:r>
      <w:r w:rsidRPr="00451956">
        <w:rPr>
          <w:szCs w:val="24"/>
        </w:rPr>
        <w:t xml:space="preserve"> ministerijai pateikus reikiamą informaciją.</w:t>
      </w:r>
    </w:p>
    <w:p w14:paraId="69628511" w14:textId="77777777" w:rsidR="00451956" w:rsidRPr="00451956" w:rsidRDefault="00451956" w:rsidP="00451956">
      <w:pPr>
        <w:tabs>
          <w:tab w:val="left" w:pos="1260"/>
          <w:tab w:val="left" w:pos="1298"/>
        </w:tabs>
        <w:spacing w:line="276" w:lineRule="auto"/>
        <w:jc w:val="both"/>
        <w:rPr>
          <w:rFonts w:cs="Times New Roman"/>
          <w:szCs w:val="24"/>
        </w:rPr>
      </w:pPr>
    </w:p>
    <w:p w14:paraId="0397C687" w14:textId="77777777" w:rsidR="00451956" w:rsidRPr="00451956" w:rsidRDefault="00451956" w:rsidP="00451956">
      <w:pPr>
        <w:tabs>
          <w:tab w:val="left" w:pos="1298"/>
        </w:tabs>
        <w:autoSpaceDE w:val="0"/>
        <w:autoSpaceDN w:val="0"/>
        <w:adjustRightInd w:val="0"/>
        <w:spacing w:after="120" w:line="276" w:lineRule="auto"/>
        <w:jc w:val="center"/>
        <w:rPr>
          <w:rFonts w:cs="Times New Roman"/>
          <w:szCs w:val="24"/>
        </w:rPr>
      </w:pPr>
      <w:r w:rsidRPr="00010779">
        <w:rPr>
          <w:rFonts w:cs="Times New Roman"/>
          <w:b/>
          <w:szCs w:val="24"/>
        </w:rPr>
        <w:t>Atidėjiniai</w:t>
      </w:r>
    </w:p>
    <w:p w14:paraId="70A7EB5A" w14:textId="77777777" w:rsidR="00451956" w:rsidRPr="00451956" w:rsidRDefault="00451956" w:rsidP="00451956">
      <w:pPr>
        <w:numPr>
          <w:ilvl w:val="0"/>
          <w:numId w:val="2"/>
        </w:numPr>
        <w:tabs>
          <w:tab w:val="clear" w:pos="4188"/>
          <w:tab w:val="num" w:pos="360"/>
          <w:tab w:val="num" w:pos="1260"/>
          <w:tab w:val="left" w:pos="1298"/>
        </w:tabs>
        <w:spacing w:line="276" w:lineRule="auto"/>
        <w:ind w:left="0" w:firstLine="720"/>
        <w:jc w:val="both"/>
        <w:rPr>
          <w:rFonts w:cs="Times New Roman"/>
          <w:szCs w:val="24"/>
        </w:rPr>
      </w:pPr>
      <w:r w:rsidRPr="00451956">
        <w:rPr>
          <w:lang w:eastAsia="en-US"/>
        </w:rPr>
        <w:t>Atidėjinys yra įsipareigojimas, kurio galutinės padengimo sumos ir (arba) įvykdymo laiko negalima tiksliai nustatyti. Pagrindinis skirtumas nustatant, ar įsipareigojimas registruotinas kaip atidėjinys ar kaip sukauptas įsipareigojimas (sukauptos sąnaudos), yra tas, kad sukaupti įsipareigojimai gali būti gana tiksliai apskaičiuoti arba jų mokėjimo terminas gali būti gana tiksliai nustatytas. Sukaupti įsipareigojimai yra dažniausiai trumpalaikiai. Atidėjiniams būdingas mažesnis tikslumas ir apibrėžtumas.</w:t>
      </w:r>
    </w:p>
    <w:p w14:paraId="74FCD261" w14:textId="77777777" w:rsidR="00451956" w:rsidRPr="00451956" w:rsidRDefault="00451956" w:rsidP="00451956">
      <w:pPr>
        <w:numPr>
          <w:ilvl w:val="0"/>
          <w:numId w:val="2"/>
        </w:numPr>
        <w:tabs>
          <w:tab w:val="clear" w:pos="4188"/>
          <w:tab w:val="num" w:pos="360"/>
          <w:tab w:val="num" w:pos="1260"/>
          <w:tab w:val="left" w:pos="1298"/>
        </w:tabs>
        <w:spacing w:line="276" w:lineRule="auto"/>
        <w:ind w:left="0" w:firstLine="720"/>
        <w:jc w:val="both"/>
        <w:rPr>
          <w:rFonts w:cs="Times New Roman"/>
          <w:szCs w:val="24"/>
        </w:rPr>
      </w:pPr>
      <w:bookmarkStart w:id="50" w:name="_Ref220921963"/>
      <w:r w:rsidRPr="00451956">
        <w:rPr>
          <w:rFonts w:cs="Times New Roman"/>
          <w:szCs w:val="24"/>
        </w:rPr>
        <w:t xml:space="preserve">Atidėjiniai pripažįstami ir registruojami IAENF apskaitoje, </w:t>
      </w:r>
      <w:r w:rsidRPr="00451956">
        <w:rPr>
          <w:lang w:eastAsia="en-US"/>
        </w:rPr>
        <w:t>kai atitinka šiuos pripažinimo kriterijus:</w:t>
      </w:r>
      <w:bookmarkEnd w:id="50"/>
    </w:p>
    <w:p w14:paraId="221FC8A7" w14:textId="77777777" w:rsidR="00451956" w:rsidRPr="00451956" w:rsidRDefault="00451956" w:rsidP="00451956">
      <w:pPr>
        <w:numPr>
          <w:ilvl w:val="1"/>
          <w:numId w:val="2"/>
        </w:numPr>
        <w:tabs>
          <w:tab w:val="left" w:pos="1298"/>
          <w:tab w:val="num" w:pos="1440"/>
        </w:tabs>
        <w:spacing w:line="276" w:lineRule="auto"/>
        <w:ind w:left="0" w:firstLine="720"/>
        <w:jc w:val="both"/>
        <w:rPr>
          <w:rFonts w:cs="Times New Roman"/>
          <w:szCs w:val="24"/>
        </w:rPr>
      </w:pPr>
      <w:r w:rsidRPr="00451956">
        <w:rPr>
          <w:rFonts w:cs="Times New Roman"/>
          <w:szCs w:val="24"/>
        </w:rPr>
        <w:t>dėl įvykio praeityje atsiranda teisinė prievolė ar neatšaukiamasis pasižadėjimas padengti išlaidas, pagal teisės aktų nuostatas dengtinas iš IAENF;</w:t>
      </w:r>
    </w:p>
    <w:p w14:paraId="38617A6C" w14:textId="77777777" w:rsidR="00451956" w:rsidRPr="00451956" w:rsidRDefault="00451956" w:rsidP="00451956">
      <w:pPr>
        <w:numPr>
          <w:ilvl w:val="1"/>
          <w:numId w:val="2"/>
        </w:numPr>
        <w:tabs>
          <w:tab w:val="left" w:pos="1298"/>
          <w:tab w:val="num" w:pos="1440"/>
        </w:tabs>
        <w:spacing w:line="276" w:lineRule="auto"/>
        <w:ind w:left="0" w:firstLine="720"/>
        <w:jc w:val="both"/>
        <w:rPr>
          <w:rFonts w:cs="Times New Roman"/>
          <w:szCs w:val="24"/>
        </w:rPr>
      </w:pPr>
      <w:r w:rsidRPr="00451956">
        <w:rPr>
          <w:rFonts w:cs="Times New Roman"/>
          <w:szCs w:val="24"/>
        </w:rPr>
        <w:lastRenderedPageBreak/>
        <w:t xml:space="preserve">tikėtina (tikimybė didesnė negu 50 proc.), kad teisinei prievolei ar neatšaukiamajam pasižadėjimui įvykdyti bus reikalingi Fondo ištekliai; </w:t>
      </w:r>
    </w:p>
    <w:p w14:paraId="0EA24D37" w14:textId="77777777" w:rsidR="00451956" w:rsidRPr="00451956" w:rsidRDefault="00451956" w:rsidP="00451956">
      <w:pPr>
        <w:numPr>
          <w:ilvl w:val="1"/>
          <w:numId w:val="2"/>
        </w:numPr>
        <w:tabs>
          <w:tab w:val="left" w:pos="1298"/>
          <w:tab w:val="num" w:pos="1440"/>
        </w:tabs>
        <w:spacing w:line="276" w:lineRule="auto"/>
        <w:ind w:left="0" w:firstLine="720"/>
        <w:jc w:val="both"/>
        <w:rPr>
          <w:rFonts w:cs="Times New Roman"/>
          <w:szCs w:val="24"/>
        </w:rPr>
      </w:pPr>
      <w:r w:rsidRPr="00451956">
        <w:rPr>
          <w:rFonts w:cs="Times New Roman"/>
          <w:szCs w:val="24"/>
        </w:rPr>
        <w:t xml:space="preserve">įsipareigojimo suma gali būti patikimai įvertinta ir tiksliai paskaičiuota. </w:t>
      </w:r>
    </w:p>
    <w:p w14:paraId="0378F181" w14:textId="77777777" w:rsidR="00451956" w:rsidRPr="00451956" w:rsidRDefault="00451956" w:rsidP="00451956">
      <w:pPr>
        <w:numPr>
          <w:ilvl w:val="0"/>
          <w:numId w:val="2"/>
        </w:numPr>
        <w:tabs>
          <w:tab w:val="clear" w:pos="4188"/>
          <w:tab w:val="num" w:pos="360"/>
          <w:tab w:val="num" w:pos="1260"/>
          <w:tab w:val="left" w:pos="1298"/>
        </w:tabs>
        <w:spacing w:line="276" w:lineRule="auto"/>
        <w:ind w:left="0" w:firstLine="720"/>
        <w:jc w:val="both"/>
        <w:rPr>
          <w:rFonts w:cs="Times New Roman"/>
          <w:szCs w:val="24"/>
        </w:rPr>
      </w:pPr>
      <w:r w:rsidRPr="00451956">
        <w:rPr>
          <w:rFonts w:cs="Times New Roman"/>
          <w:szCs w:val="24"/>
        </w:rPr>
        <w:t>Jei tenkinami ne visi nurodyti pripažinimo kriterijai, atidėjiniai nėra pripažįstami, o informacija apie susijusį su tikėtina sumokėti suma neapibrėžtąjį įsipareigojimą yra pateikiama aiškinamajame rašte.</w:t>
      </w:r>
    </w:p>
    <w:p w14:paraId="51D59005" w14:textId="77777777" w:rsidR="00451956" w:rsidRPr="00451956" w:rsidRDefault="00451956" w:rsidP="00451956">
      <w:pPr>
        <w:numPr>
          <w:ilvl w:val="0"/>
          <w:numId w:val="2"/>
        </w:numPr>
        <w:tabs>
          <w:tab w:val="clear" w:pos="4188"/>
          <w:tab w:val="num" w:pos="360"/>
          <w:tab w:val="num" w:pos="1260"/>
          <w:tab w:val="left" w:pos="1298"/>
        </w:tabs>
        <w:spacing w:line="276" w:lineRule="auto"/>
        <w:ind w:left="0" w:firstLine="720"/>
        <w:jc w:val="both"/>
        <w:rPr>
          <w:rFonts w:cs="Times New Roman"/>
          <w:szCs w:val="24"/>
        </w:rPr>
      </w:pPr>
      <w:r w:rsidRPr="00451956">
        <w:rPr>
          <w:rFonts w:cs="Times New Roman"/>
          <w:szCs w:val="24"/>
        </w:rPr>
        <w:t xml:space="preserve">Atidėjiniai yra peržiūrimi kiekvienų metų pabaigoje ir pagal pasikeitusias aplinkybes ir gautą naujausią informaciją iš naujo įvertinamos būsimos su Ignalinos AE likvidavimu susijusias išmokos. </w:t>
      </w:r>
      <w:r w:rsidRPr="00451956">
        <w:rPr>
          <w:bCs/>
          <w:szCs w:val="24"/>
        </w:rPr>
        <w:t>Atidėjinių pasikeitimo sumos yra registruojamos pagal IAENF administruojančio subjekto pateiktą atidėjinių apskaičiavimo ataskaitą (pažymą).</w:t>
      </w:r>
    </w:p>
    <w:p w14:paraId="0902E577" w14:textId="77777777" w:rsidR="00451956" w:rsidRPr="00451956" w:rsidRDefault="00451956" w:rsidP="00451956">
      <w:pPr>
        <w:numPr>
          <w:ilvl w:val="0"/>
          <w:numId w:val="2"/>
        </w:numPr>
        <w:tabs>
          <w:tab w:val="clear" w:pos="4188"/>
          <w:tab w:val="num" w:pos="360"/>
          <w:tab w:val="left" w:pos="540"/>
          <w:tab w:val="left" w:pos="1260"/>
          <w:tab w:val="left" w:pos="1298"/>
          <w:tab w:val="left" w:pos="1440"/>
        </w:tabs>
        <w:spacing w:line="276" w:lineRule="auto"/>
        <w:ind w:left="0" w:firstLine="720"/>
        <w:jc w:val="both"/>
        <w:rPr>
          <w:rFonts w:cs="Times New Roman"/>
          <w:szCs w:val="24"/>
        </w:rPr>
      </w:pPr>
      <w:r w:rsidRPr="00451956">
        <w:rPr>
          <w:lang w:eastAsia="en-US"/>
        </w:rPr>
        <w:t>Atidėjinys nurašomas pasikeitus aplinkybėms ir pagrįstai nusprendus, kad tikimybė, jog dėl priežasčių, dėl kurių buvo suformuotas atidėjinys, gali atsirasti įsipareigojimas, tapo mažesnė negu 50 procentų.</w:t>
      </w:r>
    </w:p>
    <w:p w14:paraId="4F29AAF2" w14:textId="77777777" w:rsidR="00451956" w:rsidRPr="00451956" w:rsidRDefault="00451956" w:rsidP="00451956">
      <w:pPr>
        <w:numPr>
          <w:ilvl w:val="0"/>
          <w:numId w:val="2"/>
        </w:numPr>
        <w:tabs>
          <w:tab w:val="clear" w:pos="4188"/>
          <w:tab w:val="num" w:pos="360"/>
          <w:tab w:val="left" w:pos="540"/>
          <w:tab w:val="left" w:pos="1260"/>
          <w:tab w:val="left" w:pos="1298"/>
          <w:tab w:val="left" w:pos="1440"/>
        </w:tabs>
        <w:spacing w:line="276" w:lineRule="auto"/>
        <w:ind w:left="0" w:firstLine="720"/>
        <w:jc w:val="both"/>
        <w:rPr>
          <w:rFonts w:cs="Times New Roman"/>
          <w:szCs w:val="24"/>
        </w:rPr>
      </w:pPr>
      <w:bookmarkStart w:id="51" w:name="_Ref222126284"/>
      <w:r w:rsidRPr="00451956">
        <w:rPr>
          <w:rFonts w:cs="Times New Roman"/>
          <w:szCs w:val="24"/>
        </w:rPr>
        <w:t>Atidėjiniai perkeliami į mokėtinas sumas tada, kai nustatoma tiksli įsipareigojimo suma ir mokėjimo terminas. Skirtumas tarp apskaičiuotos atidėjinio sumos ir nustatytos mokėtinos sumos registruojamas taip</w:t>
      </w:r>
      <w:r w:rsidRPr="00451956">
        <w:rPr>
          <w:lang w:eastAsia="en-US"/>
        </w:rPr>
        <w:t>:</w:t>
      </w:r>
      <w:bookmarkEnd w:id="51"/>
    </w:p>
    <w:p w14:paraId="0C8FDFE8" w14:textId="77777777" w:rsidR="00451956" w:rsidRPr="00451956" w:rsidRDefault="00451956" w:rsidP="00451956">
      <w:pPr>
        <w:numPr>
          <w:ilvl w:val="1"/>
          <w:numId w:val="2"/>
        </w:numPr>
        <w:tabs>
          <w:tab w:val="left" w:pos="540"/>
          <w:tab w:val="left" w:pos="1298"/>
          <w:tab w:val="left" w:pos="1440"/>
        </w:tabs>
        <w:spacing w:line="276" w:lineRule="auto"/>
        <w:ind w:left="0" w:firstLine="720"/>
        <w:jc w:val="both"/>
        <w:rPr>
          <w:rFonts w:cs="Times New Roman"/>
          <w:szCs w:val="24"/>
        </w:rPr>
      </w:pPr>
      <w:r w:rsidRPr="00451956">
        <w:rPr>
          <w:lang w:eastAsia="en-US"/>
        </w:rPr>
        <w:t>skirtumo suma mažinamos atitinkamos sąnaudos, jeigu mokėtina suma yra mažesnė negu atidėjinio suma;</w:t>
      </w:r>
    </w:p>
    <w:p w14:paraId="068D8088" w14:textId="77777777" w:rsidR="00451956" w:rsidRPr="00451956" w:rsidRDefault="00451956" w:rsidP="00451956">
      <w:pPr>
        <w:numPr>
          <w:ilvl w:val="1"/>
          <w:numId w:val="2"/>
        </w:numPr>
        <w:tabs>
          <w:tab w:val="left" w:pos="540"/>
          <w:tab w:val="left" w:pos="1298"/>
          <w:tab w:val="left" w:pos="1440"/>
        </w:tabs>
        <w:spacing w:line="276" w:lineRule="auto"/>
        <w:ind w:left="0" w:firstLine="720"/>
        <w:jc w:val="both"/>
        <w:rPr>
          <w:rFonts w:cs="Times New Roman"/>
          <w:szCs w:val="24"/>
        </w:rPr>
      </w:pPr>
      <w:r w:rsidRPr="00451956">
        <w:rPr>
          <w:lang w:eastAsia="en-US"/>
        </w:rPr>
        <w:t>skirtumo suma registruojamos ataskaitinio laikotarpio atitinkamos sąnaudos, jeigu mokėtina suma yra didesnė negu atidėjinio suma.</w:t>
      </w:r>
    </w:p>
    <w:p w14:paraId="7D888C30" w14:textId="77777777" w:rsidR="00451956" w:rsidRPr="00451956" w:rsidRDefault="00451956" w:rsidP="00451956">
      <w:pPr>
        <w:tabs>
          <w:tab w:val="left" w:pos="540"/>
          <w:tab w:val="left" w:pos="1298"/>
          <w:tab w:val="left" w:pos="1440"/>
        </w:tabs>
        <w:spacing w:line="276" w:lineRule="auto"/>
        <w:ind w:left="632"/>
        <w:jc w:val="both"/>
        <w:rPr>
          <w:rFonts w:cs="Times New Roman"/>
          <w:szCs w:val="24"/>
        </w:rPr>
      </w:pPr>
    </w:p>
    <w:p w14:paraId="7A7702C6" w14:textId="77777777" w:rsidR="00451956" w:rsidRPr="00451956" w:rsidRDefault="00451956" w:rsidP="00451956">
      <w:pPr>
        <w:keepNext/>
        <w:tabs>
          <w:tab w:val="left" w:pos="1298"/>
        </w:tabs>
        <w:spacing w:after="120" w:line="276" w:lineRule="auto"/>
        <w:jc w:val="center"/>
        <w:outlineLvl w:val="1"/>
        <w:rPr>
          <w:rFonts w:ascii="Arial" w:hAnsi="Arial"/>
          <w:b/>
          <w:bCs/>
          <w:i/>
          <w:iCs/>
          <w:sz w:val="28"/>
          <w:szCs w:val="28"/>
        </w:rPr>
      </w:pPr>
      <w:bookmarkStart w:id="52" w:name="_Toc226270599"/>
      <w:bookmarkStart w:id="53" w:name="_Toc233421909"/>
      <w:bookmarkStart w:id="54" w:name="_Toc200345197"/>
      <w:r w:rsidRPr="00451956">
        <w:rPr>
          <w:b/>
          <w:bCs/>
          <w:szCs w:val="28"/>
        </w:rPr>
        <w:t>Grynasis turtas</w:t>
      </w:r>
      <w:bookmarkEnd w:id="52"/>
      <w:bookmarkEnd w:id="53"/>
    </w:p>
    <w:p w14:paraId="42B25127" w14:textId="77777777" w:rsidR="00451956" w:rsidRPr="00451956" w:rsidRDefault="00451956" w:rsidP="00451956">
      <w:pPr>
        <w:numPr>
          <w:ilvl w:val="0"/>
          <w:numId w:val="2"/>
        </w:numPr>
        <w:tabs>
          <w:tab w:val="clear" w:pos="4188"/>
          <w:tab w:val="num" w:pos="360"/>
          <w:tab w:val="left" w:pos="540"/>
          <w:tab w:val="left" w:pos="1260"/>
          <w:tab w:val="left" w:pos="1298"/>
          <w:tab w:val="left" w:pos="1440"/>
        </w:tabs>
        <w:spacing w:line="276" w:lineRule="auto"/>
        <w:ind w:left="0" w:firstLine="720"/>
        <w:jc w:val="both"/>
        <w:rPr>
          <w:rFonts w:cs="Times New Roman"/>
          <w:szCs w:val="24"/>
        </w:rPr>
      </w:pPr>
      <w:r w:rsidRPr="00451956">
        <w:t>Finansinių metų pradžioje praėjusių metų perviršis arba deficitas pripažįstamas ankstesniųjų metų sukauptu perviršiu arba deficitu.</w:t>
      </w:r>
    </w:p>
    <w:p w14:paraId="4DE01C4F" w14:textId="77777777" w:rsidR="00451956" w:rsidRPr="00451956" w:rsidRDefault="00451956" w:rsidP="00451956">
      <w:pPr>
        <w:tabs>
          <w:tab w:val="left" w:pos="540"/>
          <w:tab w:val="left" w:pos="1260"/>
          <w:tab w:val="left" w:pos="1298"/>
          <w:tab w:val="left" w:pos="1440"/>
        </w:tabs>
        <w:spacing w:line="276" w:lineRule="auto"/>
        <w:jc w:val="both"/>
        <w:rPr>
          <w:rFonts w:cs="Times New Roman"/>
          <w:szCs w:val="24"/>
        </w:rPr>
      </w:pPr>
    </w:p>
    <w:p w14:paraId="29AAE60E" w14:textId="77777777" w:rsidR="00451956" w:rsidRPr="00451956" w:rsidRDefault="00451956" w:rsidP="00451956">
      <w:pPr>
        <w:keepNext/>
        <w:tabs>
          <w:tab w:val="left" w:pos="1298"/>
        </w:tabs>
        <w:spacing w:after="120" w:line="276" w:lineRule="auto"/>
        <w:jc w:val="center"/>
        <w:outlineLvl w:val="1"/>
        <w:rPr>
          <w:b/>
          <w:bCs/>
          <w:szCs w:val="28"/>
        </w:rPr>
      </w:pPr>
      <w:bookmarkStart w:id="55" w:name="_Toc233421910"/>
      <w:r w:rsidRPr="00451956">
        <w:rPr>
          <w:b/>
          <w:bCs/>
          <w:szCs w:val="28"/>
        </w:rPr>
        <w:t>Pajamos</w:t>
      </w:r>
      <w:bookmarkEnd w:id="54"/>
      <w:bookmarkEnd w:id="55"/>
    </w:p>
    <w:p w14:paraId="1C487B62" w14:textId="77777777" w:rsidR="00451956" w:rsidRPr="00451956" w:rsidRDefault="00451956" w:rsidP="00451956">
      <w:pPr>
        <w:tabs>
          <w:tab w:val="left" w:pos="1298"/>
        </w:tabs>
        <w:spacing w:line="276" w:lineRule="auto"/>
      </w:pPr>
    </w:p>
    <w:p w14:paraId="23B21F57" w14:textId="77777777" w:rsidR="00451956" w:rsidRPr="00451956" w:rsidRDefault="00451956" w:rsidP="00451956">
      <w:pPr>
        <w:numPr>
          <w:ilvl w:val="0"/>
          <w:numId w:val="2"/>
        </w:numPr>
        <w:tabs>
          <w:tab w:val="clear" w:pos="4188"/>
          <w:tab w:val="num" w:pos="360"/>
          <w:tab w:val="num" w:pos="1260"/>
          <w:tab w:val="left" w:pos="1298"/>
        </w:tabs>
        <w:spacing w:line="276" w:lineRule="auto"/>
        <w:ind w:left="0" w:firstLine="720"/>
        <w:jc w:val="both"/>
        <w:rPr>
          <w:rFonts w:cs="Times New Roman"/>
          <w:szCs w:val="24"/>
        </w:rPr>
      </w:pPr>
      <w:r w:rsidRPr="00451956">
        <w:rPr>
          <w:rFonts w:cs="Times New Roman"/>
          <w:szCs w:val="24"/>
        </w:rPr>
        <w:t>Pajamų apskaita tvarkoma pagal 10-ojo VSAFAS „Kitos pajamos“ ir 20-ojo VSAFAS „Finansavimo sumos“ reikalavimus.</w:t>
      </w:r>
    </w:p>
    <w:p w14:paraId="0369240D" w14:textId="77777777" w:rsidR="00451956" w:rsidRPr="00451956" w:rsidRDefault="00451956" w:rsidP="00451956">
      <w:pPr>
        <w:numPr>
          <w:ilvl w:val="0"/>
          <w:numId w:val="2"/>
        </w:numPr>
        <w:tabs>
          <w:tab w:val="clear" w:pos="4188"/>
          <w:tab w:val="num" w:pos="360"/>
          <w:tab w:val="num" w:pos="1260"/>
          <w:tab w:val="left" w:pos="1298"/>
        </w:tabs>
        <w:spacing w:line="276" w:lineRule="auto"/>
        <w:ind w:left="0" w:firstLine="720"/>
        <w:jc w:val="both"/>
        <w:rPr>
          <w:rFonts w:cs="Times New Roman"/>
          <w:szCs w:val="24"/>
        </w:rPr>
      </w:pPr>
      <w:r w:rsidRPr="00451956">
        <w:rPr>
          <w:rFonts w:cs="Times New Roman"/>
          <w:szCs w:val="24"/>
        </w:rPr>
        <w:t>Pajamų apskaitai taikomas kaupimo principas. Pajamos pripažįstamos ir registruojamos apskaitoje bei rodomos finansinėse ataskaitose tą ataskaitinį laikotarpį, kurį yra uždirbamos, neatsižvelgiant į pinigų gavimo momentą.</w:t>
      </w:r>
    </w:p>
    <w:p w14:paraId="7398B939" w14:textId="77777777" w:rsidR="00451956" w:rsidRPr="00451956" w:rsidRDefault="00451956" w:rsidP="00451956">
      <w:pPr>
        <w:numPr>
          <w:ilvl w:val="0"/>
          <w:numId w:val="2"/>
        </w:numPr>
        <w:tabs>
          <w:tab w:val="clear" w:pos="4188"/>
          <w:tab w:val="num" w:pos="360"/>
          <w:tab w:val="left" w:pos="1260"/>
          <w:tab w:val="left" w:pos="1298"/>
        </w:tabs>
        <w:spacing w:line="276" w:lineRule="auto"/>
        <w:ind w:left="0" w:firstLine="720"/>
        <w:jc w:val="both"/>
      </w:pPr>
      <w:r w:rsidRPr="00451956">
        <w:t>IAENF pajamas sudaro:</w:t>
      </w:r>
    </w:p>
    <w:p w14:paraId="4506A9E1" w14:textId="77777777" w:rsidR="00451956" w:rsidRPr="00451956" w:rsidRDefault="00451956" w:rsidP="00451956">
      <w:pPr>
        <w:numPr>
          <w:ilvl w:val="1"/>
          <w:numId w:val="2"/>
        </w:numPr>
        <w:tabs>
          <w:tab w:val="left" w:pos="1260"/>
          <w:tab w:val="left" w:pos="1298"/>
          <w:tab w:val="left" w:pos="1440"/>
        </w:tabs>
        <w:spacing w:line="276" w:lineRule="auto"/>
        <w:ind w:left="0" w:firstLine="720"/>
        <w:jc w:val="both"/>
      </w:pPr>
      <w:r w:rsidRPr="00451956">
        <w:t>pagrindinės veiklos pajamos:</w:t>
      </w:r>
    </w:p>
    <w:p w14:paraId="2BB0056A" w14:textId="77777777" w:rsidR="00451956" w:rsidRPr="00451956" w:rsidRDefault="00451956" w:rsidP="00451956">
      <w:pPr>
        <w:numPr>
          <w:ilvl w:val="2"/>
          <w:numId w:val="2"/>
        </w:numPr>
        <w:tabs>
          <w:tab w:val="left" w:pos="1260"/>
          <w:tab w:val="left" w:pos="1298"/>
        </w:tabs>
        <w:spacing w:line="276" w:lineRule="auto"/>
        <w:ind w:left="0" w:firstLine="720"/>
        <w:jc w:val="both"/>
      </w:pPr>
      <w:r w:rsidRPr="00451956">
        <w:t xml:space="preserve">finansavimo pajamos; </w:t>
      </w:r>
    </w:p>
    <w:p w14:paraId="1ACC83D5" w14:textId="77777777" w:rsidR="00451956" w:rsidRPr="00451956" w:rsidRDefault="00451956" w:rsidP="00451956">
      <w:pPr>
        <w:numPr>
          <w:ilvl w:val="2"/>
          <w:numId w:val="2"/>
        </w:numPr>
        <w:tabs>
          <w:tab w:val="left" w:pos="1260"/>
          <w:tab w:val="left" w:pos="1298"/>
        </w:tabs>
        <w:spacing w:line="276" w:lineRule="auto"/>
        <w:ind w:left="0" w:firstLine="720"/>
        <w:jc w:val="both"/>
      </w:pPr>
      <w:r w:rsidRPr="00451956">
        <w:t xml:space="preserve">kitos pagrindinės veiklos pajamos (pajamos </w:t>
      </w:r>
      <w:r w:rsidRPr="00451956">
        <w:rPr>
          <w:sz w:val="22"/>
          <w:szCs w:val="22"/>
        </w:rPr>
        <w:t>už Ignalinos AE parduotą turtą</w:t>
      </w:r>
      <w:r w:rsidRPr="00451956">
        <w:t>);</w:t>
      </w:r>
    </w:p>
    <w:p w14:paraId="32EA516E" w14:textId="77777777" w:rsidR="00451956" w:rsidRPr="00451956" w:rsidRDefault="00451956" w:rsidP="00451956">
      <w:pPr>
        <w:numPr>
          <w:ilvl w:val="1"/>
          <w:numId w:val="2"/>
        </w:numPr>
        <w:tabs>
          <w:tab w:val="left" w:pos="540"/>
          <w:tab w:val="left" w:pos="1298"/>
          <w:tab w:val="left" w:pos="1440"/>
        </w:tabs>
        <w:spacing w:line="276" w:lineRule="auto"/>
        <w:ind w:left="0" w:firstLine="720"/>
        <w:jc w:val="both"/>
      </w:pPr>
      <w:r w:rsidRPr="00451956">
        <w:t xml:space="preserve">kitos veiklos pajamos, į kurias įeina pelnas iš ilgalaikio turto perleidimo; </w:t>
      </w:r>
    </w:p>
    <w:p w14:paraId="6242B4A3" w14:textId="77777777" w:rsidR="00451956" w:rsidRPr="00451956" w:rsidRDefault="00451956" w:rsidP="00451956">
      <w:pPr>
        <w:numPr>
          <w:ilvl w:val="1"/>
          <w:numId w:val="2"/>
        </w:numPr>
        <w:tabs>
          <w:tab w:val="left" w:pos="540"/>
          <w:tab w:val="left" w:pos="1298"/>
          <w:tab w:val="left" w:pos="1440"/>
        </w:tabs>
        <w:spacing w:line="276" w:lineRule="auto"/>
        <w:ind w:left="0" w:firstLine="720"/>
        <w:jc w:val="both"/>
      </w:pPr>
      <w:r w:rsidRPr="00451956">
        <w:t>finansinės ir investicinės veiklos pajamos:</w:t>
      </w:r>
    </w:p>
    <w:p w14:paraId="3418BC97" w14:textId="77777777" w:rsidR="00451956" w:rsidRPr="00451956" w:rsidRDefault="00451956" w:rsidP="00451956">
      <w:pPr>
        <w:numPr>
          <w:ilvl w:val="2"/>
          <w:numId w:val="2"/>
        </w:numPr>
        <w:tabs>
          <w:tab w:val="left" w:pos="540"/>
          <w:tab w:val="left" w:pos="1298"/>
        </w:tabs>
        <w:spacing w:line="276" w:lineRule="auto"/>
        <w:ind w:left="0" w:firstLine="720"/>
        <w:jc w:val="both"/>
      </w:pPr>
      <w:r w:rsidRPr="00451956">
        <w:t>palūkanų pajamos (pajamos</w:t>
      </w:r>
      <w:r w:rsidRPr="00451956">
        <w:rPr>
          <w:szCs w:val="24"/>
        </w:rPr>
        <w:t xml:space="preserve"> už investuotas laikinai laisvas Fondo lėšas, pajamos iš ilgalaikio finansinio turto amortizavimo ir kt.);</w:t>
      </w:r>
    </w:p>
    <w:p w14:paraId="3407AB7F" w14:textId="77777777" w:rsidR="00451956" w:rsidRPr="00451956" w:rsidRDefault="00451956" w:rsidP="00451956">
      <w:pPr>
        <w:numPr>
          <w:ilvl w:val="2"/>
          <w:numId w:val="2"/>
        </w:numPr>
        <w:tabs>
          <w:tab w:val="left" w:pos="540"/>
          <w:tab w:val="left" w:pos="1298"/>
        </w:tabs>
        <w:spacing w:line="276" w:lineRule="auto"/>
        <w:ind w:left="0" w:firstLine="720"/>
        <w:jc w:val="both"/>
      </w:pPr>
      <w:r w:rsidRPr="00451956">
        <w:rPr>
          <w:szCs w:val="24"/>
        </w:rPr>
        <w:t>pajamos dėl teigiamos valiutos kurso pasikeitimo įtakos;</w:t>
      </w:r>
    </w:p>
    <w:p w14:paraId="254AFB48" w14:textId="77777777" w:rsidR="00451956" w:rsidRPr="00451956" w:rsidRDefault="00451956" w:rsidP="00451956">
      <w:pPr>
        <w:numPr>
          <w:ilvl w:val="2"/>
          <w:numId w:val="2"/>
        </w:numPr>
        <w:tabs>
          <w:tab w:val="left" w:pos="1298"/>
        </w:tabs>
        <w:spacing w:line="276" w:lineRule="auto"/>
        <w:ind w:left="0" w:firstLine="720"/>
        <w:jc w:val="both"/>
      </w:pPr>
      <w:r w:rsidRPr="00451956">
        <w:rPr>
          <w:szCs w:val="24"/>
        </w:rPr>
        <w:t>kitos finansinės ir investicinės veiklos pajamos (pajamos iš ilgalaikių finansinių įsipareigojimų amortizavimo);</w:t>
      </w:r>
      <w:r w:rsidRPr="00451956">
        <w:t xml:space="preserve"> </w:t>
      </w:r>
    </w:p>
    <w:p w14:paraId="4896D252" w14:textId="77777777" w:rsidR="00451956" w:rsidRPr="00D61ADF" w:rsidRDefault="00451956" w:rsidP="00451956">
      <w:pPr>
        <w:numPr>
          <w:ilvl w:val="0"/>
          <w:numId w:val="2"/>
        </w:numPr>
        <w:tabs>
          <w:tab w:val="clear" w:pos="4188"/>
          <w:tab w:val="num" w:pos="360"/>
          <w:tab w:val="left" w:pos="1260"/>
          <w:tab w:val="left" w:pos="1298"/>
        </w:tabs>
        <w:spacing w:line="276" w:lineRule="auto"/>
        <w:ind w:left="0" w:firstLine="720"/>
        <w:jc w:val="both"/>
        <w:rPr>
          <w:szCs w:val="24"/>
        </w:rPr>
      </w:pPr>
      <w:r w:rsidRPr="00D61ADF">
        <w:rPr>
          <w:szCs w:val="24"/>
        </w:rPr>
        <w:lastRenderedPageBreak/>
        <w:t xml:space="preserve">Pajamos </w:t>
      </w:r>
      <w:r w:rsidRPr="004926C1">
        <w:rPr>
          <w:szCs w:val="24"/>
        </w:rPr>
        <w:t xml:space="preserve">už Ignalinos AE parduotą turtą </w:t>
      </w:r>
      <w:r w:rsidRPr="00D61ADF">
        <w:rPr>
          <w:szCs w:val="24"/>
        </w:rPr>
        <w:t>pripažįstamos kiekvieno mėnesio pabaigoje ir apskaitoje registruojamos pagal Ignalinos AE pateiktą ataskaitą.</w:t>
      </w:r>
    </w:p>
    <w:p w14:paraId="5D0F7379" w14:textId="77777777" w:rsidR="00451956" w:rsidRPr="00451956" w:rsidRDefault="00451956" w:rsidP="00451956">
      <w:pPr>
        <w:numPr>
          <w:ilvl w:val="0"/>
          <w:numId w:val="2"/>
        </w:numPr>
        <w:tabs>
          <w:tab w:val="clear" w:pos="4188"/>
          <w:tab w:val="num" w:pos="360"/>
          <w:tab w:val="num" w:pos="1260"/>
          <w:tab w:val="left" w:pos="1298"/>
        </w:tabs>
        <w:spacing w:line="276" w:lineRule="auto"/>
        <w:ind w:left="0" w:firstLine="720"/>
        <w:jc w:val="both"/>
        <w:rPr>
          <w:rFonts w:cs="Times New Roman"/>
          <w:szCs w:val="24"/>
        </w:rPr>
      </w:pPr>
      <w:r w:rsidRPr="00451956">
        <w:rPr>
          <w:rFonts w:cs="Times New Roman"/>
          <w:szCs w:val="24"/>
        </w:rPr>
        <w:t>Finansavimo pajamų pripažinimas aprašytas šio apskaitos vadovo „Finansavimo sumų“ skyriuje.</w:t>
      </w:r>
    </w:p>
    <w:p w14:paraId="34CDC113" w14:textId="77777777" w:rsidR="00451956" w:rsidRPr="00451956" w:rsidRDefault="00451956" w:rsidP="00451956">
      <w:pPr>
        <w:numPr>
          <w:ilvl w:val="0"/>
          <w:numId w:val="2"/>
        </w:numPr>
        <w:tabs>
          <w:tab w:val="clear" w:pos="4188"/>
          <w:tab w:val="num" w:pos="360"/>
          <w:tab w:val="num" w:pos="1260"/>
          <w:tab w:val="left" w:pos="1298"/>
        </w:tabs>
        <w:spacing w:line="276" w:lineRule="auto"/>
        <w:ind w:left="0" w:firstLine="720"/>
        <w:jc w:val="both"/>
        <w:rPr>
          <w:rFonts w:cs="Times New Roman"/>
          <w:bCs/>
          <w:szCs w:val="24"/>
        </w:rPr>
      </w:pPr>
      <w:bookmarkStart w:id="56" w:name="_Ref214522705"/>
      <w:r w:rsidRPr="00451956">
        <w:rPr>
          <w:rFonts w:cs="Times New Roman"/>
          <w:bCs/>
          <w:szCs w:val="24"/>
        </w:rPr>
        <w:t>Prie IAENF finansinės ir investicinės veiklos pajamų priskiriamos palūkanų pajamos, baudų ir delspinigių pajamos, pajamos dėl teigiamos valiutos kurso pasikeitimo įtakos, vertybinių popierių perkainojimo pelnas ir kitos finansinės ir investicinės veiklos pajamos.</w:t>
      </w:r>
    </w:p>
    <w:p w14:paraId="5474C0C1" w14:textId="77777777" w:rsidR="00451956" w:rsidRPr="00451956" w:rsidRDefault="00451956" w:rsidP="00451956">
      <w:pPr>
        <w:numPr>
          <w:ilvl w:val="0"/>
          <w:numId w:val="2"/>
        </w:numPr>
        <w:tabs>
          <w:tab w:val="clear" w:pos="4188"/>
          <w:tab w:val="num" w:pos="360"/>
          <w:tab w:val="left" w:pos="1260"/>
          <w:tab w:val="left" w:pos="1298"/>
        </w:tabs>
        <w:spacing w:line="276" w:lineRule="auto"/>
        <w:ind w:left="0" w:firstLine="720"/>
        <w:jc w:val="both"/>
        <w:rPr>
          <w:szCs w:val="24"/>
        </w:rPr>
      </w:pPr>
      <w:bookmarkStart w:id="57" w:name="_Ref228246416"/>
      <w:r w:rsidRPr="00451956">
        <w:rPr>
          <w:szCs w:val="24"/>
        </w:rPr>
        <w:t>P</w:t>
      </w:r>
      <w:r w:rsidRPr="00451956">
        <w:rPr>
          <w:bCs/>
          <w:szCs w:val="24"/>
        </w:rPr>
        <w:t>alūkanų pajamos pripažįstamos ir registruojamos:</w:t>
      </w:r>
      <w:bookmarkEnd w:id="56"/>
      <w:bookmarkEnd w:id="57"/>
    </w:p>
    <w:p w14:paraId="1E139790" w14:textId="77777777" w:rsidR="00451956" w:rsidRPr="00451956" w:rsidRDefault="00451956" w:rsidP="00451956">
      <w:pPr>
        <w:numPr>
          <w:ilvl w:val="1"/>
          <w:numId w:val="2"/>
        </w:numPr>
        <w:tabs>
          <w:tab w:val="left" w:pos="1298"/>
          <w:tab w:val="left" w:pos="1440"/>
        </w:tabs>
        <w:spacing w:line="276" w:lineRule="auto"/>
        <w:ind w:left="0" w:firstLine="720"/>
        <w:jc w:val="both"/>
        <w:rPr>
          <w:bCs/>
          <w:szCs w:val="24"/>
        </w:rPr>
      </w:pPr>
      <w:r w:rsidRPr="00451956">
        <w:rPr>
          <w:bCs/>
          <w:szCs w:val="24"/>
        </w:rPr>
        <w:t xml:space="preserve">uždirbtos investavus IAENF lėšas – pagal investicijos sutartyje nustatytas sąlygas, </w:t>
      </w:r>
      <w:r w:rsidR="00A8785A">
        <w:rPr>
          <w:bCs/>
          <w:szCs w:val="24"/>
        </w:rPr>
        <w:t>Lietuvos Respublikos finansų</w:t>
      </w:r>
      <w:r w:rsidRPr="00451956">
        <w:rPr>
          <w:bCs/>
          <w:szCs w:val="24"/>
        </w:rPr>
        <w:t xml:space="preserve"> ministerijai pateikus reikalingą informaciją. Palūkanų pajamos ataskaitinio laikotarpio pabaigoje turi būti sukaupiamos;</w:t>
      </w:r>
    </w:p>
    <w:p w14:paraId="70AA34EB" w14:textId="77777777" w:rsidR="00451956" w:rsidRPr="00451956" w:rsidRDefault="00451956" w:rsidP="00451956">
      <w:pPr>
        <w:numPr>
          <w:ilvl w:val="1"/>
          <w:numId w:val="2"/>
        </w:numPr>
        <w:tabs>
          <w:tab w:val="left" w:pos="1298"/>
          <w:tab w:val="left" w:pos="1440"/>
        </w:tabs>
        <w:spacing w:line="276" w:lineRule="auto"/>
        <w:ind w:left="0" w:firstLine="720"/>
        <w:jc w:val="both"/>
        <w:rPr>
          <w:bCs/>
          <w:szCs w:val="24"/>
        </w:rPr>
      </w:pPr>
      <w:r w:rsidRPr="00451956">
        <w:rPr>
          <w:bCs/>
          <w:szCs w:val="24"/>
        </w:rPr>
        <w:t xml:space="preserve">iš IAENF banko sąskaitų – banko išrašo dienos data arba pagal </w:t>
      </w:r>
      <w:r w:rsidR="00A8785A">
        <w:rPr>
          <w:bCs/>
          <w:szCs w:val="24"/>
        </w:rPr>
        <w:t>Lietuvos Respublikos finansų</w:t>
      </w:r>
      <w:r w:rsidRPr="00451956">
        <w:rPr>
          <w:bCs/>
          <w:szCs w:val="24"/>
        </w:rPr>
        <w:t xml:space="preserve"> ministerijos pateiktą informaciją, bet ne rečiau kaip kiekvieną kartą sudarant finansines ataskaitas. Palūkanų pajamos ataskaitinio laikotarpio pabaigoje turi būti sukaupiamos.</w:t>
      </w:r>
    </w:p>
    <w:p w14:paraId="4CBD11C2" w14:textId="77777777" w:rsidR="00451956" w:rsidRPr="00451956" w:rsidRDefault="00451956" w:rsidP="00451956">
      <w:pPr>
        <w:numPr>
          <w:ilvl w:val="0"/>
          <w:numId w:val="2"/>
        </w:numPr>
        <w:tabs>
          <w:tab w:val="clear" w:pos="4188"/>
          <w:tab w:val="num" w:pos="360"/>
          <w:tab w:val="left" w:pos="1260"/>
          <w:tab w:val="left" w:pos="1298"/>
          <w:tab w:val="left" w:pos="1800"/>
        </w:tabs>
        <w:spacing w:line="276" w:lineRule="auto"/>
        <w:ind w:left="0" w:firstLine="720"/>
        <w:jc w:val="both"/>
        <w:rPr>
          <w:bCs/>
          <w:szCs w:val="24"/>
        </w:rPr>
      </w:pPr>
      <w:bookmarkStart w:id="58" w:name="_Ref229812517"/>
      <w:bookmarkStart w:id="59" w:name="_Ref214526024"/>
      <w:r w:rsidRPr="00451956">
        <w:rPr>
          <w:szCs w:val="24"/>
        </w:rPr>
        <w:t>Teigiamos valiutų kursų pasikeitimo įtakos registravimo tvarka nurodyta šio apskaitos vadovo „Sandorių užsienio valiuta“ skyriuje.</w:t>
      </w:r>
      <w:bookmarkEnd w:id="58"/>
      <w:r w:rsidRPr="00451956">
        <w:rPr>
          <w:szCs w:val="24"/>
        </w:rPr>
        <w:t xml:space="preserve"> </w:t>
      </w:r>
    </w:p>
    <w:p w14:paraId="0C5F1905" w14:textId="77777777" w:rsidR="00451956" w:rsidRPr="00451956" w:rsidRDefault="00451956" w:rsidP="00451956">
      <w:pPr>
        <w:numPr>
          <w:ilvl w:val="0"/>
          <w:numId w:val="2"/>
        </w:numPr>
        <w:tabs>
          <w:tab w:val="clear" w:pos="4188"/>
          <w:tab w:val="num" w:pos="360"/>
          <w:tab w:val="left" w:pos="1260"/>
          <w:tab w:val="left" w:pos="1298"/>
        </w:tabs>
        <w:spacing w:line="276" w:lineRule="auto"/>
        <w:ind w:left="0" w:firstLine="720"/>
        <w:jc w:val="both"/>
        <w:rPr>
          <w:bCs/>
          <w:szCs w:val="24"/>
        </w:rPr>
      </w:pPr>
      <w:bookmarkStart w:id="60" w:name="_Ref214528261"/>
      <w:bookmarkEnd w:id="59"/>
      <w:r w:rsidRPr="00451956">
        <w:rPr>
          <w:bCs/>
          <w:szCs w:val="24"/>
        </w:rPr>
        <w:t xml:space="preserve">Kitos finansinės ir investicinės veiklos pajamos IAENF apskaitoje registruojamos pagal jų pagrindimo dokumentą tą ataskaitinį laikotarpį, kurį šios pajamos buvo uždirbtos. Kitos pajamos </w:t>
      </w:r>
      <w:r w:rsidRPr="00451956">
        <w:rPr>
          <w:szCs w:val="24"/>
        </w:rPr>
        <w:t>registruojamos pagal buhalterinę pažymą.</w:t>
      </w:r>
      <w:bookmarkEnd w:id="60"/>
    </w:p>
    <w:p w14:paraId="374F8A9E" w14:textId="77777777" w:rsidR="00451956" w:rsidRPr="00451956" w:rsidRDefault="00451956" w:rsidP="00451956">
      <w:pPr>
        <w:numPr>
          <w:ilvl w:val="0"/>
          <w:numId w:val="2"/>
        </w:numPr>
        <w:tabs>
          <w:tab w:val="clear" w:pos="4188"/>
          <w:tab w:val="num" w:pos="360"/>
          <w:tab w:val="num" w:pos="1260"/>
          <w:tab w:val="left" w:pos="1298"/>
        </w:tabs>
        <w:spacing w:line="276" w:lineRule="auto"/>
        <w:ind w:left="0" w:firstLine="720"/>
        <w:jc w:val="both"/>
        <w:rPr>
          <w:rFonts w:cs="Times New Roman"/>
          <w:bCs/>
          <w:szCs w:val="24"/>
        </w:rPr>
      </w:pPr>
      <w:bookmarkStart w:id="61" w:name="_Ref214778137"/>
      <w:r w:rsidRPr="00451956">
        <w:rPr>
          <w:bCs/>
          <w:szCs w:val="24"/>
        </w:rPr>
        <w:t>Kitos pajamos IAENF apskaitoje registruojamos pagal jų pagrindimo dokumentą tą ataskaitinį laikotarpį, kurį šios pajamos buvo uždirbtos.</w:t>
      </w:r>
      <w:bookmarkEnd w:id="61"/>
    </w:p>
    <w:p w14:paraId="018592EA" w14:textId="77777777" w:rsidR="00451956" w:rsidRPr="00451956" w:rsidRDefault="00451956" w:rsidP="00451956">
      <w:pPr>
        <w:numPr>
          <w:ilvl w:val="0"/>
          <w:numId w:val="2"/>
        </w:numPr>
        <w:tabs>
          <w:tab w:val="clear" w:pos="4188"/>
          <w:tab w:val="num" w:pos="360"/>
          <w:tab w:val="left" w:pos="1260"/>
          <w:tab w:val="left" w:pos="1298"/>
          <w:tab w:val="left" w:pos="1800"/>
        </w:tabs>
        <w:spacing w:line="276" w:lineRule="auto"/>
        <w:ind w:left="0" w:firstLine="720"/>
        <w:jc w:val="both"/>
        <w:rPr>
          <w:bCs/>
          <w:szCs w:val="24"/>
        </w:rPr>
      </w:pPr>
      <w:r w:rsidRPr="00451956">
        <w:rPr>
          <w:rFonts w:cs="Times New Roman"/>
          <w:bCs/>
          <w:szCs w:val="24"/>
        </w:rPr>
        <w:t xml:space="preserve">Visos pajamų sąskaitos turi būti uždaromos </w:t>
      </w:r>
      <w:r w:rsidRPr="00451956">
        <w:rPr>
          <w:szCs w:val="24"/>
        </w:rPr>
        <w:t>f</w:t>
      </w:r>
      <w:r w:rsidRPr="00451956">
        <w:rPr>
          <w:rFonts w:cs="Times New Roman"/>
          <w:bCs/>
          <w:szCs w:val="24"/>
        </w:rPr>
        <w:t>inansinių metų paskutinės dienos data jas debetuojant ir kredituojant sukaupto perviršio ar deficito sąskaitą</w:t>
      </w:r>
      <w:r w:rsidRPr="00451956">
        <w:rPr>
          <w:szCs w:val="24"/>
        </w:rPr>
        <w:t>.</w:t>
      </w:r>
    </w:p>
    <w:p w14:paraId="7C61C15E" w14:textId="77777777" w:rsidR="00451956" w:rsidRPr="00451956" w:rsidRDefault="00451956" w:rsidP="00451956">
      <w:pPr>
        <w:tabs>
          <w:tab w:val="left" w:pos="1298"/>
        </w:tabs>
        <w:spacing w:line="276" w:lineRule="auto"/>
        <w:jc w:val="both"/>
      </w:pPr>
    </w:p>
    <w:p w14:paraId="4D44335A" w14:textId="77777777" w:rsidR="00451956" w:rsidRPr="00451956" w:rsidRDefault="00451956" w:rsidP="00451956">
      <w:pPr>
        <w:keepNext/>
        <w:tabs>
          <w:tab w:val="left" w:pos="1298"/>
        </w:tabs>
        <w:spacing w:after="120" w:line="276" w:lineRule="auto"/>
        <w:jc w:val="center"/>
        <w:outlineLvl w:val="1"/>
        <w:rPr>
          <w:b/>
          <w:bCs/>
          <w:szCs w:val="28"/>
        </w:rPr>
      </w:pPr>
      <w:bookmarkStart w:id="62" w:name="_Toc200345198"/>
      <w:bookmarkStart w:id="63" w:name="_Toc233421911"/>
      <w:r w:rsidRPr="00451956">
        <w:rPr>
          <w:b/>
          <w:bCs/>
          <w:szCs w:val="28"/>
        </w:rPr>
        <w:t>Sąnaudos</w:t>
      </w:r>
      <w:bookmarkEnd w:id="62"/>
      <w:bookmarkEnd w:id="63"/>
    </w:p>
    <w:p w14:paraId="4C72E0FB" w14:textId="77777777" w:rsidR="00451956" w:rsidRPr="00451956" w:rsidRDefault="00451956" w:rsidP="00451956">
      <w:pPr>
        <w:tabs>
          <w:tab w:val="left" w:pos="1298"/>
        </w:tabs>
        <w:spacing w:line="276" w:lineRule="auto"/>
      </w:pPr>
    </w:p>
    <w:p w14:paraId="6E2DDC7D" w14:textId="77777777" w:rsidR="00451956" w:rsidRPr="00451956" w:rsidRDefault="00451956" w:rsidP="00451956">
      <w:pPr>
        <w:numPr>
          <w:ilvl w:val="0"/>
          <w:numId w:val="2"/>
        </w:numPr>
        <w:tabs>
          <w:tab w:val="clear" w:pos="4188"/>
          <w:tab w:val="num" w:pos="360"/>
          <w:tab w:val="num" w:pos="1260"/>
          <w:tab w:val="left" w:pos="1298"/>
        </w:tabs>
        <w:spacing w:line="276" w:lineRule="auto"/>
        <w:ind w:left="0" w:firstLine="720"/>
        <w:jc w:val="both"/>
        <w:rPr>
          <w:rFonts w:cs="Times New Roman"/>
          <w:szCs w:val="24"/>
        </w:rPr>
      </w:pPr>
      <w:r w:rsidRPr="00451956">
        <w:rPr>
          <w:rFonts w:cs="Times New Roman"/>
          <w:szCs w:val="24"/>
        </w:rPr>
        <w:t>Sąnaudų apskaita tvarkoma pagal 11-ojo VSAFAS „Sąnaudos“ reikalavimus. Sąnaudų, susijusių su finansiniu turtu, finansavimo sumomis ir įsipareigojimais apskaitos nuostatos pateiktos jų apskaitą reglamentuojančiuose VSAFAS.</w:t>
      </w:r>
    </w:p>
    <w:p w14:paraId="7070A968" w14:textId="77777777" w:rsidR="00451956" w:rsidRPr="00451956" w:rsidRDefault="00451956" w:rsidP="00451956">
      <w:pPr>
        <w:numPr>
          <w:ilvl w:val="0"/>
          <w:numId w:val="2"/>
        </w:numPr>
        <w:tabs>
          <w:tab w:val="clear" w:pos="4188"/>
          <w:tab w:val="num" w:pos="360"/>
          <w:tab w:val="left" w:pos="1260"/>
          <w:tab w:val="left" w:pos="1298"/>
        </w:tabs>
        <w:spacing w:line="276" w:lineRule="auto"/>
        <w:ind w:left="0" w:firstLine="720"/>
        <w:jc w:val="both"/>
        <w:rPr>
          <w:bCs/>
          <w:szCs w:val="24"/>
        </w:rPr>
      </w:pPr>
      <w:r w:rsidRPr="00451956">
        <w:rPr>
          <w:bCs/>
          <w:szCs w:val="24"/>
        </w:rPr>
        <w:t>IAENF sąnaudas sudaro:</w:t>
      </w:r>
    </w:p>
    <w:p w14:paraId="2D2000AE" w14:textId="77777777" w:rsidR="00451956" w:rsidRPr="00451956" w:rsidRDefault="00451956" w:rsidP="00451956">
      <w:pPr>
        <w:numPr>
          <w:ilvl w:val="1"/>
          <w:numId w:val="2"/>
        </w:numPr>
        <w:tabs>
          <w:tab w:val="left" w:pos="360"/>
          <w:tab w:val="left" w:pos="1298"/>
          <w:tab w:val="left" w:pos="1440"/>
        </w:tabs>
        <w:spacing w:line="276" w:lineRule="auto"/>
        <w:ind w:left="0" w:firstLine="720"/>
        <w:jc w:val="both"/>
        <w:rPr>
          <w:bCs/>
          <w:szCs w:val="24"/>
        </w:rPr>
      </w:pPr>
      <w:r w:rsidRPr="00451956">
        <w:rPr>
          <w:bCs/>
          <w:szCs w:val="24"/>
        </w:rPr>
        <w:t>pagrindinės veiklos sąnaudos:</w:t>
      </w:r>
    </w:p>
    <w:p w14:paraId="3FC6DD77" w14:textId="77777777" w:rsidR="00451956" w:rsidRPr="00451956" w:rsidRDefault="00451956" w:rsidP="00451956">
      <w:pPr>
        <w:numPr>
          <w:ilvl w:val="2"/>
          <w:numId w:val="2"/>
        </w:numPr>
        <w:tabs>
          <w:tab w:val="left" w:pos="1298"/>
        </w:tabs>
        <w:spacing w:line="276" w:lineRule="auto"/>
        <w:ind w:left="0" w:firstLine="720"/>
        <w:jc w:val="both"/>
        <w:rPr>
          <w:szCs w:val="24"/>
        </w:rPr>
      </w:pPr>
      <w:r w:rsidRPr="00451956">
        <w:rPr>
          <w:szCs w:val="24"/>
        </w:rPr>
        <w:t>finansavimo sąnaudos. Pripažįstamos pagal šio apskaitos vadovo nuostatas;</w:t>
      </w:r>
    </w:p>
    <w:p w14:paraId="4B2AF84B" w14:textId="77777777" w:rsidR="00451956" w:rsidRPr="00451956" w:rsidRDefault="00451956" w:rsidP="00451956">
      <w:pPr>
        <w:numPr>
          <w:ilvl w:val="2"/>
          <w:numId w:val="2"/>
        </w:numPr>
        <w:tabs>
          <w:tab w:val="left" w:pos="1298"/>
        </w:tabs>
        <w:spacing w:line="276" w:lineRule="auto"/>
        <w:ind w:left="0" w:firstLine="720"/>
        <w:jc w:val="both"/>
        <w:rPr>
          <w:bCs/>
          <w:szCs w:val="24"/>
        </w:rPr>
      </w:pPr>
      <w:r w:rsidRPr="00451956">
        <w:t xml:space="preserve">nuvertėjimo ir nurašytų sumų sąnaudos; </w:t>
      </w:r>
    </w:p>
    <w:p w14:paraId="4A843BD3" w14:textId="77777777" w:rsidR="00451956" w:rsidRPr="00451956" w:rsidRDefault="00451956" w:rsidP="00451956">
      <w:pPr>
        <w:numPr>
          <w:ilvl w:val="2"/>
          <w:numId w:val="2"/>
        </w:numPr>
        <w:tabs>
          <w:tab w:val="left" w:pos="1298"/>
        </w:tabs>
        <w:spacing w:line="276" w:lineRule="auto"/>
        <w:ind w:left="0" w:firstLine="720"/>
        <w:jc w:val="both"/>
        <w:rPr>
          <w:bCs/>
          <w:szCs w:val="24"/>
        </w:rPr>
      </w:pPr>
      <w:r w:rsidRPr="00451956">
        <w:t>kitos pagrindinės veiklos sąnaudos (pvz., banko aptarnavimo mokesčiai, kitos IAENF administravimo sąnaudos);</w:t>
      </w:r>
    </w:p>
    <w:p w14:paraId="4DF7DAAE" w14:textId="77777777" w:rsidR="00451956" w:rsidRPr="00451956" w:rsidRDefault="00451956" w:rsidP="00451956">
      <w:pPr>
        <w:numPr>
          <w:ilvl w:val="1"/>
          <w:numId w:val="2"/>
        </w:numPr>
        <w:tabs>
          <w:tab w:val="left" w:pos="360"/>
          <w:tab w:val="left" w:pos="1298"/>
          <w:tab w:val="left" w:pos="1440"/>
        </w:tabs>
        <w:spacing w:line="276" w:lineRule="auto"/>
        <w:ind w:left="0" w:firstLine="720"/>
        <w:jc w:val="both"/>
        <w:rPr>
          <w:bCs/>
          <w:szCs w:val="24"/>
        </w:rPr>
      </w:pPr>
      <w:r w:rsidRPr="00451956">
        <w:rPr>
          <w:bCs/>
          <w:szCs w:val="24"/>
        </w:rPr>
        <w:t>finansinės ir investicinės veiklos sąnaudos:</w:t>
      </w:r>
    </w:p>
    <w:p w14:paraId="388D1490" w14:textId="77777777" w:rsidR="00451956" w:rsidRPr="00451956" w:rsidRDefault="00451956" w:rsidP="00451956">
      <w:pPr>
        <w:numPr>
          <w:ilvl w:val="2"/>
          <w:numId w:val="2"/>
        </w:numPr>
        <w:tabs>
          <w:tab w:val="left" w:pos="1298"/>
        </w:tabs>
        <w:spacing w:line="276" w:lineRule="auto"/>
        <w:ind w:left="0" w:firstLine="720"/>
        <w:jc w:val="both"/>
        <w:rPr>
          <w:szCs w:val="24"/>
        </w:rPr>
      </w:pPr>
      <w:r w:rsidRPr="00451956">
        <w:rPr>
          <w:szCs w:val="24"/>
        </w:rPr>
        <w:t>palūkanų sąnaudos;</w:t>
      </w:r>
    </w:p>
    <w:p w14:paraId="175A9981" w14:textId="77777777" w:rsidR="00451956" w:rsidRPr="00451956" w:rsidRDefault="00451956" w:rsidP="00451956">
      <w:pPr>
        <w:numPr>
          <w:ilvl w:val="2"/>
          <w:numId w:val="2"/>
        </w:numPr>
        <w:tabs>
          <w:tab w:val="left" w:pos="1298"/>
        </w:tabs>
        <w:spacing w:line="276" w:lineRule="auto"/>
        <w:ind w:left="0" w:firstLine="720"/>
        <w:jc w:val="both"/>
      </w:pPr>
      <w:r w:rsidRPr="00451956">
        <w:t xml:space="preserve">sąnaudos dėl neigiamos valiutos kurso pasikeitimo įtakos; </w:t>
      </w:r>
    </w:p>
    <w:p w14:paraId="09BF9E64" w14:textId="77777777" w:rsidR="00451956" w:rsidRPr="00451956" w:rsidRDefault="00451956" w:rsidP="00451956">
      <w:pPr>
        <w:numPr>
          <w:ilvl w:val="2"/>
          <w:numId w:val="2"/>
        </w:numPr>
        <w:tabs>
          <w:tab w:val="left" w:pos="1298"/>
        </w:tabs>
        <w:spacing w:line="276" w:lineRule="auto"/>
        <w:ind w:left="0" w:firstLine="720"/>
        <w:jc w:val="both"/>
      </w:pPr>
      <w:r w:rsidRPr="00451956">
        <w:t xml:space="preserve">kitos finansinės ir investicinės veiklos sąnaudos </w:t>
      </w:r>
      <w:r w:rsidRPr="00451956">
        <w:rPr>
          <w:szCs w:val="24"/>
        </w:rPr>
        <w:t>.</w:t>
      </w:r>
    </w:p>
    <w:p w14:paraId="172C2278" w14:textId="77777777" w:rsidR="00451956" w:rsidRPr="00451956" w:rsidRDefault="00451956" w:rsidP="00451956">
      <w:pPr>
        <w:numPr>
          <w:ilvl w:val="0"/>
          <w:numId w:val="2"/>
        </w:numPr>
        <w:tabs>
          <w:tab w:val="clear" w:pos="4188"/>
          <w:tab w:val="num" w:pos="360"/>
          <w:tab w:val="num" w:pos="1260"/>
          <w:tab w:val="left" w:pos="1298"/>
        </w:tabs>
        <w:spacing w:line="276" w:lineRule="auto"/>
        <w:ind w:left="0" w:firstLine="720"/>
        <w:jc w:val="both"/>
        <w:rPr>
          <w:rFonts w:cs="Times New Roman"/>
          <w:szCs w:val="24"/>
        </w:rPr>
      </w:pPr>
      <w:bookmarkStart w:id="64" w:name="_Ref214778920"/>
      <w:r w:rsidRPr="00451956">
        <w:rPr>
          <w:rFonts w:cs="Times New Roman"/>
          <w:szCs w:val="24"/>
        </w:rPr>
        <w:t xml:space="preserve">Vertinant sąnaudas, </w:t>
      </w:r>
      <w:r w:rsidRPr="00451956">
        <w:rPr>
          <w:rFonts w:cs="Times New Roman"/>
          <w:bCs/>
          <w:szCs w:val="24"/>
        </w:rPr>
        <w:t xml:space="preserve">jeigu numatytas atsiskaitymo laikotarpis yra trumpesnis nei 12 mėnesių, skaičiuojant nuo einamojo ataskaitinio laikotarpio paskutinės dienos, sąnaudų vertė atitinka sumokėtą arba mokėtiną pinigų arba jų ekvivalentų sumą. </w:t>
      </w:r>
    </w:p>
    <w:bookmarkEnd w:id="64"/>
    <w:p w14:paraId="13331BA8" w14:textId="77777777" w:rsidR="00451956" w:rsidRPr="00451956" w:rsidRDefault="00451956" w:rsidP="00451956">
      <w:pPr>
        <w:numPr>
          <w:ilvl w:val="0"/>
          <w:numId w:val="2"/>
        </w:numPr>
        <w:tabs>
          <w:tab w:val="clear" w:pos="4188"/>
          <w:tab w:val="num" w:pos="360"/>
          <w:tab w:val="num" w:pos="1260"/>
          <w:tab w:val="left" w:pos="1298"/>
        </w:tabs>
        <w:spacing w:line="276" w:lineRule="auto"/>
        <w:ind w:left="0" w:firstLine="720"/>
        <w:jc w:val="both"/>
      </w:pPr>
      <w:r w:rsidRPr="00451956">
        <w:t>Finansavimo sąnaudų apskaitos principai nustatyti šio apskaitos vadovo „Finansavimo sumos“ skyriuje.</w:t>
      </w:r>
    </w:p>
    <w:p w14:paraId="2AB8A924" w14:textId="77777777" w:rsidR="00451956" w:rsidRPr="00451956" w:rsidRDefault="00451956" w:rsidP="00451956">
      <w:pPr>
        <w:numPr>
          <w:ilvl w:val="0"/>
          <w:numId w:val="2"/>
        </w:numPr>
        <w:tabs>
          <w:tab w:val="clear" w:pos="4188"/>
          <w:tab w:val="num" w:pos="360"/>
          <w:tab w:val="num" w:pos="1260"/>
          <w:tab w:val="left" w:pos="1298"/>
        </w:tabs>
        <w:spacing w:line="276" w:lineRule="auto"/>
        <w:ind w:left="0" w:firstLine="720"/>
        <w:jc w:val="both"/>
      </w:pPr>
      <w:r w:rsidRPr="00451956">
        <w:rPr>
          <w:rFonts w:cs="Times New Roman"/>
          <w:szCs w:val="24"/>
        </w:rPr>
        <w:lastRenderedPageBreak/>
        <w:t>Prie IAENF</w:t>
      </w:r>
      <w:r w:rsidRPr="00451956">
        <w:t xml:space="preserve"> pagrindinės veiklos sąnaudų priskiriamos nuvertėjimo ir nurašytų sumų sąnaudos, kitų paslaugų sąnaudos (pvz., audito sąnaudos, ekspertų paslaugų sąnaudos ir kt.) ir kitos pagrindinės veiklos sąnaudos (mokestis už VP saugojimą, valiutos keitimo mokestis ir kt.):</w:t>
      </w:r>
    </w:p>
    <w:p w14:paraId="093D8AE5" w14:textId="77777777" w:rsidR="00451956" w:rsidRPr="00451956" w:rsidRDefault="00451956" w:rsidP="00451956">
      <w:pPr>
        <w:numPr>
          <w:ilvl w:val="1"/>
          <w:numId w:val="2"/>
        </w:numPr>
        <w:tabs>
          <w:tab w:val="left" w:pos="1298"/>
          <w:tab w:val="left" w:pos="1701"/>
          <w:tab w:val="left" w:pos="1843"/>
          <w:tab w:val="left" w:pos="2268"/>
        </w:tabs>
        <w:spacing w:line="276" w:lineRule="auto"/>
        <w:ind w:left="0" w:firstLine="720"/>
        <w:jc w:val="both"/>
      </w:pPr>
      <w:bookmarkStart w:id="65" w:name="_Ref229814621"/>
      <w:r w:rsidRPr="00451956">
        <w:t>nuvertėjimo ir nurašytų sumų sąnaudos yra registruojamos pagal atitinkamas buhalterines pažymas. Šių sąnaudų apskaitos principai nurodyti šio apskaitos vadovo „Turto nuvertėjimo“ skyriuje;</w:t>
      </w:r>
      <w:bookmarkEnd w:id="65"/>
    </w:p>
    <w:p w14:paraId="19062B3E" w14:textId="4E39580B" w:rsidR="00451956" w:rsidRPr="00451956" w:rsidRDefault="00451956" w:rsidP="00451956">
      <w:pPr>
        <w:numPr>
          <w:ilvl w:val="1"/>
          <w:numId w:val="2"/>
        </w:numPr>
        <w:tabs>
          <w:tab w:val="left" w:pos="1298"/>
          <w:tab w:val="left" w:pos="1418"/>
        </w:tabs>
        <w:spacing w:line="276" w:lineRule="auto"/>
        <w:ind w:left="0" w:firstLine="720"/>
        <w:jc w:val="both"/>
      </w:pPr>
      <w:bookmarkStart w:id="66" w:name="_Ref229814678"/>
      <w:r w:rsidRPr="00451956">
        <w:t>kitų paslaugų (</w:t>
      </w:r>
      <w:r w:rsidR="009D27B8">
        <w:t>taip pat</w:t>
      </w:r>
      <w:r w:rsidRPr="00451956">
        <w:t xml:space="preserve"> ir IAENF finansinių ataskaitų audito) ir kitos pagrindinės veiklos sąnaudos registruojamos pagal šių sąnaudų pagrindimo dokumentą tą ataskaitinį laikotarpį, kurį šios sąnaudos buvo patirtos</w:t>
      </w:r>
      <w:r w:rsidRPr="00451956">
        <w:rPr>
          <w:szCs w:val="24"/>
        </w:rPr>
        <w:t>, o jei šios sąnaudos buvo pripažintos dėl atidėjinių suformavimo, vadovaujamasi nuostatomis, pateiktomis šio apskaitos vadovo „Atidėjinių“ skyriuje</w:t>
      </w:r>
      <w:r w:rsidRPr="00451956">
        <w:t>.</w:t>
      </w:r>
      <w:bookmarkEnd w:id="66"/>
    </w:p>
    <w:p w14:paraId="1CB597E8" w14:textId="77777777" w:rsidR="00451956" w:rsidRPr="00451956" w:rsidRDefault="00451956" w:rsidP="00451956">
      <w:pPr>
        <w:numPr>
          <w:ilvl w:val="0"/>
          <w:numId w:val="2"/>
        </w:numPr>
        <w:tabs>
          <w:tab w:val="clear" w:pos="4188"/>
          <w:tab w:val="num" w:pos="360"/>
          <w:tab w:val="num" w:pos="1260"/>
          <w:tab w:val="left" w:pos="1298"/>
        </w:tabs>
        <w:spacing w:line="276" w:lineRule="auto"/>
        <w:ind w:left="0" w:firstLine="720"/>
        <w:jc w:val="both"/>
        <w:rPr>
          <w:rFonts w:cs="Times New Roman"/>
          <w:bCs/>
          <w:szCs w:val="24"/>
        </w:rPr>
      </w:pPr>
      <w:r w:rsidRPr="00451956">
        <w:rPr>
          <w:rFonts w:cs="Times New Roman"/>
          <w:szCs w:val="24"/>
        </w:rPr>
        <w:t xml:space="preserve">IAENF </w:t>
      </w:r>
      <w:r w:rsidRPr="00451956">
        <w:rPr>
          <w:rFonts w:cs="Times New Roman"/>
          <w:bCs/>
          <w:szCs w:val="24"/>
        </w:rPr>
        <w:t>finansinės ir investicinės veiklos sąnaudas sudaro palūkanų, baudų ir delspinigių sąnaudos, sąnaudos dėl neigiamos valiutos kurso pasikeitimo įtakos, vertybinių popierių perkainojimo nuostoliai bei finansinės ir investicinės veiklos kitos sąnaudos.</w:t>
      </w:r>
    </w:p>
    <w:p w14:paraId="7D916376" w14:textId="77777777" w:rsidR="00451956" w:rsidRPr="00451956" w:rsidRDefault="00451956" w:rsidP="00451956">
      <w:pPr>
        <w:numPr>
          <w:ilvl w:val="0"/>
          <w:numId w:val="2"/>
        </w:numPr>
        <w:tabs>
          <w:tab w:val="clear" w:pos="4188"/>
          <w:tab w:val="num" w:pos="360"/>
          <w:tab w:val="num" w:pos="1260"/>
          <w:tab w:val="left" w:pos="1298"/>
        </w:tabs>
        <w:spacing w:line="276" w:lineRule="auto"/>
        <w:ind w:left="0" w:firstLine="720"/>
        <w:jc w:val="both"/>
        <w:rPr>
          <w:rFonts w:cs="Times New Roman"/>
          <w:bCs/>
          <w:szCs w:val="24"/>
        </w:rPr>
      </w:pPr>
      <w:bookmarkStart w:id="67" w:name="_Ref214526999"/>
      <w:r w:rsidRPr="00451956">
        <w:rPr>
          <w:bCs/>
          <w:szCs w:val="24"/>
        </w:rPr>
        <w:t>Palūkanų sąnaudos registruojamos:</w:t>
      </w:r>
      <w:bookmarkEnd w:id="67"/>
    </w:p>
    <w:p w14:paraId="4DA1B14F" w14:textId="77777777" w:rsidR="00451956" w:rsidRPr="00451956" w:rsidRDefault="00451956" w:rsidP="00451956">
      <w:pPr>
        <w:numPr>
          <w:ilvl w:val="1"/>
          <w:numId w:val="2"/>
        </w:numPr>
        <w:tabs>
          <w:tab w:val="left" w:pos="1298"/>
          <w:tab w:val="num" w:pos="1440"/>
        </w:tabs>
        <w:spacing w:line="276" w:lineRule="auto"/>
        <w:ind w:left="0" w:firstLine="720"/>
        <w:jc w:val="both"/>
        <w:rPr>
          <w:bCs/>
          <w:szCs w:val="24"/>
        </w:rPr>
      </w:pPr>
      <w:r w:rsidRPr="00451956">
        <w:rPr>
          <w:bCs/>
          <w:szCs w:val="24"/>
        </w:rPr>
        <w:t>pagal jų pagrindimo dokumentus, bet ne rečiau kaip kiekvieną kartą sudarant finansines ataskaitas. Jeigu prievolė sumokėti dalį arba visas ataskaitinio laikotarpio palūkanas atsiras tik kitą ataskaitinį laikotarpį – pagal ataskaitinio laikotarpio pabaigoje IAENF apskaitos tvarkytojo surašomą buhalterinę pažymą, taip pat registruojant sukauptas palūkanų sąnaudas;</w:t>
      </w:r>
    </w:p>
    <w:p w14:paraId="4F1BFEE3" w14:textId="77777777" w:rsidR="00451956" w:rsidRPr="00451956" w:rsidRDefault="00451956" w:rsidP="00451956">
      <w:pPr>
        <w:numPr>
          <w:ilvl w:val="1"/>
          <w:numId w:val="2"/>
        </w:numPr>
        <w:tabs>
          <w:tab w:val="left" w:pos="1298"/>
          <w:tab w:val="num" w:pos="1440"/>
        </w:tabs>
        <w:spacing w:line="276" w:lineRule="auto"/>
        <w:ind w:left="0" w:firstLine="720"/>
        <w:jc w:val="both"/>
        <w:rPr>
          <w:bCs/>
          <w:szCs w:val="24"/>
        </w:rPr>
      </w:pPr>
      <w:r w:rsidRPr="00451956">
        <w:rPr>
          <w:bCs/>
          <w:szCs w:val="24"/>
        </w:rPr>
        <w:t>atsirandančios diskontuojant finansinius įsipareigojimus – pagal buhalterinę pažymą ne rečiau negu kiekvieno ataskaitinio laikotarpio pabaigoje.</w:t>
      </w:r>
    </w:p>
    <w:p w14:paraId="000E267B" w14:textId="77777777" w:rsidR="00451956" w:rsidRPr="00451956" w:rsidRDefault="00451956" w:rsidP="00451956">
      <w:pPr>
        <w:numPr>
          <w:ilvl w:val="0"/>
          <w:numId w:val="2"/>
        </w:numPr>
        <w:tabs>
          <w:tab w:val="clear" w:pos="4188"/>
          <w:tab w:val="num" w:pos="360"/>
          <w:tab w:val="num" w:pos="1260"/>
          <w:tab w:val="left" w:pos="1298"/>
        </w:tabs>
        <w:spacing w:line="276" w:lineRule="auto"/>
        <w:ind w:left="0" w:firstLine="720"/>
        <w:jc w:val="both"/>
        <w:rPr>
          <w:rFonts w:cs="Times New Roman"/>
          <w:bCs/>
          <w:szCs w:val="24"/>
        </w:rPr>
      </w:pPr>
      <w:bookmarkStart w:id="68" w:name="_Ref214702362"/>
      <w:r w:rsidRPr="00451956">
        <w:rPr>
          <w:rFonts w:cs="Times New Roman"/>
          <w:szCs w:val="24"/>
        </w:rPr>
        <w:t>IAENF apskaitoje</w:t>
      </w:r>
      <w:r w:rsidRPr="00451956">
        <w:rPr>
          <w:rFonts w:cs="Times New Roman"/>
          <w:bCs/>
          <w:szCs w:val="24"/>
        </w:rPr>
        <w:t xml:space="preserve"> baudų ir delspinigių sąnaudos pripažįstamos tos dienos data, kurią atsiranda prievolė sumokėti šias sumas. Baudų ir delspinigių sąnaudos registruojamos pagal baudų ar delspinigių pažymą.</w:t>
      </w:r>
    </w:p>
    <w:p w14:paraId="39E6F242" w14:textId="77777777" w:rsidR="00451956" w:rsidRPr="00451956" w:rsidRDefault="00451956" w:rsidP="00451956">
      <w:pPr>
        <w:numPr>
          <w:ilvl w:val="0"/>
          <w:numId w:val="2"/>
        </w:numPr>
        <w:tabs>
          <w:tab w:val="clear" w:pos="4188"/>
          <w:tab w:val="num" w:pos="360"/>
          <w:tab w:val="left" w:pos="1260"/>
          <w:tab w:val="left" w:pos="1298"/>
          <w:tab w:val="left" w:pos="1800"/>
        </w:tabs>
        <w:spacing w:line="276" w:lineRule="auto"/>
        <w:ind w:left="0" w:firstLine="720"/>
        <w:jc w:val="both"/>
        <w:rPr>
          <w:bCs/>
          <w:szCs w:val="24"/>
        </w:rPr>
      </w:pPr>
      <w:bookmarkStart w:id="69" w:name="_Ref228247469"/>
      <w:r w:rsidRPr="00451956">
        <w:rPr>
          <w:szCs w:val="24"/>
        </w:rPr>
        <w:t>Neigiamos valiutų kursų pasikeitimo įtakos registravimo tvarka nurodyta šio apskaitos vadovo „Sandorių užsienio valiuta“ skyriuje.</w:t>
      </w:r>
      <w:bookmarkEnd w:id="69"/>
      <w:r w:rsidRPr="00451956">
        <w:rPr>
          <w:szCs w:val="24"/>
        </w:rPr>
        <w:t xml:space="preserve"> </w:t>
      </w:r>
    </w:p>
    <w:p w14:paraId="6BE8A2F2" w14:textId="77777777" w:rsidR="00451956" w:rsidRPr="00451956" w:rsidRDefault="00451956" w:rsidP="00451956">
      <w:pPr>
        <w:numPr>
          <w:ilvl w:val="0"/>
          <w:numId w:val="2"/>
        </w:numPr>
        <w:tabs>
          <w:tab w:val="clear" w:pos="4188"/>
          <w:tab w:val="num" w:pos="360"/>
          <w:tab w:val="left" w:pos="1260"/>
          <w:tab w:val="left" w:pos="1298"/>
          <w:tab w:val="left" w:pos="1800"/>
        </w:tabs>
        <w:spacing w:line="276" w:lineRule="auto"/>
        <w:ind w:left="0" w:firstLine="720"/>
        <w:jc w:val="both"/>
        <w:rPr>
          <w:bCs/>
          <w:szCs w:val="24"/>
        </w:rPr>
      </w:pPr>
      <w:r w:rsidRPr="00451956">
        <w:rPr>
          <w:bCs/>
          <w:szCs w:val="24"/>
        </w:rPr>
        <w:t xml:space="preserve">Finansinio turto perleidimo nuostolis pripažįstamas tuomet, jeigu ilgalaikis finansinis turtas yra parduodamas už mažesnę kainą negu jo balansinė vertė. </w:t>
      </w:r>
    </w:p>
    <w:p w14:paraId="56C004A4" w14:textId="77777777" w:rsidR="00451956" w:rsidRPr="00451956" w:rsidRDefault="00451956" w:rsidP="00451956">
      <w:pPr>
        <w:numPr>
          <w:ilvl w:val="0"/>
          <w:numId w:val="2"/>
        </w:numPr>
        <w:tabs>
          <w:tab w:val="clear" w:pos="4188"/>
          <w:tab w:val="num" w:pos="360"/>
          <w:tab w:val="left" w:pos="1260"/>
          <w:tab w:val="left" w:pos="1298"/>
          <w:tab w:val="left" w:pos="1800"/>
        </w:tabs>
        <w:spacing w:line="276" w:lineRule="auto"/>
        <w:ind w:left="0" w:firstLine="720"/>
        <w:jc w:val="both"/>
        <w:rPr>
          <w:bCs/>
          <w:szCs w:val="24"/>
        </w:rPr>
      </w:pPr>
      <w:bookmarkStart w:id="70" w:name="_Ref214703608"/>
      <w:bookmarkEnd w:id="68"/>
      <w:r w:rsidRPr="00451956">
        <w:rPr>
          <w:rFonts w:cs="Times New Roman"/>
          <w:bCs/>
          <w:szCs w:val="24"/>
        </w:rPr>
        <w:t xml:space="preserve">Finansinės ir investicinės veiklos kitos sąnaudos (pvz., nuostoliai iš gautinų sumų vertės perskaičiavimo amortizuota savikaina, finansinio turto nuvertėjimo nuostoliai) registruojamos pagal buhalterinę pažymą ar kitą šių sąnaudų patvirtinimo dokumentą </w:t>
      </w:r>
      <w:r w:rsidRPr="00451956">
        <w:rPr>
          <w:bCs/>
          <w:szCs w:val="24"/>
        </w:rPr>
        <w:t>ne rečiau kaip kartą ataskaitinio laikotarpio pabaigoje</w:t>
      </w:r>
      <w:r w:rsidRPr="00451956">
        <w:rPr>
          <w:rFonts w:cs="Times New Roman"/>
          <w:bCs/>
          <w:szCs w:val="24"/>
        </w:rPr>
        <w:t>.</w:t>
      </w:r>
    </w:p>
    <w:p w14:paraId="1F7EE29E" w14:textId="77777777" w:rsidR="00451956" w:rsidRPr="00451956" w:rsidRDefault="00451956" w:rsidP="00451956">
      <w:pPr>
        <w:numPr>
          <w:ilvl w:val="0"/>
          <w:numId w:val="2"/>
        </w:numPr>
        <w:tabs>
          <w:tab w:val="clear" w:pos="4188"/>
          <w:tab w:val="num" w:pos="360"/>
          <w:tab w:val="left" w:pos="1260"/>
          <w:tab w:val="left" w:pos="1298"/>
          <w:tab w:val="left" w:pos="1800"/>
        </w:tabs>
        <w:spacing w:line="276" w:lineRule="auto"/>
        <w:ind w:left="0" w:firstLine="720"/>
        <w:jc w:val="both"/>
        <w:rPr>
          <w:bCs/>
          <w:szCs w:val="24"/>
        </w:rPr>
      </w:pPr>
      <w:r w:rsidRPr="00451956">
        <w:rPr>
          <w:bCs/>
          <w:szCs w:val="24"/>
        </w:rPr>
        <w:t xml:space="preserve">Visos sąnaudos, padarytos per ataskaitinį laikotarpį, registruojamos pagal jų pagrindimo dokumentus. </w:t>
      </w:r>
    </w:p>
    <w:bookmarkEnd w:id="70"/>
    <w:p w14:paraId="61C89579" w14:textId="77777777" w:rsidR="00451956" w:rsidRPr="00451956" w:rsidRDefault="00451956" w:rsidP="00451956">
      <w:pPr>
        <w:numPr>
          <w:ilvl w:val="0"/>
          <w:numId w:val="2"/>
        </w:numPr>
        <w:tabs>
          <w:tab w:val="clear" w:pos="4188"/>
          <w:tab w:val="num" w:pos="360"/>
          <w:tab w:val="left" w:pos="1260"/>
          <w:tab w:val="left" w:pos="1298"/>
          <w:tab w:val="left" w:pos="1800"/>
        </w:tabs>
        <w:spacing w:line="276" w:lineRule="auto"/>
        <w:ind w:left="0" w:firstLine="720"/>
        <w:jc w:val="both"/>
        <w:rPr>
          <w:bCs/>
          <w:szCs w:val="24"/>
        </w:rPr>
      </w:pPr>
      <w:r w:rsidRPr="00451956">
        <w:rPr>
          <w:rFonts w:cs="Times New Roman"/>
          <w:bCs/>
          <w:szCs w:val="24"/>
        </w:rPr>
        <w:t xml:space="preserve">Visos sąnaudų sąskaitos turi būti uždaromos </w:t>
      </w:r>
      <w:r w:rsidRPr="00451956">
        <w:rPr>
          <w:szCs w:val="24"/>
        </w:rPr>
        <w:t>f</w:t>
      </w:r>
      <w:r w:rsidRPr="00451956">
        <w:rPr>
          <w:rFonts w:cs="Times New Roman"/>
          <w:bCs/>
          <w:szCs w:val="24"/>
        </w:rPr>
        <w:t>inansinių metų paskutinės dienos data jas kredituojant ir debetuojant sukaupto perviršio ar deficito sąskaitą</w:t>
      </w:r>
      <w:r w:rsidRPr="00451956">
        <w:rPr>
          <w:szCs w:val="24"/>
        </w:rPr>
        <w:t>.</w:t>
      </w:r>
    </w:p>
    <w:p w14:paraId="671B2722" w14:textId="77777777" w:rsidR="00451956" w:rsidRPr="00451956" w:rsidRDefault="00451956" w:rsidP="00451956">
      <w:pPr>
        <w:tabs>
          <w:tab w:val="left" w:pos="1298"/>
        </w:tabs>
        <w:spacing w:line="276" w:lineRule="auto"/>
      </w:pPr>
    </w:p>
    <w:p w14:paraId="17B93DF0" w14:textId="77777777" w:rsidR="00451956" w:rsidRPr="00451956" w:rsidRDefault="00451956" w:rsidP="00451956">
      <w:pPr>
        <w:keepNext/>
        <w:tabs>
          <w:tab w:val="left" w:pos="1298"/>
        </w:tabs>
        <w:spacing w:after="120" w:line="276" w:lineRule="auto"/>
        <w:jc w:val="center"/>
        <w:outlineLvl w:val="1"/>
        <w:rPr>
          <w:b/>
          <w:bCs/>
          <w:szCs w:val="24"/>
        </w:rPr>
      </w:pPr>
      <w:bookmarkStart w:id="71" w:name="_Toc200345199"/>
      <w:bookmarkStart w:id="72" w:name="_Toc233421912"/>
      <w:r w:rsidRPr="00451956">
        <w:rPr>
          <w:b/>
          <w:bCs/>
          <w:szCs w:val="24"/>
        </w:rPr>
        <w:t>Sandoriai užsienio valiuta</w:t>
      </w:r>
      <w:bookmarkEnd w:id="71"/>
      <w:bookmarkEnd w:id="72"/>
    </w:p>
    <w:p w14:paraId="3889D9F5" w14:textId="77777777" w:rsidR="00451956" w:rsidRPr="00451956" w:rsidRDefault="00451956" w:rsidP="00451956">
      <w:pPr>
        <w:tabs>
          <w:tab w:val="left" w:pos="1298"/>
        </w:tabs>
        <w:spacing w:line="276" w:lineRule="auto"/>
      </w:pPr>
    </w:p>
    <w:p w14:paraId="1B7B6792" w14:textId="77777777" w:rsidR="00451956" w:rsidRPr="00451956" w:rsidRDefault="00451956" w:rsidP="00451956">
      <w:pPr>
        <w:numPr>
          <w:ilvl w:val="0"/>
          <w:numId w:val="2"/>
        </w:numPr>
        <w:tabs>
          <w:tab w:val="clear" w:pos="4188"/>
          <w:tab w:val="num" w:pos="360"/>
          <w:tab w:val="num" w:pos="1260"/>
          <w:tab w:val="left" w:pos="1298"/>
        </w:tabs>
        <w:spacing w:line="276" w:lineRule="auto"/>
        <w:ind w:left="0" w:firstLine="720"/>
        <w:jc w:val="both"/>
        <w:rPr>
          <w:rFonts w:cs="Times New Roman"/>
          <w:bCs/>
          <w:szCs w:val="24"/>
        </w:rPr>
      </w:pPr>
      <w:r w:rsidRPr="00451956">
        <w:rPr>
          <w:rFonts w:cs="Times New Roman"/>
          <w:bCs/>
          <w:szCs w:val="24"/>
        </w:rPr>
        <w:t>Sandorių užsienio valiuta apskaitos reikalavimai nustatyti 21-ajame VSAFAS „Sandoriai užsienio valiuta“.</w:t>
      </w:r>
    </w:p>
    <w:p w14:paraId="6840FE2A" w14:textId="77777777" w:rsidR="00451956" w:rsidRPr="00451956" w:rsidRDefault="00451956" w:rsidP="00451956">
      <w:pPr>
        <w:numPr>
          <w:ilvl w:val="0"/>
          <w:numId w:val="2"/>
        </w:numPr>
        <w:tabs>
          <w:tab w:val="clear" w:pos="4188"/>
          <w:tab w:val="num" w:pos="360"/>
          <w:tab w:val="num" w:pos="1260"/>
          <w:tab w:val="left" w:pos="1298"/>
        </w:tabs>
        <w:spacing w:line="276" w:lineRule="auto"/>
        <w:ind w:left="0" w:firstLine="720"/>
        <w:jc w:val="both"/>
        <w:rPr>
          <w:rFonts w:cs="Times New Roman"/>
          <w:szCs w:val="24"/>
        </w:rPr>
      </w:pPr>
      <w:r w:rsidRPr="00451956">
        <w:rPr>
          <w:rFonts w:cs="Times New Roman"/>
          <w:szCs w:val="24"/>
        </w:rPr>
        <w:t xml:space="preserve">Sandoriai užsienio valiuta pirminio pripažinimo metu registruojami apskaitoje pagal sandorio dieną galiojusį užsienio valiutos kursą. </w:t>
      </w:r>
      <w:r w:rsidRPr="00451956">
        <w:t>Valiutinių straipsnių likučiai perkainojami pagal ataskaitinio laikotarpio pabaigos Lietuvos banko skelbiamą Lietuvos Respublikos piniginio vieneto ir užsienio valiutos kursą.</w:t>
      </w:r>
    </w:p>
    <w:p w14:paraId="20637EF5" w14:textId="77777777" w:rsidR="00451956" w:rsidRPr="00451956" w:rsidRDefault="00451956" w:rsidP="00451956">
      <w:pPr>
        <w:numPr>
          <w:ilvl w:val="0"/>
          <w:numId w:val="2"/>
        </w:numPr>
        <w:tabs>
          <w:tab w:val="clear" w:pos="4188"/>
          <w:tab w:val="num" w:pos="360"/>
          <w:tab w:val="num" w:pos="1260"/>
          <w:tab w:val="left" w:pos="1298"/>
        </w:tabs>
        <w:spacing w:line="276" w:lineRule="auto"/>
        <w:ind w:left="0" w:firstLine="720"/>
        <w:jc w:val="both"/>
        <w:rPr>
          <w:rFonts w:cs="Times New Roman"/>
          <w:szCs w:val="24"/>
        </w:rPr>
      </w:pPr>
      <w:r w:rsidRPr="00451956">
        <w:lastRenderedPageBreak/>
        <w:t>Pelnas ir nuostoliai iš sandorių užsienio valiuta ir iš užsienio valiuta išreikšto turto ir įsipareigojimų likučių perkainojimo dieną yra registruojami finansinės ir investicinės veiklos pajamų ar sąnaudų sąskaitose.</w:t>
      </w:r>
    </w:p>
    <w:p w14:paraId="240A2D7C" w14:textId="77777777" w:rsidR="00451956" w:rsidRPr="00451956" w:rsidRDefault="00451956" w:rsidP="00451956">
      <w:pPr>
        <w:numPr>
          <w:ilvl w:val="0"/>
          <w:numId w:val="2"/>
        </w:numPr>
        <w:tabs>
          <w:tab w:val="clear" w:pos="4188"/>
          <w:tab w:val="num" w:pos="360"/>
          <w:tab w:val="num" w:pos="1260"/>
          <w:tab w:val="left" w:pos="1298"/>
        </w:tabs>
        <w:spacing w:line="276" w:lineRule="auto"/>
        <w:ind w:left="0" w:firstLine="720"/>
        <w:jc w:val="both"/>
        <w:rPr>
          <w:szCs w:val="24"/>
        </w:rPr>
      </w:pPr>
      <w:r w:rsidRPr="00451956">
        <w:rPr>
          <w:szCs w:val="24"/>
        </w:rPr>
        <w:t>Jei apskaičiavus valiutų kursų pasikeitimo įtaką gaunamas teigiamas rezultatas, tuomet registruojama teigiama valiutų kursų pasikeitimo įtaka, jeigu gaunamas neigiamas rezultatas – neigiama valiutų kursų pasikeitimo įtaka.</w:t>
      </w:r>
    </w:p>
    <w:p w14:paraId="357FB588" w14:textId="77777777" w:rsidR="00451956" w:rsidRPr="00451956" w:rsidRDefault="00451956" w:rsidP="00451956">
      <w:pPr>
        <w:numPr>
          <w:ilvl w:val="0"/>
          <w:numId w:val="2"/>
        </w:numPr>
        <w:tabs>
          <w:tab w:val="clear" w:pos="4188"/>
          <w:tab w:val="num" w:pos="360"/>
          <w:tab w:val="left" w:pos="1260"/>
          <w:tab w:val="left" w:pos="1298"/>
        </w:tabs>
        <w:spacing w:line="276" w:lineRule="auto"/>
        <w:ind w:left="0" w:firstLine="720"/>
        <w:jc w:val="both"/>
        <w:rPr>
          <w:bCs/>
          <w:szCs w:val="24"/>
        </w:rPr>
      </w:pPr>
      <w:r w:rsidRPr="00451956">
        <w:rPr>
          <w:bCs/>
          <w:szCs w:val="24"/>
        </w:rPr>
        <w:t>Pajamos dėl teigiamos valiutų kursų pasikeitimo įtakos yra registruojamos:</w:t>
      </w:r>
    </w:p>
    <w:p w14:paraId="7F63E0D1" w14:textId="77777777" w:rsidR="00451956" w:rsidRPr="00451956" w:rsidRDefault="00451956" w:rsidP="00451956">
      <w:pPr>
        <w:numPr>
          <w:ilvl w:val="1"/>
          <w:numId w:val="2"/>
        </w:numPr>
        <w:tabs>
          <w:tab w:val="left" w:pos="1260"/>
          <w:tab w:val="left" w:pos="1298"/>
          <w:tab w:val="left" w:pos="1560"/>
        </w:tabs>
        <w:spacing w:line="276" w:lineRule="auto"/>
        <w:ind w:left="0" w:firstLine="720"/>
        <w:jc w:val="both"/>
        <w:rPr>
          <w:szCs w:val="24"/>
        </w:rPr>
      </w:pPr>
      <w:r w:rsidRPr="00451956">
        <w:rPr>
          <w:szCs w:val="24"/>
        </w:rPr>
        <w:t>pagal banko išrašą jo data</w:t>
      </w:r>
      <w:r w:rsidRPr="00451956">
        <w:rPr>
          <w:bCs/>
          <w:szCs w:val="24"/>
        </w:rPr>
        <w:t xml:space="preserve">; </w:t>
      </w:r>
    </w:p>
    <w:p w14:paraId="35B4BDE5" w14:textId="77777777" w:rsidR="00451956" w:rsidRPr="00451956" w:rsidRDefault="00451956" w:rsidP="00451956">
      <w:pPr>
        <w:numPr>
          <w:ilvl w:val="1"/>
          <w:numId w:val="2"/>
        </w:numPr>
        <w:tabs>
          <w:tab w:val="left" w:pos="1260"/>
          <w:tab w:val="left" w:pos="1298"/>
          <w:tab w:val="left" w:pos="1560"/>
        </w:tabs>
        <w:spacing w:line="276" w:lineRule="auto"/>
        <w:ind w:left="0" w:firstLine="720"/>
        <w:jc w:val="both"/>
        <w:rPr>
          <w:szCs w:val="24"/>
        </w:rPr>
      </w:pPr>
      <w:r w:rsidRPr="00451956">
        <w:rPr>
          <w:bCs/>
          <w:szCs w:val="24"/>
        </w:rPr>
        <w:t xml:space="preserve">pagal buhalterinę pažymą ataskaitinio laikotarpio pabaigoje, kai finansinių ataskaitų rinkinių sudarymo dienos kursu yra perskaičiuojami finansinio turto ir įsipareigojimų sąskaitų (banko sąskaitų, gautinų sumų, mokėtinų sumų, kt.) likučiai užsienio valiutomis ir </w:t>
      </w:r>
      <w:r w:rsidRPr="00451956">
        <w:rPr>
          <w:szCs w:val="24"/>
        </w:rPr>
        <w:t>apskaičiavus valiutų kursų pasikeitimo įtaką gaunamas teigiamas rezultatas;</w:t>
      </w:r>
    </w:p>
    <w:p w14:paraId="71E5B95A" w14:textId="77777777" w:rsidR="00451956" w:rsidRPr="00451956" w:rsidRDefault="00451956" w:rsidP="00451956">
      <w:pPr>
        <w:numPr>
          <w:ilvl w:val="1"/>
          <w:numId w:val="2"/>
        </w:numPr>
        <w:tabs>
          <w:tab w:val="left" w:pos="1260"/>
          <w:tab w:val="left" w:pos="1298"/>
          <w:tab w:val="left" w:pos="1560"/>
        </w:tabs>
        <w:spacing w:line="276" w:lineRule="auto"/>
        <w:ind w:left="0" w:firstLine="720"/>
        <w:jc w:val="both"/>
        <w:rPr>
          <w:szCs w:val="24"/>
        </w:rPr>
      </w:pPr>
      <w:r w:rsidRPr="00451956">
        <w:rPr>
          <w:szCs w:val="24"/>
        </w:rPr>
        <w:t xml:space="preserve">pagal </w:t>
      </w:r>
      <w:r w:rsidR="00A8785A">
        <w:rPr>
          <w:szCs w:val="24"/>
        </w:rPr>
        <w:t>Lietuvos Respublikos finansų</w:t>
      </w:r>
      <w:r w:rsidRPr="00451956">
        <w:rPr>
          <w:szCs w:val="24"/>
        </w:rPr>
        <w:t xml:space="preserve"> ministerijos pateiktą informaciją.</w:t>
      </w:r>
    </w:p>
    <w:p w14:paraId="1504B69F" w14:textId="77777777" w:rsidR="00451956" w:rsidRPr="00451956" w:rsidRDefault="00451956" w:rsidP="00451956">
      <w:pPr>
        <w:numPr>
          <w:ilvl w:val="0"/>
          <w:numId w:val="2"/>
        </w:numPr>
        <w:tabs>
          <w:tab w:val="clear" w:pos="4188"/>
          <w:tab w:val="num" w:pos="360"/>
          <w:tab w:val="num" w:pos="1260"/>
          <w:tab w:val="left" w:pos="1298"/>
        </w:tabs>
        <w:spacing w:line="276" w:lineRule="auto"/>
        <w:ind w:left="0" w:firstLine="720"/>
        <w:jc w:val="both"/>
        <w:rPr>
          <w:rFonts w:cs="Times New Roman"/>
          <w:bCs/>
          <w:szCs w:val="24"/>
        </w:rPr>
      </w:pPr>
      <w:r w:rsidRPr="00451956">
        <w:rPr>
          <w:bCs/>
          <w:szCs w:val="24"/>
        </w:rPr>
        <w:t>Sąnaudos dėl neigiamos valiutų kursų pasikeitimo įtakos yra registruojami:</w:t>
      </w:r>
    </w:p>
    <w:p w14:paraId="70DEAE3A" w14:textId="77777777" w:rsidR="00451956" w:rsidRPr="00451956" w:rsidRDefault="00451956" w:rsidP="00451956">
      <w:pPr>
        <w:numPr>
          <w:ilvl w:val="1"/>
          <w:numId w:val="2"/>
        </w:numPr>
        <w:tabs>
          <w:tab w:val="left" w:pos="1298"/>
          <w:tab w:val="left" w:pos="1418"/>
        </w:tabs>
        <w:spacing w:line="276" w:lineRule="auto"/>
        <w:ind w:left="0" w:firstLine="720"/>
        <w:jc w:val="both"/>
        <w:rPr>
          <w:rFonts w:cs="Times New Roman"/>
          <w:bCs/>
          <w:szCs w:val="24"/>
        </w:rPr>
      </w:pPr>
      <w:r w:rsidRPr="00451956">
        <w:rPr>
          <w:szCs w:val="24"/>
        </w:rPr>
        <w:t>pagal banko išrašą jo data</w:t>
      </w:r>
      <w:r w:rsidRPr="00451956">
        <w:rPr>
          <w:bCs/>
          <w:szCs w:val="24"/>
        </w:rPr>
        <w:t>;</w:t>
      </w:r>
    </w:p>
    <w:p w14:paraId="29CED751" w14:textId="77777777" w:rsidR="00451956" w:rsidRPr="00451956" w:rsidRDefault="00451956" w:rsidP="00451956">
      <w:pPr>
        <w:numPr>
          <w:ilvl w:val="1"/>
          <w:numId w:val="2"/>
        </w:numPr>
        <w:tabs>
          <w:tab w:val="left" w:pos="1298"/>
          <w:tab w:val="num" w:pos="1440"/>
        </w:tabs>
        <w:spacing w:line="276" w:lineRule="auto"/>
        <w:ind w:left="0" w:firstLine="720"/>
        <w:jc w:val="both"/>
        <w:rPr>
          <w:rFonts w:cs="Times New Roman"/>
          <w:bCs/>
          <w:szCs w:val="24"/>
        </w:rPr>
      </w:pPr>
      <w:r w:rsidRPr="00451956">
        <w:rPr>
          <w:bCs/>
          <w:szCs w:val="24"/>
        </w:rPr>
        <w:t xml:space="preserve">pagal buhalterinę pažymą ataskaitinio laikotarpio pabaigoje, kai finansinių ataskaitų rinkinių sudarymo dienos kursu yra perskaičiuojami finansinio turto ir įsipareigojimų sąskaitų (banko sąskaitų, gautinų sumų, mokėtinų sumų, kt.) likučiai užsienio valiutomis ir </w:t>
      </w:r>
      <w:r w:rsidRPr="00451956">
        <w:rPr>
          <w:szCs w:val="24"/>
        </w:rPr>
        <w:t>apskaičiavus valiutų kursų pasikeitimo įtaką gaunamas neigiamas rezultatas;</w:t>
      </w:r>
      <w:r w:rsidRPr="00451956">
        <w:rPr>
          <w:bCs/>
          <w:szCs w:val="24"/>
        </w:rPr>
        <w:t xml:space="preserve"> </w:t>
      </w:r>
    </w:p>
    <w:p w14:paraId="7F26F5CB" w14:textId="77777777" w:rsidR="00451956" w:rsidRPr="00451956" w:rsidRDefault="00451956" w:rsidP="00451956">
      <w:pPr>
        <w:numPr>
          <w:ilvl w:val="1"/>
          <w:numId w:val="2"/>
        </w:numPr>
        <w:tabs>
          <w:tab w:val="left" w:pos="1298"/>
          <w:tab w:val="num" w:pos="1440"/>
        </w:tabs>
        <w:spacing w:line="276" w:lineRule="auto"/>
        <w:ind w:left="0" w:firstLine="720"/>
        <w:jc w:val="both"/>
        <w:rPr>
          <w:rFonts w:cs="Times New Roman"/>
          <w:bCs/>
          <w:szCs w:val="24"/>
        </w:rPr>
      </w:pPr>
      <w:r w:rsidRPr="00451956">
        <w:rPr>
          <w:szCs w:val="24"/>
        </w:rPr>
        <w:t xml:space="preserve">pagal </w:t>
      </w:r>
      <w:r w:rsidR="00A8785A">
        <w:rPr>
          <w:szCs w:val="24"/>
        </w:rPr>
        <w:t>Lietuvos Respublikos finansų</w:t>
      </w:r>
      <w:r w:rsidRPr="00451956">
        <w:rPr>
          <w:szCs w:val="24"/>
        </w:rPr>
        <w:t xml:space="preserve"> ministerijos pateiktą informaciją.</w:t>
      </w:r>
    </w:p>
    <w:p w14:paraId="14B075DE" w14:textId="77777777" w:rsidR="00451956" w:rsidRPr="00451956" w:rsidRDefault="00451956" w:rsidP="00451956">
      <w:pPr>
        <w:numPr>
          <w:ilvl w:val="0"/>
          <w:numId w:val="2"/>
        </w:numPr>
        <w:tabs>
          <w:tab w:val="clear" w:pos="4188"/>
          <w:tab w:val="num" w:pos="360"/>
          <w:tab w:val="num" w:pos="1260"/>
          <w:tab w:val="left" w:pos="1298"/>
        </w:tabs>
        <w:spacing w:line="276" w:lineRule="auto"/>
        <w:ind w:left="0" w:firstLine="720"/>
        <w:jc w:val="both"/>
        <w:rPr>
          <w:rFonts w:cs="Times New Roman"/>
          <w:bCs/>
          <w:iCs/>
          <w:szCs w:val="24"/>
        </w:rPr>
      </w:pPr>
      <w:r w:rsidRPr="00451956">
        <w:rPr>
          <w:szCs w:val="24"/>
        </w:rPr>
        <w:t>Veiklos rezultatų ataskaitoje rodomas bendras valiutų kursų pasikeitimo rezultatas, t. y. skirtumas tarp teigiamos ir neigiamos valiutų kursų pasikeitimo įtakos.</w:t>
      </w:r>
    </w:p>
    <w:p w14:paraId="50A688B5" w14:textId="77777777" w:rsidR="00451956" w:rsidRPr="00451956" w:rsidRDefault="00451956" w:rsidP="00451956">
      <w:pPr>
        <w:tabs>
          <w:tab w:val="left" w:pos="1298"/>
        </w:tabs>
        <w:spacing w:line="276" w:lineRule="auto"/>
      </w:pPr>
    </w:p>
    <w:p w14:paraId="1FD77766" w14:textId="77777777" w:rsidR="00451956" w:rsidRPr="00451956" w:rsidRDefault="00451956" w:rsidP="00451956">
      <w:pPr>
        <w:keepNext/>
        <w:tabs>
          <w:tab w:val="left" w:pos="1298"/>
        </w:tabs>
        <w:spacing w:after="120" w:line="276" w:lineRule="auto"/>
        <w:jc w:val="center"/>
        <w:outlineLvl w:val="1"/>
        <w:rPr>
          <w:b/>
          <w:bCs/>
          <w:szCs w:val="28"/>
        </w:rPr>
      </w:pPr>
      <w:bookmarkStart w:id="73" w:name="_Toc200345201"/>
      <w:bookmarkStart w:id="74" w:name="_Toc233421913"/>
      <w:r w:rsidRPr="00451956">
        <w:rPr>
          <w:b/>
          <w:bCs/>
          <w:szCs w:val="28"/>
        </w:rPr>
        <w:t>Neapibrėžtieji įsipareigojimai ir neapibrėžtasis turtas</w:t>
      </w:r>
      <w:bookmarkEnd w:id="73"/>
      <w:bookmarkEnd w:id="74"/>
    </w:p>
    <w:p w14:paraId="280C5042" w14:textId="77777777" w:rsidR="00451956" w:rsidRPr="00451956" w:rsidRDefault="00451956" w:rsidP="00451956">
      <w:pPr>
        <w:tabs>
          <w:tab w:val="left" w:pos="1298"/>
        </w:tabs>
        <w:spacing w:line="276" w:lineRule="auto"/>
        <w:jc w:val="both"/>
        <w:rPr>
          <w:rFonts w:cs="Times New Roman"/>
          <w:szCs w:val="24"/>
        </w:rPr>
      </w:pPr>
    </w:p>
    <w:p w14:paraId="7B6FC366" w14:textId="77777777" w:rsidR="00451956" w:rsidRPr="00451956" w:rsidRDefault="00451956" w:rsidP="00451956">
      <w:pPr>
        <w:numPr>
          <w:ilvl w:val="0"/>
          <w:numId w:val="2"/>
        </w:numPr>
        <w:tabs>
          <w:tab w:val="clear" w:pos="4188"/>
          <w:tab w:val="num" w:pos="360"/>
          <w:tab w:val="num" w:pos="1260"/>
          <w:tab w:val="left" w:pos="1298"/>
        </w:tabs>
        <w:spacing w:line="276" w:lineRule="auto"/>
        <w:ind w:left="0" w:firstLine="720"/>
        <w:jc w:val="both"/>
        <w:rPr>
          <w:rFonts w:cs="Times New Roman"/>
          <w:szCs w:val="24"/>
        </w:rPr>
      </w:pPr>
      <w:r w:rsidRPr="00451956">
        <w:rPr>
          <w:rFonts w:cs="Times New Roman"/>
          <w:szCs w:val="24"/>
        </w:rPr>
        <w:t>Neapibrėžtųjų įsipareigojimų ir neapibrėžtojo turto apskaita tvarkoma pagal 18-ojo VSAFAS „Atidėjiniai, neapibrėžtieji įsipareigojimai, neapibrėžtasis turtas ir poataskaitiniai įvykiai“.</w:t>
      </w:r>
    </w:p>
    <w:p w14:paraId="09A80E94" w14:textId="77777777" w:rsidR="00451956" w:rsidRPr="00451956" w:rsidRDefault="00451956" w:rsidP="00451956">
      <w:pPr>
        <w:numPr>
          <w:ilvl w:val="0"/>
          <w:numId w:val="2"/>
        </w:numPr>
        <w:tabs>
          <w:tab w:val="clear" w:pos="4188"/>
          <w:tab w:val="num" w:pos="360"/>
          <w:tab w:val="num" w:pos="1260"/>
          <w:tab w:val="left" w:pos="1298"/>
        </w:tabs>
        <w:spacing w:line="276" w:lineRule="auto"/>
        <w:ind w:left="0" w:firstLine="720"/>
        <w:jc w:val="both"/>
        <w:rPr>
          <w:rFonts w:cs="Times New Roman"/>
          <w:szCs w:val="24"/>
        </w:rPr>
      </w:pPr>
      <w:r w:rsidRPr="00451956">
        <w:t xml:space="preserve">Neapibrėžtieji įsipareigojimai nerodomi nei finansinės būklės ataskaitoje, nei veiklos rezultatų ataskaitoje, o informacija apie neapibrėžtuosius įsipareigojimus pateikiama </w:t>
      </w:r>
      <w:r w:rsidRPr="00451956">
        <w:rPr>
          <w:szCs w:val="24"/>
        </w:rPr>
        <w:t xml:space="preserve">aiškinamajame rašte. Kai tikimybė, kad reikės panaudoti turtą įsipareigojimams padengti, yra labai maža, informacija apie juos aiškinamajame rašte nepateikiama. </w:t>
      </w:r>
    </w:p>
    <w:p w14:paraId="0F43F43F" w14:textId="77777777" w:rsidR="00451956" w:rsidRPr="00451956" w:rsidRDefault="00451956" w:rsidP="00451956">
      <w:pPr>
        <w:numPr>
          <w:ilvl w:val="0"/>
          <w:numId w:val="2"/>
        </w:numPr>
        <w:tabs>
          <w:tab w:val="clear" w:pos="4188"/>
          <w:tab w:val="num" w:pos="360"/>
          <w:tab w:val="num" w:pos="1260"/>
          <w:tab w:val="left" w:pos="1298"/>
        </w:tabs>
        <w:spacing w:line="276" w:lineRule="auto"/>
        <w:ind w:left="0" w:firstLine="720"/>
        <w:jc w:val="both"/>
      </w:pPr>
      <w:r w:rsidRPr="00451956">
        <w:t>Neapibrėžtasis turtas finansinės būklės ataskaitoje nerodomas, kol nėra aišku, ar iš jo atsirasianti ekonominė nauda (pvz., baudos už sutartinių įsipareigojimų nevykdymą) teks IAENF. Jei ekonominė nauda tikėtina, tačiau nėra tikra, kad ji bus gauta, informacija apie neapibrėžtąjį turtą pateikiama aiškinamajame rašte.</w:t>
      </w:r>
    </w:p>
    <w:p w14:paraId="3CFDDC5E" w14:textId="77777777" w:rsidR="00451956" w:rsidRPr="00451956" w:rsidRDefault="00451956" w:rsidP="00451956">
      <w:pPr>
        <w:numPr>
          <w:ilvl w:val="0"/>
          <w:numId w:val="2"/>
        </w:numPr>
        <w:tabs>
          <w:tab w:val="clear" w:pos="4188"/>
          <w:tab w:val="num" w:pos="360"/>
          <w:tab w:val="num" w:pos="1260"/>
          <w:tab w:val="left" w:pos="1298"/>
        </w:tabs>
        <w:spacing w:line="276" w:lineRule="auto"/>
        <w:ind w:left="0" w:firstLine="720"/>
        <w:jc w:val="both"/>
      </w:pPr>
      <w:r w:rsidRPr="00451956">
        <w:rPr>
          <w:rFonts w:cs="Times New Roman"/>
          <w:szCs w:val="24"/>
        </w:rPr>
        <w:t>Informacija apie su Fondu susijusius neapibrėžtuosius įsipareigojimus ir neapibrėžtąjį turtą kaupiama</w:t>
      </w:r>
      <w:r w:rsidRPr="00451956">
        <w:rPr>
          <w:rFonts w:cs="Times New Roman"/>
          <w:color w:val="000000"/>
          <w:szCs w:val="24"/>
        </w:rPr>
        <w:t xml:space="preserve"> nebalansinėse sąskaitose pagal pateiktą Ignalinos </w:t>
      </w:r>
      <w:r w:rsidR="00B20A85">
        <w:rPr>
          <w:rFonts w:cs="Times New Roman"/>
          <w:color w:val="000000"/>
          <w:szCs w:val="24"/>
        </w:rPr>
        <w:t>AE</w:t>
      </w:r>
      <w:r w:rsidRPr="00451956">
        <w:rPr>
          <w:rFonts w:cs="Times New Roman"/>
          <w:color w:val="000000"/>
          <w:szCs w:val="24"/>
        </w:rPr>
        <w:t xml:space="preserve"> eksploatavimo nutraukimo skyriaus pažymą.</w:t>
      </w:r>
    </w:p>
    <w:p w14:paraId="71FBE6ED" w14:textId="77777777" w:rsidR="00451956" w:rsidRPr="00451956" w:rsidRDefault="00451956" w:rsidP="00451956">
      <w:pPr>
        <w:numPr>
          <w:ilvl w:val="0"/>
          <w:numId w:val="2"/>
        </w:numPr>
        <w:tabs>
          <w:tab w:val="clear" w:pos="4188"/>
          <w:tab w:val="num" w:pos="360"/>
          <w:tab w:val="num" w:pos="1260"/>
          <w:tab w:val="left" w:pos="1298"/>
        </w:tabs>
        <w:spacing w:line="276" w:lineRule="auto"/>
        <w:ind w:left="0" w:firstLine="720"/>
        <w:jc w:val="both"/>
        <w:rPr>
          <w:rFonts w:cs="Times New Roman"/>
          <w:szCs w:val="24"/>
        </w:rPr>
      </w:pPr>
      <w:r w:rsidRPr="00451956">
        <w:rPr>
          <w:rFonts w:cs="Times New Roman"/>
          <w:szCs w:val="24"/>
        </w:rPr>
        <w:t>Informacija apie neapibr</w:t>
      </w:r>
      <w:r w:rsidRPr="00451956">
        <w:rPr>
          <w:rFonts w:ascii="TimesNewRoman" w:hAnsi="TimesNewRoman" w:cs="TimesNewRoman"/>
          <w:szCs w:val="24"/>
        </w:rPr>
        <w:t>ė</w:t>
      </w:r>
      <w:r w:rsidRPr="00451956">
        <w:rPr>
          <w:rFonts w:cs="Times New Roman"/>
          <w:szCs w:val="24"/>
        </w:rPr>
        <w:t>žt</w:t>
      </w:r>
      <w:r w:rsidRPr="00451956">
        <w:rPr>
          <w:rFonts w:ascii="TimesNewRoman" w:hAnsi="TimesNewRoman" w:cs="TimesNewRoman"/>
          <w:szCs w:val="24"/>
        </w:rPr>
        <w:t>ą</w:t>
      </w:r>
      <w:r w:rsidRPr="00451956">
        <w:rPr>
          <w:rFonts w:cs="Times New Roman"/>
          <w:szCs w:val="24"/>
        </w:rPr>
        <w:t>j</w:t>
      </w:r>
      <w:r w:rsidRPr="00451956">
        <w:rPr>
          <w:rFonts w:ascii="TimesNewRoman" w:hAnsi="TimesNewRoman" w:cs="TimesNewRoman"/>
          <w:szCs w:val="24"/>
        </w:rPr>
        <w:t xml:space="preserve">į </w:t>
      </w:r>
      <w:r w:rsidRPr="00451956">
        <w:rPr>
          <w:rFonts w:cs="Times New Roman"/>
          <w:szCs w:val="24"/>
        </w:rPr>
        <w:t>turt</w:t>
      </w:r>
      <w:r w:rsidRPr="00451956">
        <w:rPr>
          <w:rFonts w:ascii="TimesNewRoman" w:hAnsi="TimesNewRoman" w:cs="TimesNewRoman"/>
          <w:szCs w:val="24"/>
        </w:rPr>
        <w:t xml:space="preserve">ą ir įsipareigojimus </w:t>
      </w:r>
      <w:r w:rsidRPr="00451956">
        <w:rPr>
          <w:rFonts w:cs="Times New Roman"/>
          <w:szCs w:val="24"/>
        </w:rPr>
        <w:t>perži</w:t>
      </w:r>
      <w:r w:rsidRPr="00451956">
        <w:rPr>
          <w:rFonts w:ascii="TimesNewRoman" w:hAnsi="TimesNewRoman" w:cs="TimesNewRoman"/>
          <w:szCs w:val="24"/>
        </w:rPr>
        <w:t>ū</w:t>
      </w:r>
      <w:r w:rsidRPr="00451956">
        <w:rPr>
          <w:rFonts w:cs="Times New Roman"/>
          <w:szCs w:val="24"/>
        </w:rPr>
        <w:t>rima ne rečiau negu kartą per metus iki parengiant</w:t>
      </w:r>
      <w:r w:rsidRPr="00451956">
        <w:rPr>
          <w:rFonts w:ascii="TimesNewRoman" w:hAnsi="TimesNewRoman" w:cs="TimesNewRoman"/>
          <w:szCs w:val="24"/>
        </w:rPr>
        <w:t xml:space="preserve"> ataskaitinio laikotarpio metinį finansinių ataskaitų rinkinį</w:t>
      </w:r>
      <w:r w:rsidRPr="00451956">
        <w:rPr>
          <w:rFonts w:cs="Times New Roman"/>
          <w:szCs w:val="24"/>
        </w:rPr>
        <w:t xml:space="preserve">, o pasikeitimai atskleidžiami aiškinamajame rašte. </w:t>
      </w:r>
    </w:p>
    <w:p w14:paraId="67D6F7B3" w14:textId="77777777" w:rsidR="00451956" w:rsidRPr="00451956" w:rsidRDefault="00451956" w:rsidP="00451956">
      <w:pPr>
        <w:tabs>
          <w:tab w:val="left" w:pos="1298"/>
        </w:tabs>
        <w:autoSpaceDE w:val="0"/>
        <w:autoSpaceDN w:val="0"/>
        <w:adjustRightInd w:val="0"/>
        <w:spacing w:after="120" w:line="276" w:lineRule="auto"/>
        <w:rPr>
          <w:rFonts w:cs="Times New Roman"/>
          <w:szCs w:val="24"/>
        </w:rPr>
      </w:pPr>
    </w:p>
    <w:p w14:paraId="3CE9738E" w14:textId="77777777" w:rsidR="00451956" w:rsidRPr="00451956" w:rsidRDefault="00451956" w:rsidP="00451956">
      <w:pPr>
        <w:keepNext/>
        <w:tabs>
          <w:tab w:val="left" w:pos="1298"/>
        </w:tabs>
        <w:spacing w:after="120" w:line="276" w:lineRule="auto"/>
        <w:jc w:val="center"/>
        <w:outlineLvl w:val="1"/>
        <w:rPr>
          <w:b/>
          <w:bCs/>
          <w:szCs w:val="24"/>
        </w:rPr>
      </w:pPr>
      <w:bookmarkStart w:id="75" w:name="_Toc233421914"/>
      <w:bookmarkStart w:id="76" w:name="_Toc200345202"/>
      <w:r w:rsidRPr="00451956">
        <w:rPr>
          <w:b/>
          <w:bCs/>
          <w:szCs w:val="24"/>
        </w:rPr>
        <w:lastRenderedPageBreak/>
        <w:t>Poataskaitiniai įvykiai</w:t>
      </w:r>
      <w:bookmarkEnd w:id="75"/>
      <w:r w:rsidRPr="00451956">
        <w:rPr>
          <w:b/>
          <w:bCs/>
          <w:szCs w:val="24"/>
        </w:rPr>
        <w:t xml:space="preserve"> </w:t>
      </w:r>
      <w:bookmarkEnd w:id="76"/>
    </w:p>
    <w:p w14:paraId="6302ED25" w14:textId="77777777" w:rsidR="00451956" w:rsidRPr="00451956" w:rsidRDefault="00451956" w:rsidP="00451956">
      <w:pPr>
        <w:tabs>
          <w:tab w:val="left" w:pos="1298"/>
        </w:tabs>
        <w:spacing w:line="276" w:lineRule="auto"/>
      </w:pPr>
    </w:p>
    <w:p w14:paraId="02508720" w14:textId="77777777" w:rsidR="00451956" w:rsidRPr="00451956" w:rsidRDefault="00451956" w:rsidP="00451956">
      <w:pPr>
        <w:numPr>
          <w:ilvl w:val="0"/>
          <w:numId w:val="2"/>
        </w:numPr>
        <w:tabs>
          <w:tab w:val="clear" w:pos="4188"/>
          <w:tab w:val="num" w:pos="360"/>
          <w:tab w:val="num" w:pos="1260"/>
          <w:tab w:val="left" w:pos="1298"/>
        </w:tabs>
        <w:spacing w:line="276" w:lineRule="auto"/>
        <w:ind w:left="0" w:firstLine="720"/>
        <w:jc w:val="both"/>
      </w:pPr>
      <w:r w:rsidRPr="00451956">
        <w:t>Poataskaitinių įvykių apskaitos ir pateikimo finansinėse ataskaitose nuostatos pateiktos 18-ajame VSAFAS „Atidėjiniai, neapibrėžtieji įsipareigojimai, neapibrėžtasis turtas ir poataskaitiniai įvykiai“.</w:t>
      </w:r>
    </w:p>
    <w:p w14:paraId="665C9291" w14:textId="77777777" w:rsidR="00451956" w:rsidRPr="00451956" w:rsidRDefault="00451956" w:rsidP="00451956">
      <w:pPr>
        <w:numPr>
          <w:ilvl w:val="0"/>
          <w:numId w:val="2"/>
        </w:numPr>
        <w:tabs>
          <w:tab w:val="clear" w:pos="4188"/>
          <w:tab w:val="num" w:pos="360"/>
          <w:tab w:val="num" w:pos="1260"/>
          <w:tab w:val="left" w:pos="1298"/>
        </w:tabs>
        <w:spacing w:line="276" w:lineRule="auto"/>
        <w:ind w:left="0" w:firstLine="720"/>
        <w:jc w:val="both"/>
        <w:rPr>
          <w:rFonts w:cs="Times New Roman"/>
          <w:szCs w:val="24"/>
        </w:rPr>
      </w:pPr>
      <w:r w:rsidRPr="00451956">
        <w:rPr>
          <w:rFonts w:cs="Times New Roman"/>
          <w:szCs w:val="24"/>
        </w:rPr>
        <w:t>Koreguojantieji poataskaitiniai įvykiai, kurie suteikia papildomos informacijos apie IAENF</w:t>
      </w:r>
      <w:r w:rsidRPr="00451956">
        <w:rPr>
          <w:rFonts w:cs="Times New Roman"/>
          <w:i/>
          <w:szCs w:val="24"/>
        </w:rPr>
        <w:t xml:space="preserve"> </w:t>
      </w:r>
      <w:r w:rsidRPr="00451956">
        <w:rPr>
          <w:rFonts w:cs="Times New Roman"/>
          <w:szCs w:val="24"/>
        </w:rPr>
        <w:t>finansinę būklę paskutinę ataskaitinio laikotarpio dieną, yra užregistruojami IAENF apskaitoje ir rodomi finansinės būklės, veiklos rezultatų ir pinigų srautų ataskaitose. Nekoreguojantieji poataskaitiniai įvykiai, kai jie reikšmingi, aprašomi aiškinamajame rašte.</w:t>
      </w:r>
    </w:p>
    <w:p w14:paraId="086FAA82" w14:textId="77777777" w:rsidR="00451956" w:rsidRPr="00451956" w:rsidRDefault="00451956" w:rsidP="00451956">
      <w:pPr>
        <w:tabs>
          <w:tab w:val="num" w:pos="1260"/>
          <w:tab w:val="left" w:pos="1298"/>
        </w:tabs>
        <w:spacing w:line="276" w:lineRule="auto"/>
        <w:jc w:val="both"/>
        <w:rPr>
          <w:rFonts w:cs="Times New Roman"/>
          <w:szCs w:val="24"/>
        </w:rPr>
      </w:pPr>
    </w:p>
    <w:p w14:paraId="3EED01F0" w14:textId="77777777" w:rsidR="00451956" w:rsidRPr="00451956" w:rsidRDefault="00451956" w:rsidP="00451956">
      <w:pPr>
        <w:keepNext/>
        <w:tabs>
          <w:tab w:val="left" w:pos="1298"/>
        </w:tabs>
        <w:spacing w:after="120" w:line="276" w:lineRule="auto"/>
        <w:jc w:val="center"/>
        <w:outlineLvl w:val="1"/>
        <w:rPr>
          <w:b/>
          <w:bCs/>
          <w:szCs w:val="24"/>
        </w:rPr>
      </w:pPr>
      <w:bookmarkStart w:id="77" w:name="_Toc200345203"/>
      <w:bookmarkStart w:id="78" w:name="_Toc233421915"/>
      <w:r w:rsidRPr="00451956">
        <w:rPr>
          <w:b/>
          <w:bCs/>
          <w:szCs w:val="24"/>
        </w:rPr>
        <w:t>Tarpusavio užskaitos ir palyginamieji skaičiai</w:t>
      </w:r>
      <w:bookmarkEnd w:id="77"/>
      <w:bookmarkEnd w:id="78"/>
    </w:p>
    <w:p w14:paraId="25701D52" w14:textId="77777777" w:rsidR="00451956" w:rsidRPr="00451956" w:rsidRDefault="00451956" w:rsidP="00451956">
      <w:pPr>
        <w:tabs>
          <w:tab w:val="left" w:pos="1298"/>
        </w:tabs>
        <w:spacing w:line="276" w:lineRule="auto"/>
      </w:pPr>
    </w:p>
    <w:p w14:paraId="5921910E" w14:textId="77777777" w:rsidR="00451956" w:rsidRPr="00451956" w:rsidRDefault="00451956" w:rsidP="00451956">
      <w:pPr>
        <w:numPr>
          <w:ilvl w:val="0"/>
          <w:numId w:val="2"/>
        </w:numPr>
        <w:tabs>
          <w:tab w:val="clear" w:pos="4188"/>
          <w:tab w:val="num" w:pos="360"/>
          <w:tab w:val="num" w:pos="1260"/>
          <w:tab w:val="left" w:pos="1298"/>
        </w:tabs>
        <w:spacing w:line="276" w:lineRule="auto"/>
        <w:ind w:left="0" w:firstLine="720"/>
        <w:jc w:val="both"/>
      </w:pPr>
      <w:r w:rsidRPr="00451956">
        <w:t xml:space="preserve">Sudarant finansinių ataskaitų rinkinį, finansinio turto ir įsipareigojimų, taip pat pajamų ir sąnaudų tarpusavio užskaita negalima, išskyrus </w:t>
      </w:r>
      <w:r w:rsidRPr="00451956">
        <w:rPr>
          <w:rFonts w:ascii="TimesNewRoman" w:hAnsi="TimesNewRoman"/>
        </w:rPr>
        <w:t>konkrečiais VSAFAS numatytais atvejais, kai tarpusavio užskaita gali būti atliekama</w:t>
      </w:r>
      <w:r w:rsidRPr="00451956">
        <w:t>.</w:t>
      </w:r>
    </w:p>
    <w:p w14:paraId="77C69DC0" w14:textId="77777777" w:rsidR="00451956" w:rsidRPr="00451956" w:rsidRDefault="00451956" w:rsidP="00451956">
      <w:pPr>
        <w:numPr>
          <w:ilvl w:val="0"/>
          <w:numId w:val="2"/>
        </w:numPr>
        <w:tabs>
          <w:tab w:val="clear" w:pos="4188"/>
          <w:tab w:val="num" w:pos="360"/>
          <w:tab w:val="num" w:pos="1260"/>
          <w:tab w:val="left" w:pos="1298"/>
        </w:tabs>
        <w:spacing w:line="276" w:lineRule="auto"/>
        <w:ind w:left="0" w:firstLine="720"/>
        <w:jc w:val="both"/>
        <w:rPr>
          <w:rFonts w:cs="Times New Roman"/>
          <w:szCs w:val="24"/>
        </w:rPr>
      </w:pPr>
      <w:r w:rsidRPr="00451956">
        <w:rPr>
          <w:rFonts w:ascii="TimesNewRoman" w:hAnsi="TimesNewRoman"/>
        </w:rPr>
        <w:t xml:space="preserve">Vadovaujantis palyginimo principu, finansinėse ataskaitose turi būti pateikiama ataskaitinio ir praėjusių mažiausiai vienų prieš ataskaitinį laikotarpį finansinių metų informacija. Jei buvo pakeisti finansinių ataskaitų straipsnių įvertinimo metodai, straipsnių pateikimas ar grupavimas, praėjusių finansinių metų finansinių ataskaitų straipsnių sumos, kurias norima palyginti su ataskaitinio laikotarpio finansinių ataskaitų straipsnių sumomis, turi būti pateikiamos 7-ajame VSAFAS „Apskaitos politikos, apskaitinių įverčių keitimas ir klaidų taisymas“ nustatyta tvarka. </w:t>
      </w:r>
      <w:r w:rsidRPr="00451956">
        <w:rPr>
          <w:rFonts w:cs="Times New Roman"/>
          <w:szCs w:val="24"/>
        </w:rPr>
        <w:t>Palyginamieji skaičiai yra koreguojami, kad atitiktų ataskaitinio laikotarpio finansinių ataskaitų straipsniams taikytus apskaitos principus ir grupavimą. Informacija apie apskaitos principų ir apskaitinių įverčių pasikeitimus, sudarant ataskaitinio laikotarpio finansinių ataskaitų rinkinį, pateikiama aiškinamajame rašte.</w:t>
      </w:r>
    </w:p>
    <w:p w14:paraId="199EBC86" w14:textId="77777777" w:rsidR="00451956" w:rsidRPr="00451956" w:rsidRDefault="00451956" w:rsidP="00451956">
      <w:pPr>
        <w:tabs>
          <w:tab w:val="left" w:pos="1298"/>
        </w:tabs>
        <w:spacing w:line="276" w:lineRule="auto"/>
        <w:jc w:val="center"/>
      </w:pPr>
    </w:p>
    <w:p w14:paraId="79B31833" w14:textId="77777777" w:rsidR="00451956" w:rsidRPr="00451956" w:rsidRDefault="00451956" w:rsidP="00451956">
      <w:pPr>
        <w:keepNext/>
        <w:tabs>
          <w:tab w:val="left" w:pos="1298"/>
        </w:tabs>
        <w:spacing w:after="120" w:line="276" w:lineRule="auto"/>
        <w:jc w:val="center"/>
        <w:outlineLvl w:val="1"/>
        <w:rPr>
          <w:rFonts w:cs="Times New Roman"/>
          <w:b/>
          <w:bCs/>
          <w:szCs w:val="24"/>
        </w:rPr>
      </w:pPr>
      <w:bookmarkStart w:id="79" w:name="_Toc200345204"/>
      <w:bookmarkStart w:id="80" w:name="_Toc233421916"/>
      <w:r w:rsidRPr="00451956">
        <w:rPr>
          <w:rFonts w:cs="Times New Roman"/>
          <w:b/>
          <w:bCs/>
          <w:szCs w:val="24"/>
        </w:rPr>
        <w:t>Pagrindiniai informacijos pagal segmentus pateikimo principai</w:t>
      </w:r>
      <w:bookmarkEnd w:id="79"/>
      <w:bookmarkEnd w:id="80"/>
    </w:p>
    <w:p w14:paraId="66B44D38" w14:textId="77777777" w:rsidR="00451956" w:rsidRPr="00451956" w:rsidRDefault="00451956" w:rsidP="00451956">
      <w:pPr>
        <w:tabs>
          <w:tab w:val="left" w:pos="1298"/>
        </w:tabs>
        <w:spacing w:line="276" w:lineRule="auto"/>
      </w:pPr>
    </w:p>
    <w:p w14:paraId="2E033E61" w14:textId="77777777" w:rsidR="00451956" w:rsidRPr="00451956" w:rsidRDefault="00451956" w:rsidP="00451956">
      <w:pPr>
        <w:numPr>
          <w:ilvl w:val="0"/>
          <w:numId w:val="2"/>
        </w:numPr>
        <w:tabs>
          <w:tab w:val="clear" w:pos="4188"/>
          <w:tab w:val="num" w:pos="360"/>
          <w:tab w:val="num" w:pos="1260"/>
          <w:tab w:val="left" w:pos="1298"/>
        </w:tabs>
        <w:spacing w:line="276" w:lineRule="auto"/>
        <w:ind w:left="0" w:firstLine="720"/>
        <w:jc w:val="both"/>
        <w:rPr>
          <w:rFonts w:cs="Times New Roman"/>
          <w:szCs w:val="24"/>
        </w:rPr>
      </w:pPr>
      <w:r w:rsidRPr="00451956">
        <w:rPr>
          <w:rFonts w:cs="Times New Roman"/>
          <w:szCs w:val="24"/>
        </w:rPr>
        <w:t>Informacijos pagal segmentus pateikimo finansinėse ataskaitose reikalavimai nustatyti 25-ajame VSAFAS „Segmentų pateikimas finansinių ataskaitų rinkinyje“.</w:t>
      </w:r>
    </w:p>
    <w:p w14:paraId="4D7CCB55" w14:textId="77777777" w:rsidR="00451956" w:rsidRPr="00451956" w:rsidRDefault="00451956" w:rsidP="00451956">
      <w:pPr>
        <w:numPr>
          <w:ilvl w:val="0"/>
          <w:numId w:val="2"/>
        </w:numPr>
        <w:tabs>
          <w:tab w:val="clear" w:pos="4188"/>
          <w:tab w:val="num" w:pos="360"/>
          <w:tab w:val="num" w:pos="1260"/>
          <w:tab w:val="left" w:pos="1298"/>
        </w:tabs>
        <w:spacing w:line="276" w:lineRule="auto"/>
        <w:ind w:left="0" w:firstLine="720"/>
        <w:jc w:val="both"/>
        <w:rPr>
          <w:rFonts w:ascii="TimesNewRomanPSMT" w:hAnsi="TimesNewRomanPSMT" w:cs="TimesNewRomanPSMT"/>
          <w:szCs w:val="24"/>
        </w:rPr>
      </w:pPr>
      <w:r w:rsidRPr="00451956">
        <w:rPr>
          <w:rFonts w:ascii="TimesNewRomanPSMT" w:hAnsi="TimesNewRomanPSMT" w:cs="TimesNewRomanPSMT"/>
          <w:color w:val="000000"/>
          <w:szCs w:val="24"/>
        </w:rPr>
        <w:t>Segmentas –IA ENF veiklos dalis, apibrėžta pagal vykdomas valstybės funkcijas</w:t>
      </w:r>
      <w:r w:rsidRPr="00451956">
        <w:rPr>
          <w:rFonts w:ascii="TimesNewRomanPSMT" w:hAnsi="TimesNewRomanPSMT" w:cs="TimesNewRomanPSMT"/>
          <w:szCs w:val="24"/>
        </w:rPr>
        <w:t xml:space="preserve">. </w:t>
      </w:r>
    </w:p>
    <w:p w14:paraId="47914948" w14:textId="77777777" w:rsidR="00451956" w:rsidRPr="00451956" w:rsidRDefault="00451956" w:rsidP="00451956">
      <w:pPr>
        <w:numPr>
          <w:ilvl w:val="0"/>
          <w:numId w:val="2"/>
        </w:numPr>
        <w:tabs>
          <w:tab w:val="clear" w:pos="4188"/>
          <w:tab w:val="num" w:pos="360"/>
          <w:tab w:val="num" w:pos="1260"/>
          <w:tab w:val="left" w:pos="1298"/>
        </w:tabs>
        <w:spacing w:line="276" w:lineRule="auto"/>
        <w:ind w:left="0" w:firstLine="720"/>
        <w:jc w:val="both"/>
        <w:rPr>
          <w:rFonts w:ascii="TimesNewRomanPSMT" w:hAnsi="TimesNewRomanPSMT" w:cs="TimesNewRomanPSMT"/>
          <w:szCs w:val="24"/>
        </w:rPr>
      </w:pPr>
      <w:r w:rsidRPr="00451956">
        <w:rPr>
          <w:rFonts w:ascii="TimesNewRomanPSMT" w:hAnsi="TimesNewRomanPSMT" w:cs="TimesNewRomanPSMT"/>
          <w:szCs w:val="24"/>
        </w:rPr>
        <w:t>Apie kiekvieną segmentą pateikiama tokia informacija:</w:t>
      </w:r>
    </w:p>
    <w:p w14:paraId="2BB51AFC" w14:textId="77777777" w:rsidR="00451956" w:rsidRPr="00451956" w:rsidRDefault="00451956" w:rsidP="00451956">
      <w:pPr>
        <w:numPr>
          <w:ilvl w:val="1"/>
          <w:numId w:val="2"/>
        </w:numPr>
        <w:tabs>
          <w:tab w:val="left" w:pos="1298"/>
          <w:tab w:val="num" w:pos="1440"/>
        </w:tabs>
        <w:spacing w:line="276" w:lineRule="auto"/>
        <w:ind w:left="0" w:firstLine="720"/>
        <w:jc w:val="both"/>
        <w:rPr>
          <w:rFonts w:ascii="TimesNewRomanPSMT" w:hAnsi="TimesNewRomanPSMT" w:cs="TimesNewRomanPSMT"/>
          <w:szCs w:val="24"/>
        </w:rPr>
      </w:pPr>
      <w:bookmarkStart w:id="81" w:name="_Ref175974191"/>
      <w:r w:rsidRPr="00451956">
        <w:rPr>
          <w:rFonts w:ascii="TimesNewRomanPSMT" w:hAnsi="TimesNewRomanPSMT" w:cs="TimesNewRomanPSMT"/>
          <w:szCs w:val="24"/>
        </w:rPr>
        <w:t>turtas;</w:t>
      </w:r>
    </w:p>
    <w:p w14:paraId="5DD9087E" w14:textId="77777777" w:rsidR="00451956" w:rsidRPr="00451956" w:rsidRDefault="00451956" w:rsidP="00451956">
      <w:pPr>
        <w:numPr>
          <w:ilvl w:val="1"/>
          <w:numId w:val="2"/>
        </w:numPr>
        <w:tabs>
          <w:tab w:val="left" w:pos="1298"/>
          <w:tab w:val="num" w:pos="1440"/>
        </w:tabs>
        <w:spacing w:line="276" w:lineRule="auto"/>
        <w:ind w:left="0" w:firstLine="720"/>
        <w:jc w:val="both"/>
        <w:rPr>
          <w:rFonts w:ascii="TimesNewRomanPSMT" w:hAnsi="TimesNewRomanPSMT" w:cs="TimesNewRomanPSMT"/>
          <w:szCs w:val="24"/>
        </w:rPr>
      </w:pPr>
      <w:r w:rsidRPr="00451956">
        <w:rPr>
          <w:rFonts w:ascii="TimesNewRomanPSMT" w:hAnsi="TimesNewRomanPSMT" w:cs="TimesNewRomanPSMT"/>
          <w:szCs w:val="24"/>
        </w:rPr>
        <w:t>finansavimo sumos;</w:t>
      </w:r>
    </w:p>
    <w:p w14:paraId="6A27A688" w14:textId="77777777" w:rsidR="00451956" w:rsidRPr="00451956" w:rsidRDefault="00451956" w:rsidP="00451956">
      <w:pPr>
        <w:numPr>
          <w:ilvl w:val="1"/>
          <w:numId w:val="2"/>
        </w:numPr>
        <w:tabs>
          <w:tab w:val="left" w:pos="1298"/>
          <w:tab w:val="num" w:pos="1440"/>
        </w:tabs>
        <w:spacing w:line="276" w:lineRule="auto"/>
        <w:ind w:left="0" w:firstLine="720"/>
        <w:jc w:val="both"/>
        <w:rPr>
          <w:rFonts w:ascii="TimesNewRomanPSMT" w:hAnsi="TimesNewRomanPSMT" w:cs="TimesNewRomanPSMT"/>
          <w:szCs w:val="24"/>
        </w:rPr>
      </w:pPr>
      <w:r w:rsidRPr="00451956">
        <w:rPr>
          <w:rFonts w:ascii="TimesNewRomanPSMT" w:hAnsi="TimesNewRomanPSMT" w:cs="TimesNewRomanPSMT"/>
          <w:szCs w:val="24"/>
        </w:rPr>
        <w:t>įsipareigojimai;</w:t>
      </w:r>
    </w:p>
    <w:p w14:paraId="0E2CAAAB" w14:textId="77777777" w:rsidR="00451956" w:rsidRPr="00451956" w:rsidRDefault="00451956" w:rsidP="00451956">
      <w:pPr>
        <w:numPr>
          <w:ilvl w:val="1"/>
          <w:numId w:val="2"/>
        </w:numPr>
        <w:tabs>
          <w:tab w:val="left" w:pos="1298"/>
          <w:tab w:val="num" w:pos="1440"/>
        </w:tabs>
        <w:spacing w:line="276" w:lineRule="auto"/>
        <w:ind w:left="0" w:firstLine="720"/>
        <w:jc w:val="both"/>
        <w:rPr>
          <w:rFonts w:ascii="TimesNewRomanPSMT" w:hAnsi="TimesNewRomanPSMT" w:cs="TimesNewRomanPSMT"/>
          <w:szCs w:val="24"/>
        </w:rPr>
      </w:pPr>
      <w:r w:rsidRPr="00451956">
        <w:rPr>
          <w:rFonts w:ascii="TimesNewRomanPSMT" w:hAnsi="TimesNewRomanPSMT" w:cs="TimesNewRomanPSMT"/>
          <w:szCs w:val="24"/>
        </w:rPr>
        <w:t>pajamos;</w:t>
      </w:r>
    </w:p>
    <w:p w14:paraId="629C0DE1" w14:textId="77777777" w:rsidR="00451956" w:rsidRPr="00451956" w:rsidRDefault="00451956" w:rsidP="00451956">
      <w:pPr>
        <w:numPr>
          <w:ilvl w:val="1"/>
          <w:numId w:val="2"/>
        </w:numPr>
        <w:tabs>
          <w:tab w:val="left" w:pos="1298"/>
          <w:tab w:val="num" w:pos="1440"/>
        </w:tabs>
        <w:spacing w:line="276" w:lineRule="auto"/>
        <w:ind w:left="0" w:firstLine="720"/>
        <w:jc w:val="both"/>
        <w:rPr>
          <w:rFonts w:ascii="TimesNewRomanPSMT" w:hAnsi="TimesNewRomanPSMT" w:cs="TimesNewRomanPSMT"/>
          <w:szCs w:val="24"/>
        </w:rPr>
      </w:pPr>
      <w:r w:rsidRPr="00451956">
        <w:rPr>
          <w:rFonts w:ascii="TimesNewRomanPSMT" w:hAnsi="TimesNewRomanPSMT" w:cs="TimesNewRomanPSMT"/>
          <w:szCs w:val="24"/>
        </w:rPr>
        <w:t>sąnaudos;</w:t>
      </w:r>
    </w:p>
    <w:p w14:paraId="17CD4D94" w14:textId="77777777" w:rsidR="00451956" w:rsidRPr="00451956" w:rsidRDefault="00451956" w:rsidP="00451956">
      <w:pPr>
        <w:numPr>
          <w:ilvl w:val="1"/>
          <w:numId w:val="2"/>
        </w:numPr>
        <w:tabs>
          <w:tab w:val="left" w:pos="1298"/>
          <w:tab w:val="num" w:pos="1440"/>
        </w:tabs>
        <w:spacing w:line="276" w:lineRule="auto"/>
        <w:ind w:left="0" w:firstLine="720"/>
        <w:jc w:val="both"/>
        <w:rPr>
          <w:rFonts w:ascii="TimesNewRomanPSMT" w:hAnsi="TimesNewRomanPSMT" w:cs="TimesNewRomanPSMT"/>
          <w:szCs w:val="24"/>
        </w:rPr>
      </w:pPr>
      <w:r w:rsidRPr="00451956">
        <w:rPr>
          <w:rFonts w:ascii="TimesNewRomanPSMT" w:hAnsi="TimesNewRomanPSMT" w:cs="TimesNewRomanPSMT"/>
          <w:szCs w:val="24"/>
        </w:rPr>
        <w:t>pinigų srautai.</w:t>
      </w:r>
    </w:p>
    <w:p w14:paraId="2BABB68A" w14:textId="1F3035F1" w:rsidR="00A05A60" w:rsidRDefault="00A05A60" w:rsidP="00451956">
      <w:pPr>
        <w:tabs>
          <w:tab w:val="left" w:pos="1298"/>
        </w:tabs>
        <w:spacing w:line="276" w:lineRule="auto"/>
      </w:pPr>
    </w:p>
    <w:p w14:paraId="17921600" w14:textId="77777777" w:rsidR="00A05A60" w:rsidRPr="00451956" w:rsidRDefault="00A05A60" w:rsidP="00451956">
      <w:pPr>
        <w:tabs>
          <w:tab w:val="left" w:pos="1298"/>
        </w:tabs>
        <w:spacing w:line="276" w:lineRule="auto"/>
      </w:pPr>
    </w:p>
    <w:p w14:paraId="7D43E3B1" w14:textId="15B65330" w:rsidR="00A05A60" w:rsidRDefault="00A05A60" w:rsidP="00451956">
      <w:pPr>
        <w:keepNext/>
        <w:tabs>
          <w:tab w:val="left" w:pos="1298"/>
        </w:tabs>
        <w:spacing w:after="120" w:line="276" w:lineRule="auto"/>
        <w:jc w:val="center"/>
        <w:outlineLvl w:val="1"/>
        <w:rPr>
          <w:rFonts w:cs="Times New Roman"/>
          <w:b/>
          <w:bCs/>
          <w:szCs w:val="24"/>
        </w:rPr>
      </w:pPr>
      <w:bookmarkStart w:id="82" w:name="_Toc200345205"/>
      <w:bookmarkStart w:id="83" w:name="_Toc233421917"/>
    </w:p>
    <w:p w14:paraId="3A31CC82" w14:textId="77777777" w:rsidR="008630E9" w:rsidRDefault="008630E9" w:rsidP="00451956">
      <w:pPr>
        <w:keepNext/>
        <w:tabs>
          <w:tab w:val="left" w:pos="1298"/>
        </w:tabs>
        <w:spacing w:after="120" w:line="276" w:lineRule="auto"/>
        <w:jc w:val="center"/>
        <w:outlineLvl w:val="1"/>
        <w:rPr>
          <w:rFonts w:cs="Times New Roman"/>
          <w:b/>
          <w:bCs/>
          <w:szCs w:val="24"/>
        </w:rPr>
      </w:pPr>
    </w:p>
    <w:p w14:paraId="2D91644A" w14:textId="79CCA062" w:rsidR="00451956" w:rsidRPr="00451956" w:rsidRDefault="00451956" w:rsidP="00451956">
      <w:pPr>
        <w:keepNext/>
        <w:tabs>
          <w:tab w:val="left" w:pos="1298"/>
        </w:tabs>
        <w:spacing w:after="120" w:line="276" w:lineRule="auto"/>
        <w:jc w:val="center"/>
        <w:outlineLvl w:val="1"/>
        <w:rPr>
          <w:rFonts w:cs="Times New Roman"/>
          <w:b/>
          <w:bCs/>
          <w:szCs w:val="24"/>
        </w:rPr>
      </w:pPr>
      <w:r w:rsidRPr="00451956">
        <w:rPr>
          <w:rFonts w:cs="Times New Roman"/>
          <w:b/>
          <w:bCs/>
          <w:szCs w:val="24"/>
        </w:rPr>
        <w:t>Apskaitos politikos keitimas</w:t>
      </w:r>
      <w:bookmarkEnd w:id="81"/>
      <w:bookmarkEnd w:id="82"/>
      <w:bookmarkEnd w:id="83"/>
    </w:p>
    <w:p w14:paraId="3DC12447" w14:textId="77777777" w:rsidR="00451956" w:rsidRPr="00451956" w:rsidRDefault="00451956" w:rsidP="00451956">
      <w:pPr>
        <w:tabs>
          <w:tab w:val="left" w:pos="1298"/>
        </w:tabs>
        <w:spacing w:line="276" w:lineRule="auto"/>
      </w:pPr>
    </w:p>
    <w:p w14:paraId="359996E1" w14:textId="77777777" w:rsidR="00451956" w:rsidRPr="00451956" w:rsidRDefault="00451956" w:rsidP="00451956">
      <w:pPr>
        <w:numPr>
          <w:ilvl w:val="0"/>
          <w:numId w:val="2"/>
        </w:numPr>
        <w:tabs>
          <w:tab w:val="clear" w:pos="4188"/>
          <w:tab w:val="num" w:pos="360"/>
          <w:tab w:val="num" w:pos="1260"/>
          <w:tab w:val="left" w:pos="1298"/>
        </w:tabs>
        <w:spacing w:line="276" w:lineRule="auto"/>
        <w:ind w:left="0" w:firstLine="720"/>
        <w:jc w:val="both"/>
        <w:rPr>
          <w:rFonts w:cs="Times New Roman"/>
          <w:szCs w:val="24"/>
        </w:rPr>
      </w:pPr>
      <w:bookmarkStart w:id="84" w:name="_Ref184793116"/>
      <w:bookmarkStart w:id="85" w:name="_Ref150008332"/>
      <w:r w:rsidRPr="00451956">
        <w:t xml:space="preserve">Apskaitos politikos keitimu laikomas ūkinių operacijų bei ūkinių įvykių pripažinimo apskaitoje pakeitimas bei dėl šio pakeitimo atsirandantis turto, įsipareigojimų, finansavimo sumų, pajamų ir (arba) sąnaudų vertinimo apskaitoje pokytis. </w:t>
      </w:r>
    </w:p>
    <w:p w14:paraId="603DFC78" w14:textId="77777777" w:rsidR="00451956" w:rsidRPr="00451956" w:rsidRDefault="00451956" w:rsidP="00451956">
      <w:pPr>
        <w:numPr>
          <w:ilvl w:val="0"/>
          <w:numId w:val="2"/>
        </w:numPr>
        <w:tabs>
          <w:tab w:val="clear" w:pos="4188"/>
          <w:tab w:val="num" w:pos="360"/>
          <w:tab w:val="num" w:pos="1260"/>
          <w:tab w:val="left" w:pos="1298"/>
        </w:tabs>
        <w:spacing w:line="276" w:lineRule="auto"/>
        <w:ind w:left="0" w:firstLine="720"/>
        <w:jc w:val="both"/>
        <w:rPr>
          <w:rFonts w:cs="Times New Roman"/>
          <w:szCs w:val="24"/>
        </w:rPr>
      </w:pPr>
      <w:r w:rsidRPr="00451956">
        <w:t xml:space="preserve">Apskaitos politika keičiama dėl VSAFAS pasikeitimo arba jei kiti teisės aktai to reikalauja. </w:t>
      </w:r>
      <w:bookmarkEnd w:id="84"/>
    </w:p>
    <w:bookmarkEnd w:id="85"/>
    <w:p w14:paraId="450B736A" w14:textId="77777777" w:rsidR="00451956" w:rsidRPr="00451956" w:rsidRDefault="00451956" w:rsidP="00451956">
      <w:pPr>
        <w:numPr>
          <w:ilvl w:val="0"/>
          <w:numId w:val="2"/>
        </w:numPr>
        <w:tabs>
          <w:tab w:val="clear" w:pos="4188"/>
          <w:tab w:val="num" w:pos="360"/>
          <w:tab w:val="num" w:pos="1260"/>
          <w:tab w:val="left" w:pos="1298"/>
        </w:tabs>
        <w:spacing w:line="276" w:lineRule="auto"/>
        <w:ind w:left="0" w:firstLine="720"/>
        <w:jc w:val="both"/>
      </w:pPr>
      <w:r w:rsidRPr="00451956">
        <w:t xml:space="preserve">Apskaitos politikos keitimas finansinėse ataskaitose rodomas taikant retrospektyvinį būdą, t. y. nauja apskaitos politika taikoma taip, lyg ja visada būtų buvusi vadovaujamasi, todėl pakeista apskaitos politika yra pritaikoma ūkinėms operacijoms ir ūkiniams įvykiams nuo jų atsiradimo. </w:t>
      </w:r>
    </w:p>
    <w:p w14:paraId="635791F5" w14:textId="77777777" w:rsidR="00451956" w:rsidRPr="00451956" w:rsidRDefault="00451956" w:rsidP="00451956">
      <w:pPr>
        <w:numPr>
          <w:ilvl w:val="0"/>
          <w:numId w:val="2"/>
        </w:numPr>
        <w:tabs>
          <w:tab w:val="clear" w:pos="4188"/>
          <w:tab w:val="num" w:pos="360"/>
          <w:tab w:val="num" w:pos="1260"/>
          <w:tab w:val="left" w:pos="1298"/>
        </w:tabs>
        <w:spacing w:line="276" w:lineRule="auto"/>
        <w:ind w:left="0" w:firstLine="720"/>
        <w:jc w:val="both"/>
      </w:pPr>
      <w:r w:rsidRPr="00451956">
        <w:t xml:space="preserve">Poveikis, kurį daro apskaitos politikos keitimas einamojo ataskaitinio laikotarpio informacijai ir ankstesnių ataskaitinių laikotarpių informacijai, registruojamas apskaitoje tą ataskaitinį laikotarpį, kurį apskaitos politika pakeičiama, ir rodomas einamojo ataskaitinio laikotarpio veiklos rezultatų ataskaitos eilutėje </w:t>
      </w:r>
      <w:r w:rsidRPr="00451956">
        <w:rPr>
          <w:rFonts w:ascii="TimesNewRoman" w:hAnsi="TimesNewRoman"/>
        </w:rPr>
        <w:t xml:space="preserve">„Apskaitos politikos keitimo bei esminių klaidų taisymo įtaka“. Šioje eilutėje yra rodoma </w:t>
      </w:r>
      <w:r w:rsidRPr="00451956">
        <w:t>apskaitos politikos keitimo poveikio dalis, susijusi su ankstesniais ataskaitiniais laikotarpiais</w:t>
      </w:r>
      <w:r w:rsidRPr="00451956">
        <w:rPr>
          <w:rFonts w:ascii="TimesNewRoman" w:hAnsi="TimesNewRoman"/>
        </w:rPr>
        <w:t>.</w:t>
      </w:r>
      <w:r w:rsidRPr="00451956">
        <w:t xml:space="preserve"> Lyginamoji ankstesnio ataskaitinio laikotarpio informacija finansinėse ataskaitose pateikiama tokia, kokia buvo, t. y. nėra koreguojama. Su apskaitos politikos keitimu susijusi informacija pateikiama finansinių ataskaitų aiškinamajame rašte.</w:t>
      </w:r>
    </w:p>
    <w:p w14:paraId="318745C9" w14:textId="77777777" w:rsidR="00451956" w:rsidRPr="00451956" w:rsidRDefault="00451956" w:rsidP="00451956">
      <w:pPr>
        <w:tabs>
          <w:tab w:val="left" w:pos="1298"/>
        </w:tabs>
        <w:spacing w:line="276" w:lineRule="auto"/>
      </w:pPr>
    </w:p>
    <w:p w14:paraId="2D8D0B6F" w14:textId="77777777" w:rsidR="00451956" w:rsidRPr="00451956" w:rsidRDefault="00451956" w:rsidP="00451956">
      <w:pPr>
        <w:keepNext/>
        <w:tabs>
          <w:tab w:val="left" w:pos="1298"/>
        </w:tabs>
        <w:spacing w:after="120" w:line="276" w:lineRule="auto"/>
        <w:jc w:val="center"/>
        <w:outlineLvl w:val="1"/>
        <w:rPr>
          <w:rFonts w:cs="Times New Roman"/>
          <w:b/>
          <w:bCs/>
          <w:szCs w:val="24"/>
        </w:rPr>
      </w:pPr>
      <w:bookmarkStart w:id="86" w:name="_Toc200345206"/>
      <w:bookmarkStart w:id="87" w:name="_Toc233421918"/>
      <w:r w:rsidRPr="00451956">
        <w:rPr>
          <w:rFonts w:cs="Times New Roman"/>
          <w:b/>
          <w:bCs/>
          <w:szCs w:val="24"/>
        </w:rPr>
        <w:t>Apskaitinių įverčių keitimas</w:t>
      </w:r>
      <w:bookmarkEnd w:id="86"/>
      <w:bookmarkEnd w:id="87"/>
    </w:p>
    <w:p w14:paraId="16FC6BE1" w14:textId="77777777" w:rsidR="00451956" w:rsidRPr="00451956" w:rsidRDefault="00451956" w:rsidP="00451956">
      <w:pPr>
        <w:tabs>
          <w:tab w:val="left" w:pos="1298"/>
        </w:tabs>
        <w:spacing w:line="276" w:lineRule="auto"/>
      </w:pPr>
    </w:p>
    <w:p w14:paraId="6CC3664F" w14:textId="77777777" w:rsidR="00451956" w:rsidRPr="00451956" w:rsidRDefault="00451956" w:rsidP="00451956">
      <w:pPr>
        <w:numPr>
          <w:ilvl w:val="0"/>
          <w:numId w:val="2"/>
        </w:numPr>
        <w:tabs>
          <w:tab w:val="clear" w:pos="4188"/>
          <w:tab w:val="num" w:pos="360"/>
          <w:tab w:val="num" w:pos="1260"/>
          <w:tab w:val="left" w:pos="1298"/>
        </w:tabs>
        <w:spacing w:line="276" w:lineRule="auto"/>
        <w:ind w:left="0" w:firstLine="720"/>
        <w:jc w:val="both"/>
      </w:pPr>
      <w:r w:rsidRPr="00451956">
        <w:t>Apskaitinių įverčių keitimo apskaitos reikalavimai nustatyti 7-ajame VSAFAS „Apskaitos politikos, apskaitinių įverčių keitimas ir klaidų taisymas“.</w:t>
      </w:r>
    </w:p>
    <w:p w14:paraId="1F38E128" w14:textId="77777777" w:rsidR="00451956" w:rsidRPr="00451956" w:rsidRDefault="00451956" w:rsidP="00451956">
      <w:pPr>
        <w:numPr>
          <w:ilvl w:val="0"/>
          <w:numId w:val="2"/>
        </w:numPr>
        <w:tabs>
          <w:tab w:val="clear" w:pos="4188"/>
          <w:tab w:val="num" w:pos="360"/>
          <w:tab w:val="num" w:pos="1260"/>
          <w:tab w:val="left" w:pos="1298"/>
        </w:tabs>
        <w:spacing w:line="276" w:lineRule="auto"/>
        <w:ind w:left="0" w:firstLine="720"/>
        <w:jc w:val="both"/>
        <w:rPr>
          <w:rFonts w:cs="Times New Roman"/>
          <w:szCs w:val="24"/>
        </w:rPr>
      </w:pPr>
      <w:r w:rsidRPr="00451956">
        <w:rPr>
          <w:rFonts w:cs="Times New Roman"/>
          <w:szCs w:val="24"/>
        </w:rPr>
        <w:t>IAENF apskaitoje gali būti registruojami tokie įverčiai:</w:t>
      </w:r>
    </w:p>
    <w:p w14:paraId="64228A21" w14:textId="77777777" w:rsidR="00451956" w:rsidRPr="00451956" w:rsidRDefault="00451956" w:rsidP="00451956">
      <w:pPr>
        <w:numPr>
          <w:ilvl w:val="1"/>
          <w:numId w:val="2"/>
        </w:numPr>
        <w:tabs>
          <w:tab w:val="left" w:pos="1298"/>
          <w:tab w:val="num" w:pos="1440"/>
        </w:tabs>
        <w:spacing w:line="276" w:lineRule="auto"/>
        <w:ind w:left="986" w:hanging="249"/>
        <w:jc w:val="both"/>
        <w:rPr>
          <w:rFonts w:cs="Times New Roman"/>
          <w:szCs w:val="24"/>
        </w:rPr>
      </w:pPr>
      <w:r w:rsidRPr="00451956">
        <w:rPr>
          <w:rFonts w:cs="Times New Roman"/>
          <w:szCs w:val="24"/>
        </w:rPr>
        <w:t>turto nuvertėjimas;</w:t>
      </w:r>
    </w:p>
    <w:p w14:paraId="1C1A0296" w14:textId="77777777" w:rsidR="00451956" w:rsidRPr="00451956" w:rsidRDefault="00451956" w:rsidP="00451956">
      <w:pPr>
        <w:numPr>
          <w:ilvl w:val="1"/>
          <w:numId w:val="2"/>
        </w:numPr>
        <w:tabs>
          <w:tab w:val="left" w:pos="1298"/>
          <w:tab w:val="num" w:pos="1440"/>
        </w:tabs>
        <w:spacing w:line="276" w:lineRule="auto"/>
        <w:ind w:left="986" w:hanging="249"/>
        <w:jc w:val="both"/>
        <w:rPr>
          <w:rFonts w:cs="Times New Roman"/>
          <w:szCs w:val="24"/>
        </w:rPr>
      </w:pPr>
      <w:r w:rsidRPr="00451956">
        <w:rPr>
          <w:rFonts w:cs="Times New Roman"/>
          <w:szCs w:val="24"/>
        </w:rPr>
        <w:t>sukauptos pajamos;</w:t>
      </w:r>
    </w:p>
    <w:p w14:paraId="2CE1EBDE" w14:textId="77777777" w:rsidR="00451956" w:rsidRPr="00451956" w:rsidRDefault="00451956" w:rsidP="00451956">
      <w:pPr>
        <w:numPr>
          <w:ilvl w:val="1"/>
          <w:numId w:val="2"/>
        </w:numPr>
        <w:tabs>
          <w:tab w:val="left" w:pos="1298"/>
          <w:tab w:val="num" w:pos="1440"/>
        </w:tabs>
        <w:spacing w:line="276" w:lineRule="auto"/>
        <w:ind w:left="986" w:hanging="249"/>
        <w:jc w:val="both"/>
        <w:rPr>
          <w:rFonts w:cs="Times New Roman"/>
          <w:szCs w:val="24"/>
        </w:rPr>
      </w:pPr>
      <w:r w:rsidRPr="00451956">
        <w:rPr>
          <w:rFonts w:cs="Times New Roman"/>
          <w:szCs w:val="24"/>
        </w:rPr>
        <w:t>atidėjiniai;</w:t>
      </w:r>
    </w:p>
    <w:p w14:paraId="7222600A" w14:textId="77777777" w:rsidR="00451956" w:rsidRPr="00451956" w:rsidRDefault="00451956" w:rsidP="00451956">
      <w:pPr>
        <w:numPr>
          <w:ilvl w:val="1"/>
          <w:numId w:val="2"/>
        </w:numPr>
        <w:tabs>
          <w:tab w:val="left" w:pos="1298"/>
          <w:tab w:val="num" w:pos="1440"/>
        </w:tabs>
        <w:spacing w:line="276" w:lineRule="auto"/>
        <w:ind w:left="986" w:hanging="249"/>
        <w:jc w:val="both"/>
        <w:rPr>
          <w:rFonts w:cs="Times New Roman"/>
          <w:szCs w:val="24"/>
        </w:rPr>
      </w:pPr>
      <w:r w:rsidRPr="00451956">
        <w:rPr>
          <w:rFonts w:cs="Times New Roman"/>
          <w:szCs w:val="24"/>
        </w:rPr>
        <w:t>sukauptos sąnaudos;</w:t>
      </w:r>
    </w:p>
    <w:p w14:paraId="2BCB48E9" w14:textId="77777777" w:rsidR="00451956" w:rsidRPr="00451956" w:rsidRDefault="00451956" w:rsidP="00451956">
      <w:pPr>
        <w:numPr>
          <w:ilvl w:val="1"/>
          <w:numId w:val="2"/>
        </w:numPr>
        <w:tabs>
          <w:tab w:val="left" w:pos="1298"/>
          <w:tab w:val="num" w:pos="1440"/>
        </w:tabs>
        <w:spacing w:line="276" w:lineRule="auto"/>
        <w:ind w:left="986" w:hanging="249"/>
        <w:jc w:val="both"/>
        <w:rPr>
          <w:rFonts w:cs="Times New Roman"/>
          <w:szCs w:val="24"/>
        </w:rPr>
      </w:pPr>
      <w:r w:rsidRPr="00451956">
        <w:rPr>
          <w:rFonts w:cs="Times New Roman"/>
          <w:szCs w:val="24"/>
        </w:rPr>
        <w:t>amortizuotos savikainos pasikeitimas;</w:t>
      </w:r>
    </w:p>
    <w:p w14:paraId="30B8CE10" w14:textId="77777777" w:rsidR="00451956" w:rsidRPr="00451956" w:rsidRDefault="00451956" w:rsidP="00451956">
      <w:pPr>
        <w:numPr>
          <w:ilvl w:val="1"/>
          <w:numId w:val="2"/>
        </w:numPr>
        <w:tabs>
          <w:tab w:val="left" w:pos="1298"/>
          <w:tab w:val="num" w:pos="1440"/>
        </w:tabs>
        <w:spacing w:line="276" w:lineRule="auto"/>
        <w:ind w:left="986" w:hanging="249"/>
        <w:jc w:val="both"/>
        <w:rPr>
          <w:rFonts w:cs="Times New Roman"/>
          <w:i/>
          <w:szCs w:val="24"/>
        </w:rPr>
      </w:pPr>
      <w:r w:rsidRPr="00451956">
        <w:rPr>
          <w:rFonts w:cs="Times New Roman"/>
          <w:szCs w:val="24"/>
        </w:rPr>
        <w:t>kiti įverčiai</w:t>
      </w:r>
      <w:r w:rsidRPr="00451956">
        <w:rPr>
          <w:rFonts w:cs="Times New Roman"/>
          <w:i/>
          <w:szCs w:val="24"/>
        </w:rPr>
        <w:t>.</w:t>
      </w:r>
    </w:p>
    <w:p w14:paraId="3CC6173A" w14:textId="77777777" w:rsidR="00451956" w:rsidRPr="00451956" w:rsidRDefault="00451956" w:rsidP="00451956">
      <w:pPr>
        <w:numPr>
          <w:ilvl w:val="0"/>
          <w:numId w:val="2"/>
        </w:numPr>
        <w:tabs>
          <w:tab w:val="clear" w:pos="4188"/>
          <w:tab w:val="num" w:pos="360"/>
          <w:tab w:val="num" w:pos="1260"/>
          <w:tab w:val="left" w:pos="1298"/>
        </w:tabs>
        <w:spacing w:line="276" w:lineRule="auto"/>
        <w:ind w:left="0" w:firstLine="720"/>
        <w:jc w:val="both"/>
        <w:rPr>
          <w:rFonts w:cs="Times New Roman"/>
          <w:szCs w:val="24"/>
        </w:rPr>
      </w:pPr>
      <w:r w:rsidRPr="00451956">
        <w:rPr>
          <w:rFonts w:cs="Times New Roman"/>
          <w:szCs w:val="24"/>
        </w:rPr>
        <w:t>Apskaitiniai įverčiai yra peržiūrimi tuo atveju, jei pasikeičia aplinkybės ir prielaidos, kuriomis buvo remtasi atliekant įvertinimą, arba atsiranda papildomos informacijos ar kitų įvykių, darančių įtaką įverčio apskaičiavimui (pavyzdžiui, keičiasi palūkanų norma, pagal kurią skaičiuojama finansinių įsipareigojimų amortizuota savikaina).</w:t>
      </w:r>
    </w:p>
    <w:p w14:paraId="1675D6A0" w14:textId="77777777" w:rsidR="00451956" w:rsidRPr="00451956" w:rsidRDefault="00451956" w:rsidP="00451956">
      <w:pPr>
        <w:numPr>
          <w:ilvl w:val="0"/>
          <w:numId w:val="2"/>
        </w:numPr>
        <w:tabs>
          <w:tab w:val="clear" w:pos="4188"/>
          <w:tab w:val="num" w:pos="360"/>
          <w:tab w:val="num" w:pos="1260"/>
          <w:tab w:val="left" w:pos="1298"/>
        </w:tabs>
        <w:spacing w:line="276" w:lineRule="auto"/>
        <w:ind w:left="0" w:firstLine="720"/>
        <w:jc w:val="both"/>
        <w:rPr>
          <w:rFonts w:cs="Times New Roman"/>
          <w:szCs w:val="24"/>
        </w:rPr>
      </w:pPr>
      <w:r w:rsidRPr="00451956">
        <w:rPr>
          <w:rFonts w:cs="Times New Roman"/>
          <w:szCs w:val="24"/>
        </w:rPr>
        <w:t>Apskaitiniams įverčiams įvertinti ir keisti, jei reikia, sudaromos atitinkamos komisijos (ši funkcija gali būti priskirta inventorizacijos komisijai arba atsakingam darbuotojui), kurios yra atsakingos už informacijos analizę, tinkamą aplinkybių ir jų poveikio nustatymą ir įverčių pakeitimą.</w:t>
      </w:r>
    </w:p>
    <w:p w14:paraId="41B787B3" w14:textId="77777777" w:rsidR="00451956" w:rsidRPr="00451956" w:rsidRDefault="00451956" w:rsidP="00451956">
      <w:pPr>
        <w:numPr>
          <w:ilvl w:val="0"/>
          <w:numId w:val="2"/>
        </w:numPr>
        <w:tabs>
          <w:tab w:val="clear" w:pos="4188"/>
          <w:tab w:val="num" w:pos="360"/>
          <w:tab w:val="left" w:pos="1298"/>
        </w:tabs>
        <w:spacing w:line="276" w:lineRule="auto"/>
        <w:ind w:left="0" w:firstLine="720"/>
        <w:jc w:val="both"/>
        <w:rPr>
          <w:rFonts w:cs="Times New Roman"/>
          <w:szCs w:val="24"/>
        </w:rPr>
      </w:pPr>
      <w:r w:rsidRPr="00451956">
        <w:rPr>
          <w:rFonts w:cs="Times New Roman"/>
          <w:szCs w:val="24"/>
        </w:rPr>
        <w:t>Apskaitinio įverčio pasikeitimo poveikis nustatant grynąjį perviršį ar deficitą priskiriamas:</w:t>
      </w:r>
    </w:p>
    <w:p w14:paraId="38DDB41F" w14:textId="77777777" w:rsidR="00451956" w:rsidRPr="00451956" w:rsidRDefault="00451956" w:rsidP="00451956">
      <w:pPr>
        <w:numPr>
          <w:ilvl w:val="1"/>
          <w:numId w:val="2"/>
        </w:numPr>
        <w:tabs>
          <w:tab w:val="left" w:pos="1298"/>
          <w:tab w:val="left" w:pos="1418"/>
        </w:tabs>
        <w:spacing w:line="276" w:lineRule="auto"/>
        <w:ind w:left="0" w:firstLine="720"/>
        <w:jc w:val="both"/>
        <w:rPr>
          <w:rFonts w:cs="Times New Roman"/>
          <w:szCs w:val="24"/>
        </w:rPr>
      </w:pPr>
      <w:bookmarkStart w:id="88" w:name="_Toc54151469"/>
      <w:r w:rsidRPr="00451956">
        <w:rPr>
          <w:rFonts w:cs="Times New Roman"/>
          <w:szCs w:val="24"/>
        </w:rPr>
        <w:t>laikotarpiui, kada įvyko pasikeitimas, jei jis turi įtakos tik tam laikotarpiui;</w:t>
      </w:r>
      <w:bookmarkEnd w:id="88"/>
    </w:p>
    <w:p w14:paraId="2C53D7CA" w14:textId="77777777" w:rsidR="00451956" w:rsidRPr="00451956" w:rsidRDefault="00451956" w:rsidP="00451956">
      <w:pPr>
        <w:numPr>
          <w:ilvl w:val="1"/>
          <w:numId w:val="2"/>
        </w:numPr>
        <w:tabs>
          <w:tab w:val="left" w:pos="1298"/>
          <w:tab w:val="left" w:pos="1418"/>
        </w:tabs>
        <w:spacing w:line="276" w:lineRule="auto"/>
        <w:ind w:left="0" w:firstLine="720"/>
        <w:jc w:val="both"/>
        <w:rPr>
          <w:rFonts w:cs="Times New Roman"/>
          <w:szCs w:val="24"/>
        </w:rPr>
      </w:pPr>
      <w:bookmarkStart w:id="89" w:name="_Toc54151470"/>
      <w:r w:rsidRPr="00451956">
        <w:rPr>
          <w:rFonts w:cs="Times New Roman"/>
          <w:szCs w:val="24"/>
        </w:rPr>
        <w:t>laikotarpiui, kada įvyko pasikeitimas, ir vėlesniems laikotarpiams, jei pasikeitimas veikia ir juos.</w:t>
      </w:r>
      <w:bookmarkEnd w:id="89"/>
    </w:p>
    <w:p w14:paraId="278A21A6" w14:textId="77777777" w:rsidR="00451956" w:rsidRPr="00451956" w:rsidRDefault="00451956" w:rsidP="00451956">
      <w:pPr>
        <w:numPr>
          <w:ilvl w:val="0"/>
          <w:numId w:val="2"/>
        </w:numPr>
        <w:tabs>
          <w:tab w:val="clear" w:pos="4188"/>
          <w:tab w:val="num" w:pos="360"/>
          <w:tab w:val="num" w:pos="1260"/>
          <w:tab w:val="left" w:pos="1298"/>
        </w:tabs>
        <w:spacing w:line="276" w:lineRule="auto"/>
        <w:ind w:left="0" w:firstLine="720"/>
        <w:jc w:val="both"/>
        <w:rPr>
          <w:rFonts w:cs="Times New Roman"/>
          <w:szCs w:val="24"/>
        </w:rPr>
      </w:pPr>
      <w:r w:rsidRPr="00451956">
        <w:rPr>
          <w:rFonts w:cs="Times New Roman"/>
          <w:szCs w:val="24"/>
        </w:rPr>
        <w:lastRenderedPageBreak/>
        <w:t>Apskaitinio įverčio pasikeitimo rezultatas įtraukiamas į tą veiklos rezultatų ataskaitos eilutę, kurioje buvo rodomas pirminis įvertis, nebent pasikeitimas ataskaitiniu laikotarpiu turi įtakos tik finansinės būklės ataskaitos straipsniams. Informacija, susijusi su apskaitinio įverčio pakeitimu, pateikiama aiškinamajame rašte.</w:t>
      </w:r>
    </w:p>
    <w:p w14:paraId="793998CB" w14:textId="77777777" w:rsidR="00451956" w:rsidRPr="00451956" w:rsidRDefault="00451956" w:rsidP="00451956">
      <w:pPr>
        <w:tabs>
          <w:tab w:val="left" w:pos="1298"/>
        </w:tabs>
        <w:spacing w:line="276" w:lineRule="auto"/>
      </w:pPr>
    </w:p>
    <w:p w14:paraId="31A7AC7E" w14:textId="77777777" w:rsidR="00451956" w:rsidRPr="00451956" w:rsidRDefault="00451956" w:rsidP="00451956">
      <w:pPr>
        <w:keepNext/>
        <w:tabs>
          <w:tab w:val="left" w:pos="1298"/>
        </w:tabs>
        <w:spacing w:after="120" w:line="276" w:lineRule="auto"/>
        <w:jc w:val="center"/>
        <w:outlineLvl w:val="1"/>
        <w:rPr>
          <w:rFonts w:cs="Times New Roman"/>
          <w:b/>
          <w:bCs/>
          <w:szCs w:val="24"/>
        </w:rPr>
      </w:pPr>
      <w:bookmarkStart w:id="90" w:name="_Toc200345207"/>
      <w:bookmarkStart w:id="91" w:name="_Toc233421919"/>
      <w:r w:rsidRPr="00451956">
        <w:rPr>
          <w:rFonts w:cs="Times New Roman"/>
          <w:b/>
          <w:bCs/>
          <w:szCs w:val="24"/>
        </w:rPr>
        <w:t>Apskaitos klaidų taisymas</w:t>
      </w:r>
      <w:bookmarkEnd w:id="90"/>
      <w:bookmarkEnd w:id="91"/>
    </w:p>
    <w:p w14:paraId="08912449" w14:textId="77777777" w:rsidR="00451956" w:rsidRPr="00451956" w:rsidRDefault="00451956" w:rsidP="00451956">
      <w:pPr>
        <w:tabs>
          <w:tab w:val="left" w:pos="1298"/>
        </w:tabs>
        <w:spacing w:line="276" w:lineRule="auto"/>
      </w:pPr>
    </w:p>
    <w:p w14:paraId="4329B513" w14:textId="77777777" w:rsidR="00451956" w:rsidRPr="00451956" w:rsidRDefault="00451956" w:rsidP="00451956">
      <w:pPr>
        <w:numPr>
          <w:ilvl w:val="0"/>
          <w:numId w:val="2"/>
        </w:numPr>
        <w:tabs>
          <w:tab w:val="clear" w:pos="4188"/>
          <w:tab w:val="num" w:pos="360"/>
          <w:tab w:val="num" w:pos="1260"/>
          <w:tab w:val="left" w:pos="1298"/>
        </w:tabs>
        <w:spacing w:line="276" w:lineRule="auto"/>
        <w:ind w:left="0" w:firstLine="720"/>
        <w:jc w:val="both"/>
      </w:pPr>
      <w:bookmarkStart w:id="92" w:name="_Ref155597380"/>
      <w:r w:rsidRPr="00451956">
        <w:t>Ataskaitiniu laikotarpiu gali būti pastebėta apskaitos klaidų, padarytų praėjusių ataskaitinių laikotarpių finansinėse ataskaitose. Apskaitos klaidos yra skirstomos į esmines ir neesmines.</w:t>
      </w:r>
    </w:p>
    <w:p w14:paraId="3214685A" w14:textId="77777777" w:rsidR="00451956" w:rsidRPr="00451956" w:rsidRDefault="00451956" w:rsidP="00451956">
      <w:pPr>
        <w:numPr>
          <w:ilvl w:val="0"/>
          <w:numId w:val="2"/>
        </w:numPr>
        <w:tabs>
          <w:tab w:val="clear" w:pos="4188"/>
          <w:tab w:val="num" w:pos="360"/>
          <w:tab w:val="num" w:pos="1260"/>
          <w:tab w:val="left" w:pos="1298"/>
        </w:tabs>
        <w:spacing w:line="276" w:lineRule="auto"/>
        <w:ind w:left="0" w:firstLine="720"/>
        <w:jc w:val="both"/>
      </w:pPr>
      <w:r w:rsidRPr="00451956">
        <w:t>Apskaitos klaida laikoma esmine apskaitos klaida, jei jos vertinė išraiška individualiai arba kartu su kitų to ataskaitinio laikotarpio klaidų vertinėmis išraiškomis yra didesnė nei 0,5 % per finansinius metus pripažintų IAENF pagrindinės veiklos pajamų sumos arba 0,25 % turto sumos.</w:t>
      </w:r>
    </w:p>
    <w:p w14:paraId="53F4255A" w14:textId="77777777" w:rsidR="00451956" w:rsidRPr="00451956" w:rsidRDefault="00451956" w:rsidP="00451956">
      <w:pPr>
        <w:numPr>
          <w:ilvl w:val="0"/>
          <w:numId w:val="2"/>
        </w:numPr>
        <w:tabs>
          <w:tab w:val="clear" w:pos="4188"/>
          <w:tab w:val="num" w:pos="360"/>
          <w:tab w:val="num" w:pos="1260"/>
          <w:tab w:val="left" w:pos="1298"/>
        </w:tabs>
        <w:spacing w:line="276" w:lineRule="auto"/>
        <w:ind w:left="0" w:firstLine="720"/>
        <w:jc w:val="both"/>
      </w:pPr>
      <w:bookmarkStart w:id="93" w:name="_Ref220916459"/>
      <w:r w:rsidRPr="00451956">
        <w:t>Esminės ir neesminės apskaitos klaidos taisomos einamojo ataskaitinio laikotarpio finansinėse ataskaitose. Apskaitos klaidų taisymo įtaka finansinėse ataskaitose rodoma taip:</w:t>
      </w:r>
      <w:bookmarkEnd w:id="93"/>
    </w:p>
    <w:p w14:paraId="5849D3AC" w14:textId="77777777" w:rsidR="00451956" w:rsidRPr="00451956" w:rsidRDefault="00451956" w:rsidP="00451956">
      <w:pPr>
        <w:numPr>
          <w:ilvl w:val="1"/>
          <w:numId w:val="2"/>
        </w:numPr>
        <w:tabs>
          <w:tab w:val="num" w:pos="1260"/>
          <w:tab w:val="left" w:pos="1298"/>
          <w:tab w:val="left" w:pos="1440"/>
        </w:tabs>
        <w:spacing w:line="276" w:lineRule="auto"/>
        <w:ind w:left="0" w:firstLine="720"/>
        <w:jc w:val="both"/>
      </w:pPr>
      <w:r w:rsidRPr="00451956">
        <w:t>jei apskaitos klaida nėra esminė, jos taisymas registruojamas toje pačioje sąskaitoje, kurioje buvo užregistruota klaidinga informacija, ir rodomas toje pačioje veiklos rezultatų ataskaitos eilutėje, kurioje buvo pateikta klaidinga informacija;</w:t>
      </w:r>
    </w:p>
    <w:p w14:paraId="234A4F7E" w14:textId="77777777" w:rsidR="00451956" w:rsidRPr="00451956" w:rsidRDefault="00451956" w:rsidP="00451956">
      <w:pPr>
        <w:numPr>
          <w:ilvl w:val="1"/>
          <w:numId w:val="2"/>
        </w:numPr>
        <w:tabs>
          <w:tab w:val="num" w:pos="1260"/>
          <w:tab w:val="left" w:pos="1298"/>
          <w:tab w:val="left" w:pos="1440"/>
        </w:tabs>
        <w:spacing w:line="276" w:lineRule="auto"/>
        <w:ind w:left="0" w:firstLine="720"/>
        <w:jc w:val="both"/>
      </w:pPr>
      <w:r w:rsidRPr="00451956">
        <w:t>jei apskaitos klaida esminė, jos taisymas registruojamas tam skirtoje sąskaitoje ir rodomas veiklos rezultatų ataskaitos eilutėje „Apskaitos politikos keitimo ir esminių apskaitos klaidų taisymo įtaka“. Lyginamoji ankstesniojo ataskaitinio laikotarpio finansinė informacija pateikiama tokia, kokia buvo, t. y. nekoreguojama. Su esminės klaidos taisymu susijusi informacija pateikiama aiškinamajame rašte.</w:t>
      </w:r>
    </w:p>
    <w:bookmarkEnd w:id="92"/>
    <w:p w14:paraId="74D85EBA" w14:textId="77777777" w:rsidR="00A84B6A" w:rsidRDefault="00A84B6A" w:rsidP="004927A6">
      <w:pPr>
        <w:tabs>
          <w:tab w:val="left" w:pos="1298"/>
        </w:tabs>
        <w:spacing w:line="276" w:lineRule="auto"/>
      </w:pPr>
    </w:p>
    <w:p w14:paraId="2BB6EA20" w14:textId="77777777" w:rsidR="00A84B6A" w:rsidRDefault="00A84B6A" w:rsidP="004927A6">
      <w:pPr>
        <w:tabs>
          <w:tab w:val="left" w:pos="1298"/>
        </w:tabs>
        <w:spacing w:line="276" w:lineRule="auto"/>
      </w:pPr>
    </w:p>
    <w:p w14:paraId="23409E7A" w14:textId="77777777" w:rsidR="00183604" w:rsidRPr="009B487B" w:rsidRDefault="008811BB" w:rsidP="004926C1">
      <w:pPr>
        <w:tabs>
          <w:tab w:val="left" w:pos="1260"/>
        </w:tabs>
        <w:spacing w:line="276" w:lineRule="auto"/>
        <w:ind w:right="96"/>
        <w:jc w:val="center"/>
        <w:rPr>
          <w:rFonts w:cs="Times New Roman"/>
          <w:b/>
          <w:szCs w:val="24"/>
        </w:rPr>
      </w:pPr>
      <w:bookmarkStart w:id="94" w:name="_Toc165116101"/>
      <w:bookmarkStart w:id="95" w:name="_Toc165116728"/>
      <w:bookmarkStart w:id="96" w:name="_Toc165116926"/>
      <w:bookmarkStart w:id="97" w:name="_Toc165125220"/>
      <w:bookmarkStart w:id="98" w:name="_Toc165137569"/>
      <w:bookmarkStart w:id="99" w:name="_Toc165116102"/>
      <w:bookmarkStart w:id="100" w:name="_Toc165116729"/>
      <w:bookmarkStart w:id="101" w:name="_Toc165116927"/>
      <w:bookmarkStart w:id="102" w:name="_Toc165125221"/>
      <w:bookmarkStart w:id="103" w:name="_Toc165137570"/>
      <w:bookmarkStart w:id="104" w:name="_Toc165125223"/>
      <w:bookmarkStart w:id="105" w:name="_Toc165137572"/>
      <w:bookmarkStart w:id="106" w:name="_Toc165125224"/>
      <w:bookmarkStart w:id="107" w:name="_Toc165137573"/>
      <w:bookmarkStart w:id="108" w:name="_Toc165125225"/>
      <w:bookmarkStart w:id="109" w:name="_Toc165137574"/>
      <w:bookmarkStart w:id="110" w:name="_Toc165125226"/>
      <w:bookmarkStart w:id="111" w:name="_Toc165137575"/>
      <w:bookmarkStart w:id="112" w:name="_Toc165125227"/>
      <w:bookmarkStart w:id="113" w:name="_Toc165137576"/>
      <w:bookmarkStart w:id="114" w:name="_Toc165125228"/>
      <w:bookmarkStart w:id="115" w:name="_Toc165137577"/>
      <w:bookmarkStart w:id="116" w:name="_Toc165125229"/>
      <w:bookmarkStart w:id="117" w:name="_Toc165137578"/>
      <w:bookmarkStart w:id="118" w:name="_Toc165125231"/>
      <w:bookmarkStart w:id="119" w:name="_Toc165137580"/>
      <w:bookmarkStart w:id="120" w:name="_Toc165125233"/>
      <w:bookmarkStart w:id="121" w:name="_Toc165137582"/>
      <w:bookmarkStart w:id="122" w:name="_Toc165137886"/>
      <w:bookmarkStart w:id="123" w:name="_Toc165137890"/>
      <w:bookmarkStart w:id="124" w:name="_Toc165137588"/>
      <w:bookmarkStart w:id="125" w:name="_Toc165137900"/>
      <w:bookmarkStart w:id="126" w:name="_Toc165137902"/>
      <w:bookmarkStart w:id="127" w:name="_Toc165137904"/>
      <w:bookmarkStart w:id="128" w:name="_Toc165137907"/>
      <w:bookmarkStart w:id="129" w:name="_Toc165137599"/>
      <w:bookmarkStart w:id="130" w:name="_Toc165137600"/>
      <w:bookmarkStart w:id="131" w:name="_Toc165137601"/>
      <w:bookmarkStart w:id="132" w:name="_Toc165137602"/>
      <w:bookmarkStart w:id="133" w:name="_Toc165137605"/>
      <w:bookmarkStart w:id="134" w:name="_Toc165137607"/>
      <w:bookmarkStart w:id="135" w:name="_Toc165137611"/>
      <w:bookmarkStart w:id="136" w:name="_Toc165137613"/>
      <w:bookmarkStart w:id="137" w:name="_Toc165137614"/>
      <w:bookmarkStart w:id="138" w:name="_Toc165137615"/>
      <w:bookmarkStart w:id="139" w:name="_Apskaitos_politikos_keitimas"/>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r>
        <w:rPr>
          <w:rFonts w:cs="Times New Roman"/>
          <w:b/>
          <w:szCs w:val="24"/>
        </w:rPr>
        <w:t>III</w:t>
      </w:r>
      <w:r w:rsidR="003D6580" w:rsidRPr="009B487B">
        <w:rPr>
          <w:rFonts w:cs="Times New Roman"/>
          <w:b/>
          <w:szCs w:val="24"/>
        </w:rPr>
        <w:t>.</w:t>
      </w:r>
      <w:r w:rsidR="00686248">
        <w:rPr>
          <w:rFonts w:cs="Times New Roman"/>
          <w:b/>
          <w:szCs w:val="24"/>
        </w:rPr>
        <w:t xml:space="preserve"> </w:t>
      </w:r>
      <w:r w:rsidR="00183604" w:rsidRPr="009B487B">
        <w:rPr>
          <w:rFonts w:cs="Times New Roman"/>
          <w:b/>
          <w:szCs w:val="24"/>
        </w:rPr>
        <w:t>AIŠKINAMOJO RAŠTO PASTABOS</w:t>
      </w:r>
    </w:p>
    <w:p w14:paraId="010C616D" w14:textId="77777777" w:rsidR="00870C13" w:rsidRDefault="00870C13" w:rsidP="00335EC8">
      <w:pPr>
        <w:tabs>
          <w:tab w:val="left" w:pos="1260"/>
        </w:tabs>
        <w:spacing w:line="276" w:lineRule="auto"/>
        <w:ind w:left="3196" w:right="96"/>
        <w:jc w:val="both"/>
        <w:rPr>
          <w:rFonts w:cs="Times New Roman"/>
          <w:b/>
          <w:szCs w:val="24"/>
        </w:rPr>
      </w:pPr>
    </w:p>
    <w:p w14:paraId="5302416D" w14:textId="77777777" w:rsidR="00A84B6A" w:rsidRDefault="00A84B6A" w:rsidP="00335EC8">
      <w:pPr>
        <w:tabs>
          <w:tab w:val="left" w:pos="1260"/>
        </w:tabs>
        <w:spacing w:line="276" w:lineRule="auto"/>
        <w:ind w:left="3196" w:right="96"/>
        <w:jc w:val="both"/>
        <w:rPr>
          <w:rFonts w:cs="Times New Roman"/>
          <w:b/>
          <w:szCs w:val="24"/>
        </w:rPr>
      </w:pPr>
    </w:p>
    <w:p w14:paraId="1894E099" w14:textId="77777777" w:rsidR="00A91696" w:rsidRPr="00475B7F" w:rsidRDefault="00C45BEB" w:rsidP="004926C1">
      <w:pPr>
        <w:tabs>
          <w:tab w:val="left" w:pos="1260"/>
        </w:tabs>
        <w:spacing w:line="276" w:lineRule="auto"/>
        <w:ind w:right="96"/>
        <w:jc w:val="center"/>
        <w:rPr>
          <w:rFonts w:cs="Times New Roman"/>
          <w:b/>
          <w:szCs w:val="24"/>
        </w:rPr>
      </w:pPr>
      <w:r>
        <w:rPr>
          <w:rFonts w:cs="Times New Roman"/>
          <w:b/>
          <w:szCs w:val="24"/>
        </w:rPr>
        <w:t>FINANSINĖS BŪKLĖS ATASKAITA</w:t>
      </w:r>
    </w:p>
    <w:p w14:paraId="2278FF09" w14:textId="77777777" w:rsidR="00475B7F" w:rsidRDefault="00475B7F" w:rsidP="00335EC8">
      <w:pPr>
        <w:tabs>
          <w:tab w:val="left" w:pos="1260"/>
        </w:tabs>
        <w:spacing w:line="276" w:lineRule="auto"/>
        <w:ind w:left="3196" w:right="96"/>
        <w:jc w:val="both"/>
        <w:rPr>
          <w:rFonts w:cs="Times New Roman"/>
          <w:b/>
          <w:szCs w:val="24"/>
        </w:rPr>
      </w:pPr>
    </w:p>
    <w:p w14:paraId="16DCD19E" w14:textId="77777777" w:rsidR="009B487B" w:rsidRPr="00186B38" w:rsidRDefault="00A43633" w:rsidP="00A43633">
      <w:pPr>
        <w:pStyle w:val="bodytext0"/>
        <w:spacing w:line="276" w:lineRule="auto"/>
        <w:ind w:left="1440" w:hanging="164"/>
        <w:jc w:val="both"/>
      </w:pPr>
      <w:r>
        <w:rPr>
          <w:b/>
        </w:rPr>
        <w:t xml:space="preserve">1 </w:t>
      </w:r>
      <w:r w:rsidR="0021357D" w:rsidRPr="00186B38">
        <w:rPr>
          <w:b/>
        </w:rPr>
        <w:t>p</w:t>
      </w:r>
      <w:r w:rsidR="0021357D">
        <w:rPr>
          <w:b/>
        </w:rPr>
        <w:t>astaba. Išankstiniai apmokėjimai</w:t>
      </w:r>
    </w:p>
    <w:p w14:paraId="3062499B" w14:textId="6A44BF47" w:rsidR="00C0681E" w:rsidRDefault="00EB2EF0" w:rsidP="00B22F4F">
      <w:pPr>
        <w:pStyle w:val="bodytext0"/>
        <w:spacing w:before="0" w:beforeAutospacing="0" w:after="0" w:afterAutospacing="0" w:line="276" w:lineRule="auto"/>
        <w:ind w:firstLine="1298"/>
        <w:jc w:val="both"/>
      </w:pPr>
      <w:r>
        <w:t>Finansinės būklės ataskaitos straipsnyje</w:t>
      </w:r>
      <w:r w:rsidR="009B487B" w:rsidRPr="009B487B">
        <w:t xml:space="preserve"> „</w:t>
      </w:r>
      <w:r>
        <w:t>Išankstiniai apmokėjimai“ parodyt</w:t>
      </w:r>
      <w:r w:rsidR="00A348F1">
        <w:t xml:space="preserve">os </w:t>
      </w:r>
      <w:r w:rsidR="00396ECD">
        <w:t>IA</w:t>
      </w:r>
      <w:r>
        <w:t>ENF</w:t>
      </w:r>
      <w:r w:rsidR="009B487B" w:rsidRPr="009B487B">
        <w:t xml:space="preserve"> </w:t>
      </w:r>
      <w:r w:rsidR="00A348F1">
        <w:t>„</w:t>
      </w:r>
      <w:r>
        <w:t>Ateinančių laikotarpių sąnaudos proj</w:t>
      </w:r>
      <w:r w:rsidR="00A348F1">
        <w:t>ek</w:t>
      </w:r>
      <w:r>
        <w:t>tų vykdytojams ne viešojo sektoriaus subjektams</w:t>
      </w:r>
      <w:r w:rsidR="006244CB">
        <w:t>“ –</w:t>
      </w:r>
      <w:r w:rsidR="00010779">
        <w:t xml:space="preserve"> </w:t>
      </w:r>
      <w:r w:rsidR="00B01E6D">
        <w:br/>
      </w:r>
      <w:r w:rsidR="00C54BA2">
        <w:t>25</w:t>
      </w:r>
      <w:r w:rsidR="00916CFA">
        <w:t xml:space="preserve"> </w:t>
      </w:r>
      <w:r w:rsidR="00C54BA2">
        <w:t>078</w:t>
      </w:r>
      <w:r w:rsidR="00916CFA">
        <w:t>,</w:t>
      </w:r>
      <w:r w:rsidR="00C54BA2">
        <w:t>25</w:t>
      </w:r>
      <w:r w:rsidR="000A56F8">
        <w:t xml:space="preserve"> </w:t>
      </w:r>
      <w:r w:rsidR="00B01E6D">
        <w:t>euro</w:t>
      </w:r>
      <w:r w:rsidR="007127EC">
        <w:t>.</w:t>
      </w:r>
    </w:p>
    <w:p w14:paraId="45AE836B" w14:textId="23C65963" w:rsidR="00010779" w:rsidRDefault="00010779" w:rsidP="00B22F4F">
      <w:pPr>
        <w:pStyle w:val="bodytext0"/>
        <w:spacing w:before="0" w:beforeAutospacing="0" w:after="0" w:afterAutospacing="0" w:line="276" w:lineRule="auto"/>
        <w:ind w:firstLine="1298"/>
        <w:jc w:val="both"/>
      </w:pPr>
      <w:r w:rsidRPr="00EE57E2">
        <w:t>Informacija apie išankstinius apmokėjimus paskutiniai ataskaitin</w:t>
      </w:r>
      <w:r>
        <w:t xml:space="preserve">io laikotarpio dienai pateikta </w:t>
      </w:r>
      <w:r w:rsidRPr="002B5677">
        <w:t>prie finansinių ataskaitų aiškinamojo rašto</w:t>
      </w:r>
      <w:r w:rsidRPr="00EE57E2">
        <w:t xml:space="preserve"> pagal 6-ojo VSAFAS „Finansinių ataskaitų aiškinamasis raštas“ 6 priede nustatytą formą „Informacija apie</w:t>
      </w:r>
      <w:r w:rsidR="00D83265">
        <w:t xml:space="preserve"> išankstinius apmokėjimus“ (</w:t>
      </w:r>
      <w:r w:rsidR="002A289F">
        <w:t>1</w:t>
      </w:r>
      <w:r w:rsidRPr="00EE57E2">
        <w:t xml:space="preserve"> priedas)</w:t>
      </w:r>
    </w:p>
    <w:p w14:paraId="0B5FE99C" w14:textId="7991B373" w:rsidR="00A05A60" w:rsidRDefault="00A05A60" w:rsidP="00B22F4F">
      <w:pPr>
        <w:pStyle w:val="bodytext0"/>
        <w:spacing w:before="0" w:beforeAutospacing="0" w:after="0" w:afterAutospacing="0" w:line="276" w:lineRule="auto"/>
        <w:ind w:firstLine="1298"/>
        <w:jc w:val="both"/>
      </w:pPr>
    </w:p>
    <w:p w14:paraId="659E424E" w14:textId="03628A2C" w:rsidR="00A05A60" w:rsidRDefault="00A05A60" w:rsidP="00B22F4F">
      <w:pPr>
        <w:pStyle w:val="bodytext0"/>
        <w:spacing w:before="0" w:beforeAutospacing="0" w:after="0" w:afterAutospacing="0" w:line="276" w:lineRule="auto"/>
        <w:ind w:firstLine="1298"/>
        <w:jc w:val="both"/>
      </w:pPr>
    </w:p>
    <w:p w14:paraId="765B79AC" w14:textId="2E57A476" w:rsidR="00A05A60" w:rsidRDefault="00A05A60" w:rsidP="00B22F4F">
      <w:pPr>
        <w:pStyle w:val="bodytext0"/>
        <w:spacing w:before="0" w:beforeAutospacing="0" w:after="0" w:afterAutospacing="0" w:line="276" w:lineRule="auto"/>
        <w:ind w:firstLine="1298"/>
        <w:jc w:val="both"/>
      </w:pPr>
    </w:p>
    <w:p w14:paraId="734D08C6" w14:textId="6D567FD3" w:rsidR="00A05A60" w:rsidRDefault="00A05A60" w:rsidP="00B22F4F">
      <w:pPr>
        <w:pStyle w:val="bodytext0"/>
        <w:spacing w:before="0" w:beforeAutospacing="0" w:after="0" w:afterAutospacing="0" w:line="276" w:lineRule="auto"/>
        <w:ind w:firstLine="1298"/>
        <w:jc w:val="both"/>
      </w:pPr>
    </w:p>
    <w:p w14:paraId="2A72B113" w14:textId="77777777" w:rsidR="00A05A60" w:rsidRDefault="00A05A60" w:rsidP="00B22F4F">
      <w:pPr>
        <w:pStyle w:val="bodytext0"/>
        <w:spacing w:before="0" w:beforeAutospacing="0" w:after="0" w:afterAutospacing="0" w:line="276" w:lineRule="auto"/>
        <w:ind w:firstLine="1298"/>
        <w:jc w:val="both"/>
      </w:pPr>
    </w:p>
    <w:p w14:paraId="52F47DFB" w14:textId="77777777" w:rsidR="00E274B0" w:rsidRDefault="00E274B0" w:rsidP="00335EC8">
      <w:pPr>
        <w:pStyle w:val="bodytext0"/>
        <w:spacing w:line="276" w:lineRule="auto"/>
        <w:ind w:firstLine="1296"/>
        <w:jc w:val="both"/>
        <w:rPr>
          <w:b/>
        </w:rPr>
      </w:pPr>
      <w:r w:rsidRPr="00E274B0">
        <w:rPr>
          <w:b/>
        </w:rPr>
        <w:lastRenderedPageBreak/>
        <w:t xml:space="preserve">Išankstinių </w:t>
      </w:r>
      <w:r w:rsidR="00186B38">
        <w:rPr>
          <w:b/>
        </w:rPr>
        <w:t xml:space="preserve">apmokėjimų </w:t>
      </w:r>
      <w:r w:rsidRPr="00E274B0">
        <w:rPr>
          <w:b/>
        </w:rPr>
        <w:t>sumų detalizavimas</w:t>
      </w:r>
      <w:r w:rsidR="00686248">
        <w:rPr>
          <w: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4565"/>
        <w:gridCol w:w="2948"/>
      </w:tblGrid>
      <w:tr w:rsidR="00E274B0" w:rsidRPr="0071067C" w14:paraId="5273DA51" w14:textId="77777777" w:rsidTr="006F37DC">
        <w:tc>
          <w:tcPr>
            <w:tcW w:w="959" w:type="dxa"/>
          </w:tcPr>
          <w:p w14:paraId="0891E56C" w14:textId="2CA63D5A" w:rsidR="00E274B0" w:rsidRPr="0071067C" w:rsidRDefault="00E274B0" w:rsidP="00335EC8">
            <w:pPr>
              <w:pStyle w:val="bodytext0"/>
              <w:spacing w:line="276" w:lineRule="auto"/>
              <w:jc w:val="both"/>
              <w:rPr>
                <w:b/>
              </w:rPr>
            </w:pPr>
            <w:r w:rsidRPr="0071067C">
              <w:rPr>
                <w:b/>
              </w:rPr>
              <w:t>Eil.</w:t>
            </w:r>
            <w:r w:rsidR="0025226E">
              <w:rPr>
                <w:b/>
              </w:rPr>
              <w:t xml:space="preserve"> </w:t>
            </w:r>
            <w:r w:rsidRPr="0071067C">
              <w:rPr>
                <w:b/>
              </w:rPr>
              <w:t>Nr.</w:t>
            </w:r>
          </w:p>
        </w:tc>
        <w:tc>
          <w:tcPr>
            <w:tcW w:w="4565" w:type="dxa"/>
          </w:tcPr>
          <w:p w14:paraId="601B0E8A" w14:textId="77777777" w:rsidR="00E274B0" w:rsidRPr="0071067C" w:rsidRDefault="00E274B0" w:rsidP="00335EC8">
            <w:pPr>
              <w:pStyle w:val="bodytext0"/>
              <w:spacing w:line="276" w:lineRule="auto"/>
              <w:jc w:val="both"/>
              <w:rPr>
                <w:b/>
              </w:rPr>
            </w:pPr>
            <w:r w:rsidRPr="0071067C">
              <w:rPr>
                <w:b/>
              </w:rPr>
              <w:t>Tiekėjo pavadinimas</w:t>
            </w:r>
          </w:p>
        </w:tc>
        <w:tc>
          <w:tcPr>
            <w:tcW w:w="2948" w:type="dxa"/>
          </w:tcPr>
          <w:p w14:paraId="0909A7B7" w14:textId="77777777" w:rsidR="00E274B0" w:rsidRPr="0071067C" w:rsidRDefault="00E274B0" w:rsidP="00335EC8">
            <w:pPr>
              <w:pStyle w:val="bodytext0"/>
              <w:spacing w:line="276" w:lineRule="auto"/>
              <w:rPr>
                <w:b/>
              </w:rPr>
            </w:pPr>
            <w:r w:rsidRPr="0071067C">
              <w:rPr>
                <w:b/>
              </w:rPr>
              <w:t>Ataskaitinio laikotarpio suma</w:t>
            </w:r>
            <w:r w:rsidR="0034757F">
              <w:rPr>
                <w:b/>
              </w:rPr>
              <w:t xml:space="preserve"> (eurai)</w:t>
            </w:r>
          </w:p>
        </w:tc>
      </w:tr>
      <w:tr w:rsidR="007705B5" w:rsidRPr="0071067C" w14:paraId="38AD2510" w14:textId="77777777" w:rsidTr="006F37DC">
        <w:tc>
          <w:tcPr>
            <w:tcW w:w="959" w:type="dxa"/>
          </w:tcPr>
          <w:p w14:paraId="5D0459A4" w14:textId="191A23D2" w:rsidR="007705B5" w:rsidRDefault="00916CFA" w:rsidP="00335EC8">
            <w:pPr>
              <w:pStyle w:val="bodytext0"/>
              <w:spacing w:line="276" w:lineRule="auto"/>
              <w:jc w:val="both"/>
            </w:pPr>
            <w:r>
              <w:t>1</w:t>
            </w:r>
            <w:r w:rsidR="007705B5">
              <w:t>.</w:t>
            </w:r>
          </w:p>
        </w:tc>
        <w:tc>
          <w:tcPr>
            <w:tcW w:w="4565" w:type="dxa"/>
          </w:tcPr>
          <w:p w14:paraId="0AEFC9D7" w14:textId="77777777" w:rsidR="007705B5" w:rsidRPr="00E274B0" w:rsidRDefault="007705B5" w:rsidP="00335EC8">
            <w:pPr>
              <w:pStyle w:val="bodytext0"/>
              <w:spacing w:line="276" w:lineRule="auto"/>
              <w:jc w:val="both"/>
            </w:pPr>
            <w:r w:rsidRPr="007705B5">
              <w:t xml:space="preserve">VĮ Ignalinos </w:t>
            </w:r>
            <w:r w:rsidR="00A8785A">
              <w:t>AE</w:t>
            </w:r>
          </w:p>
        </w:tc>
        <w:tc>
          <w:tcPr>
            <w:tcW w:w="2948" w:type="dxa"/>
          </w:tcPr>
          <w:p w14:paraId="2C1EE7BE" w14:textId="71ED7B61" w:rsidR="007705B5" w:rsidRDefault="00C54BA2" w:rsidP="00335EC8">
            <w:pPr>
              <w:pStyle w:val="bodytext0"/>
              <w:spacing w:line="276" w:lineRule="auto"/>
              <w:jc w:val="right"/>
            </w:pPr>
            <w:r>
              <w:t>25 078,25</w:t>
            </w:r>
          </w:p>
        </w:tc>
      </w:tr>
      <w:tr w:rsidR="00E274B0" w:rsidRPr="0071067C" w14:paraId="69D143FC" w14:textId="77777777" w:rsidTr="006F37DC">
        <w:tc>
          <w:tcPr>
            <w:tcW w:w="959" w:type="dxa"/>
          </w:tcPr>
          <w:p w14:paraId="6573A3C3" w14:textId="77777777" w:rsidR="00E274B0" w:rsidRPr="0071067C" w:rsidRDefault="00E274B0" w:rsidP="00335EC8">
            <w:pPr>
              <w:pStyle w:val="bodytext0"/>
              <w:spacing w:line="276" w:lineRule="auto"/>
              <w:jc w:val="both"/>
              <w:rPr>
                <w:b/>
              </w:rPr>
            </w:pPr>
          </w:p>
        </w:tc>
        <w:tc>
          <w:tcPr>
            <w:tcW w:w="4565" w:type="dxa"/>
          </w:tcPr>
          <w:p w14:paraId="205E5E96" w14:textId="77777777" w:rsidR="00E274B0" w:rsidRPr="0071067C" w:rsidRDefault="00E274B0" w:rsidP="00335EC8">
            <w:pPr>
              <w:pStyle w:val="bodytext0"/>
              <w:spacing w:line="276" w:lineRule="auto"/>
              <w:jc w:val="both"/>
              <w:rPr>
                <w:b/>
              </w:rPr>
            </w:pPr>
            <w:r w:rsidRPr="0071067C">
              <w:rPr>
                <w:b/>
              </w:rPr>
              <w:t>Iš viso</w:t>
            </w:r>
          </w:p>
        </w:tc>
        <w:tc>
          <w:tcPr>
            <w:tcW w:w="2948" w:type="dxa"/>
          </w:tcPr>
          <w:p w14:paraId="5F5F65CD" w14:textId="7781030A" w:rsidR="00E274B0" w:rsidRPr="0071067C" w:rsidRDefault="00C54BA2" w:rsidP="00335EC8">
            <w:pPr>
              <w:pStyle w:val="bodytext0"/>
              <w:spacing w:line="276" w:lineRule="auto"/>
              <w:jc w:val="right"/>
              <w:rPr>
                <w:b/>
              </w:rPr>
            </w:pPr>
            <w:r>
              <w:rPr>
                <w:b/>
              </w:rPr>
              <w:t>25 078,25</w:t>
            </w:r>
          </w:p>
        </w:tc>
      </w:tr>
    </w:tbl>
    <w:p w14:paraId="1C2A0493" w14:textId="77777777" w:rsidR="00EA6ED6" w:rsidRDefault="00EA6ED6" w:rsidP="00AA6921">
      <w:pPr>
        <w:pStyle w:val="bodytext0"/>
        <w:spacing w:before="0" w:beforeAutospacing="0" w:after="0" w:afterAutospacing="0"/>
        <w:ind w:firstLine="1298"/>
        <w:jc w:val="both"/>
        <w:rPr>
          <w:b/>
        </w:rPr>
      </w:pPr>
    </w:p>
    <w:p w14:paraId="12FE2FB5" w14:textId="62D19556" w:rsidR="0021357D" w:rsidRPr="0021357D" w:rsidRDefault="00077E66" w:rsidP="0012657C">
      <w:pPr>
        <w:pStyle w:val="bodytext0"/>
        <w:spacing w:line="276" w:lineRule="auto"/>
        <w:ind w:firstLine="1134"/>
        <w:jc w:val="both"/>
        <w:rPr>
          <w:b/>
        </w:rPr>
      </w:pPr>
      <w:r>
        <w:rPr>
          <w:b/>
        </w:rPr>
        <w:t xml:space="preserve">   </w:t>
      </w:r>
      <w:r w:rsidR="0012657C">
        <w:rPr>
          <w:b/>
        </w:rPr>
        <w:t xml:space="preserve">2 </w:t>
      </w:r>
      <w:r w:rsidR="0021357D" w:rsidRPr="0021357D">
        <w:rPr>
          <w:b/>
        </w:rPr>
        <w:t xml:space="preserve">pastaba. </w:t>
      </w:r>
      <w:r w:rsidR="006D6769">
        <w:rPr>
          <w:b/>
        </w:rPr>
        <w:t>Per vienerius metus gautinos sumos</w:t>
      </w:r>
    </w:p>
    <w:p w14:paraId="3C78DDFD" w14:textId="0E747A2D" w:rsidR="00CB4800" w:rsidRPr="00876404" w:rsidRDefault="009B487B" w:rsidP="00574C52">
      <w:pPr>
        <w:pStyle w:val="bodytext0"/>
        <w:spacing w:before="0" w:beforeAutospacing="0" w:after="0" w:afterAutospacing="0" w:line="276" w:lineRule="auto"/>
        <w:ind w:firstLine="1298"/>
        <w:jc w:val="both"/>
        <w:rPr>
          <w:color w:val="000000"/>
        </w:rPr>
      </w:pPr>
      <w:r w:rsidRPr="00876404">
        <w:rPr>
          <w:color w:val="000000"/>
        </w:rPr>
        <w:t>Per vienus metus gautinos sumos pripažįstamos, vertinamos, registruojamos apskaitoje ir rodomos finansinės būklės ataskaitoje pagal 17-ojo VSAFAS „Finansinis turtas ir finansi</w:t>
      </w:r>
      <w:r w:rsidR="00A348F1" w:rsidRPr="00876404">
        <w:rPr>
          <w:color w:val="000000"/>
        </w:rPr>
        <w:t xml:space="preserve">niai įsipareigojimai“ nuostatas. </w:t>
      </w:r>
      <w:r w:rsidR="00CB4800" w:rsidRPr="007E2CAC">
        <w:rPr>
          <w:color w:val="000000"/>
        </w:rPr>
        <w:t xml:space="preserve">Šiame straipsnyje parodytos per ataskaitinį laikotarpį „Kitos gautinos sumos“ – </w:t>
      </w:r>
      <w:r w:rsidR="00077E66">
        <w:rPr>
          <w:color w:val="000000"/>
        </w:rPr>
        <w:t>136 746,34 euro</w:t>
      </w:r>
      <w:r w:rsidR="00CB4800" w:rsidRPr="007E2CAC">
        <w:rPr>
          <w:color w:val="000000"/>
        </w:rPr>
        <w:t xml:space="preserve">, </w:t>
      </w:r>
      <w:r w:rsidR="007E2CAC" w:rsidRPr="006F37DC">
        <w:rPr>
          <w:color w:val="000000"/>
        </w:rPr>
        <w:t xml:space="preserve">šią sumą sudaro </w:t>
      </w:r>
      <w:r w:rsidR="00E9185C" w:rsidRPr="007E2CAC">
        <w:rPr>
          <w:color w:val="000000"/>
        </w:rPr>
        <w:t>„</w:t>
      </w:r>
      <w:r w:rsidR="00AC6C4B" w:rsidRPr="007E2CAC">
        <w:rPr>
          <w:color w:val="000000"/>
        </w:rPr>
        <w:t>Gautin</w:t>
      </w:r>
      <w:r w:rsidR="001A4115" w:rsidRPr="007E2CAC">
        <w:rPr>
          <w:color w:val="000000"/>
        </w:rPr>
        <w:t>i delspinigiai“</w:t>
      </w:r>
      <w:r w:rsidR="00077E66">
        <w:rPr>
          <w:color w:val="000000"/>
        </w:rPr>
        <w:t xml:space="preserve"> – 11 872,81 euro ir 124 873,53 euro – „Kitos gautinos sumos (grąžintinas nepanaudotas likutis)“</w:t>
      </w:r>
      <w:r w:rsidR="00E9185C" w:rsidRPr="007E2CAC">
        <w:rPr>
          <w:color w:val="000000"/>
        </w:rPr>
        <w:t>.</w:t>
      </w:r>
    </w:p>
    <w:p w14:paraId="03E90556" w14:textId="77777777" w:rsidR="00E9185C" w:rsidRPr="00876404" w:rsidRDefault="00E9185C" w:rsidP="00574C52">
      <w:pPr>
        <w:pStyle w:val="bodytext0"/>
        <w:spacing w:before="0" w:beforeAutospacing="0" w:after="0" w:afterAutospacing="0" w:line="276" w:lineRule="auto"/>
        <w:ind w:firstLine="1298"/>
        <w:jc w:val="both"/>
        <w:rPr>
          <w:color w:val="000000"/>
        </w:rPr>
      </w:pPr>
    </w:p>
    <w:p w14:paraId="7341DECB" w14:textId="235AF385" w:rsidR="007F14E4" w:rsidRDefault="007F14E4" w:rsidP="007F14E4">
      <w:pPr>
        <w:pStyle w:val="bodytext0"/>
        <w:spacing w:before="0" w:beforeAutospacing="0" w:after="0" w:afterAutospacing="0" w:line="276" w:lineRule="auto"/>
        <w:ind w:firstLine="1298"/>
        <w:jc w:val="both"/>
      </w:pPr>
      <w:r w:rsidRPr="006216FB">
        <w:t>Informacija</w:t>
      </w:r>
      <w:r w:rsidRPr="006D6769">
        <w:t xml:space="preserve"> </w:t>
      </w:r>
      <w:r>
        <w:t xml:space="preserve">apie per </w:t>
      </w:r>
      <w:r w:rsidR="00521E0A">
        <w:t xml:space="preserve">vienus </w:t>
      </w:r>
      <w:r>
        <w:t xml:space="preserve">metus gautinas sumas </w:t>
      </w:r>
      <w:r w:rsidRPr="006216FB">
        <w:t xml:space="preserve">pateikta prie finansinių ataskaitų aiškinamojo rašto </w:t>
      </w:r>
      <w:r>
        <w:t xml:space="preserve">pagal </w:t>
      </w:r>
      <w:r w:rsidRPr="006216FB">
        <w:t xml:space="preserve">17-ojo VSAFAS „Finansinis turtas ir finansiniai įsipareigojimai“ </w:t>
      </w:r>
      <w:r>
        <w:t>7</w:t>
      </w:r>
      <w:r w:rsidRPr="006216FB">
        <w:t xml:space="preserve"> priede</w:t>
      </w:r>
      <w:r>
        <w:t xml:space="preserve"> </w:t>
      </w:r>
      <w:r w:rsidRPr="002B5677">
        <w:t>nustatytą formą</w:t>
      </w:r>
      <w:r>
        <w:t xml:space="preserve"> „Informacija apie per v</w:t>
      </w:r>
      <w:r w:rsidR="006F410D">
        <w:t>ienus metus gautinas sumas“ (</w:t>
      </w:r>
      <w:r w:rsidR="002A289F">
        <w:t>2</w:t>
      </w:r>
      <w:r>
        <w:t xml:space="preserve"> priedas).</w:t>
      </w:r>
    </w:p>
    <w:p w14:paraId="410CFEC4" w14:textId="77777777" w:rsidR="0012657C" w:rsidRDefault="0012657C" w:rsidP="00574C52">
      <w:pPr>
        <w:pStyle w:val="bodytext0"/>
        <w:spacing w:before="0" w:beforeAutospacing="0" w:after="0" w:afterAutospacing="0" w:line="276" w:lineRule="auto"/>
        <w:ind w:firstLine="1298"/>
        <w:jc w:val="both"/>
      </w:pPr>
    </w:p>
    <w:p w14:paraId="2A968A22" w14:textId="77777777" w:rsidR="0021357D" w:rsidRDefault="002A289F" w:rsidP="006C6343">
      <w:pPr>
        <w:pStyle w:val="bodytext0"/>
        <w:spacing w:before="0" w:beforeAutospacing="0" w:after="0" w:afterAutospacing="0"/>
        <w:ind w:firstLine="1296"/>
        <w:jc w:val="both"/>
        <w:rPr>
          <w:b/>
        </w:rPr>
      </w:pPr>
      <w:r>
        <w:rPr>
          <w:b/>
        </w:rPr>
        <w:t>3</w:t>
      </w:r>
      <w:r w:rsidR="0021357D" w:rsidRPr="0021357D">
        <w:rPr>
          <w:b/>
        </w:rPr>
        <w:t xml:space="preserve"> pastaba. Pinigai ir pinigų ekvivalentai</w:t>
      </w:r>
    </w:p>
    <w:p w14:paraId="6C3E0786" w14:textId="77777777" w:rsidR="005C6DA8" w:rsidRPr="0021357D" w:rsidRDefault="005C6DA8" w:rsidP="006C6343">
      <w:pPr>
        <w:pStyle w:val="bodytext0"/>
        <w:spacing w:before="0" w:beforeAutospacing="0" w:after="0" w:afterAutospacing="0"/>
        <w:ind w:firstLine="1296"/>
        <w:jc w:val="both"/>
        <w:rPr>
          <w:b/>
        </w:rPr>
      </w:pPr>
    </w:p>
    <w:p w14:paraId="22B3A355" w14:textId="77777777" w:rsidR="00C4351A" w:rsidRDefault="00095E68" w:rsidP="00C4351A">
      <w:pPr>
        <w:pStyle w:val="bodytext0"/>
        <w:spacing w:before="0" w:beforeAutospacing="0" w:after="0" w:afterAutospacing="0" w:line="276" w:lineRule="auto"/>
        <w:ind w:firstLine="1298"/>
        <w:jc w:val="both"/>
      </w:pPr>
      <w:r>
        <w:t>S</w:t>
      </w:r>
      <w:r w:rsidR="009B487B" w:rsidRPr="009B487B">
        <w:t>traipsnyje „Pinigai ir pinigų ekvivalentai“ rodomos</w:t>
      </w:r>
      <w:r w:rsidR="00F30D22">
        <w:t xml:space="preserve"> IA</w:t>
      </w:r>
      <w:r>
        <w:t>ENF</w:t>
      </w:r>
      <w:r w:rsidR="009B487B" w:rsidRPr="009B487B">
        <w:t xml:space="preserve"> lėšos bankų sąskaitose ir trumpalaikės (iki 3 mėnesių) likvidžios investicijos</w:t>
      </w:r>
      <w:r w:rsidR="005A7894">
        <w:t xml:space="preserve"> bei pinigai kelyje</w:t>
      </w:r>
      <w:r w:rsidR="009B487B" w:rsidRPr="009B487B">
        <w:t>.</w:t>
      </w:r>
      <w:r>
        <w:t xml:space="preserve"> </w:t>
      </w:r>
      <w:r w:rsidR="00C4351A" w:rsidRPr="009B487B">
        <w:t>Pinigai ir pinigų ekvivalentai pripažįstami, vertinami, registruojami apskaitoje ir rodomi finansinės būklės ataskaitoje pagal 17-ojo VSAFAS „Finansinis turtas ir finansiniai įsipareigojimai“ nuostatas.</w:t>
      </w:r>
    </w:p>
    <w:p w14:paraId="608DACE6" w14:textId="1EC03A04" w:rsidR="00D67E99" w:rsidRDefault="00095E68" w:rsidP="00E11AC9">
      <w:pPr>
        <w:pStyle w:val="bodytext0"/>
        <w:spacing w:before="0" w:beforeAutospacing="0" w:after="0" w:afterAutospacing="0" w:line="276" w:lineRule="auto"/>
        <w:ind w:firstLine="1296"/>
        <w:jc w:val="both"/>
      </w:pPr>
      <w:r>
        <w:t>Pinigų likutis</w:t>
      </w:r>
      <w:r w:rsidR="001C3AE8">
        <w:t xml:space="preserve"> </w:t>
      </w:r>
      <w:r w:rsidR="00A219D8">
        <w:t>201</w:t>
      </w:r>
      <w:r w:rsidR="00077E66">
        <w:t>9</w:t>
      </w:r>
      <w:r>
        <w:t xml:space="preserve"> m. </w:t>
      </w:r>
      <w:r w:rsidR="00BE2FAA">
        <w:t>gruodžio 31</w:t>
      </w:r>
      <w:r>
        <w:t xml:space="preserve"> d. Lietuvos banko sąskaitose </w:t>
      </w:r>
      <w:r w:rsidR="001C3AE8">
        <w:t>–</w:t>
      </w:r>
      <w:r w:rsidR="002E2666">
        <w:t xml:space="preserve"> </w:t>
      </w:r>
      <w:r w:rsidR="00077E66">
        <w:t>238 559,70</w:t>
      </w:r>
      <w:r w:rsidR="00E11AC9">
        <w:t xml:space="preserve"> </w:t>
      </w:r>
      <w:r w:rsidR="0034757F">
        <w:t>eur</w:t>
      </w:r>
      <w:r w:rsidR="009A5AC9">
        <w:t>o</w:t>
      </w:r>
      <w:r w:rsidR="00BE2FAA">
        <w:t>.</w:t>
      </w:r>
      <w:r w:rsidR="00E11AC9">
        <w:t xml:space="preserve"> </w:t>
      </w:r>
    </w:p>
    <w:p w14:paraId="362ED629" w14:textId="77777777" w:rsidR="00BE2FAA" w:rsidRDefault="00BE2FAA" w:rsidP="005A6358">
      <w:pPr>
        <w:pStyle w:val="bodytext0"/>
        <w:spacing w:before="0" w:beforeAutospacing="0" w:after="0" w:afterAutospacing="0" w:line="276" w:lineRule="auto"/>
        <w:ind w:firstLine="1298"/>
        <w:jc w:val="both"/>
      </w:pPr>
      <w:r w:rsidRPr="006216FB">
        <w:t>Informacija</w:t>
      </w:r>
      <w:r w:rsidRPr="006D6769">
        <w:t xml:space="preserve"> </w:t>
      </w:r>
      <w:r>
        <w:t xml:space="preserve">apie pinigus ir pinigų ekvivalentus </w:t>
      </w:r>
      <w:r w:rsidRPr="006216FB">
        <w:t xml:space="preserve">pateikta prie finansinių ataskaitų aiškinamojo rašto </w:t>
      </w:r>
      <w:r>
        <w:t xml:space="preserve">pagal </w:t>
      </w:r>
      <w:r w:rsidRPr="006216FB">
        <w:t xml:space="preserve">17-ojo VSAFAS „Finansinis turtas ir finansiniai įsipareigojimai“ </w:t>
      </w:r>
      <w:r>
        <w:t>8</w:t>
      </w:r>
      <w:r w:rsidRPr="006216FB">
        <w:t xml:space="preserve"> priede</w:t>
      </w:r>
      <w:r>
        <w:t xml:space="preserve"> nustatytą formą „Informacija apie pi</w:t>
      </w:r>
      <w:r w:rsidR="00D67E99">
        <w:t>nigus ir pinigų ekvivalentus“ (3</w:t>
      </w:r>
      <w:r>
        <w:t xml:space="preserve"> priedas).</w:t>
      </w:r>
    </w:p>
    <w:p w14:paraId="7DADCE4B" w14:textId="77777777" w:rsidR="00A30EC1" w:rsidRPr="0021357D" w:rsidRDefault="00D67E99" w:rsidP="00335EC8">
      <w:pPr>
        <w:pStyle w:val="bodytext0"/>
        <w:spacing w:line="276" w:lineRule="auto"/>
        <w:ind w:firstLine="1296"/>
        <w:rPr>
          <w:b/>
        </w:rPr>
      </w:pPr>
      <w:r>
        <w:rPr>
          <w:b/>
        </w:rPr>
        <w:t>4</w:t>
      </w:r>
      <w:r w:rsidR="0021357D" w:rsidRPr="0021357D">
        <w:rPr>
          <w:b/>
        </w:rPr>
        <w:t xml:space="preserve"> pastaba. </w:t>
      </w:r>
      <w:r w:rsidR="00B27EC5">
        <w:rPr>
          <w:b/>
        </w:rPr>
        <w:t>Trumpalaikiai įsipareigojimai</w:t>
      </w:r>
    </w:p>
    <w:p w14:paraId="0FD00F55" w14:textId="77777777" w:rsidR="006A7B35" w:rsidRDefault="006A7B35" w:rsidP="00574C52">
      <w:pPr>
        <w:pStyle w:val="bodytext0"/>
        <w:spacing w:before="0" w:beforeAutospacing="0" w:after="0" w:afterAutospacing="0" w:line="276" w:lineRule="auto"/>
        <w:ind w:firstLine="1260"/>
        <w:jc w:val="both"/>
        <w:rPr>
          <w:spacing w:val="-2"/>
        </w:rPr>
      </w:pPr>
      <w:r>
        <w:rPr>
          <w:spacing w:val="-2"/>
        </w:rPr>
        <w:t xml:space="preserve">Trumpalaikiai įsipareigojimai“ </w:t>
      </w:r>
      <w:r w:rsidR="004B0875">
        <w:rPr>
          <w:spacing w:val="-2"/>
        </w:rPr>
        <w:t xml:space="preserve">pripažįstami, vertinami, registruojami </w:t>
      </w:r>
      <w:r>
        <w:rPr>
          <w:spacing w:val="-2"/>
        </w:rPr>
        <w:t xml:space="preserve">IAENF </w:t>
      </w:r>
      <w:r w:rsidR="004B0875">
        <w:rPr>
          <w:spacing w:val="-2"/>
        </w:rPr>
        <w:t xml:space="preserve">apskaitoje ir rodomi finansinės būklės ataskaitoje pagal </w:t>
      </w:r>
      <w:r w:rsidR="004B0875" w:rsidRPr="006216FB">
        <w:t>17-ojo VSAFAS „Finansinis turtas ir finansiniai įsipareigojimai</w:t>
      </w:r>
      <w:r w:rsidR="004B0875">
        <w:rPr>
          <w:spacing w:val="-2"/>
        </w:rPr>
        <w:t>“ nuostatas.</w:t>
      </w:r>
    </w:p>
    <w:p w14:paraId="3BE8DB90" w14:textId="1BFF05DA" w:rsidR="009B487B" w:rsidRDefault="0034757F" w:rsidP="005431A3">
      <w:pPr>
        <w:pStyle w:val="bodytext0"/>
        <w:spacing w:before="0" w:beforeAutospacing="0" w:after="0" w:afterAutospacing="0" w:line="276" w:lineRule="auto"/>
        <w:ind w:firstLine="1260"/>
        <w:jc w:val="both"/>
        <w:rPr>
          <w:spacing w:val="-2"/>
        </w:rPr>
      </w:pPr>
      <w:r>
        <w:rPr>
          <w:color w:val="000000"/>
          <w:spacing w:val="-2"/>
        </w:rPr>
        <w:t>Straipsnyje „</w:t>
      </w:r>
      <w:r w:rsidRPr="00C0101C">
        <w:rPr>
          <w:color w:val="000000"/>
          <w:spacing w:val="-2"/>
        </w:rPr>
        <w:t>Sukauptos mokėtinos sumos“ parodyt</w:t>
      </w:r>
      <w:r>
        <w:rPr>
          <w:color w:val="000000"/>
          <w:spacing w:val="-2"/>
        </w:rPr>
        <w:t xml:space="preserve">os </w:t>
      </w:r>
      <w:r w:rsidR="005431A3">
        <w:rPr>
          <w:spacing w:val="-2"/>
        </w:rPr>
        <w:t xml:space="preserve">sukauptos neigiamos palūkanos už sąskaitų likučius – </w:t>
      </w:r>
      <w:r w:rsidR="000756B5">
        <w:rPr>
          <w:spacing w:val="-2"/>
        </w:rPr>
        <w:t>67,99</w:t>
      </w:r>
      <w:r w:rsidR="00D67E99">
        <w:rPr>
          <w:spacing w:val="-2"/>
        </w:rPr>
        <w:t xml:space="preserve"> eur</w:t>
      </w:r>
      <w:r w:rsidR="002B2087">
        <w:rPr>
          <w:spacing w:val="-2"/>
        </w:rPr>
        <w:t>o</w:t>
      </w:r>
      <w:r w:rsidR="001C3AE8">
        <w:rPr>
          <w:spacing w:val="-2"/>
        </w:rPr>
        <w:t>.</w:t>
      </w:r>
    </w:p>
    <w:p w14:paraId="6F3BF92E" w14:textId="42929752" w:rsidR="00BE2FAA" w:rsidRDefault="00BE2FAA" w:rsidP="005431A3">
      <w:pPr>
        <w:pStyle w:val="bodytext0"/>
        <w:spacing w:before="0" w:beforeAutospacing="0" w:after="0" w:afterAutospacing="0" w:line="276" w:lineRule="auto"/>
        <w:ind w:firstLine="1260"/>
        <w:jc w:val="both"/>
        <w:rPr>
          <w:spacing w:val="-2"/>
        </w:rPr>
      </w:pPr>
      <w:r w:rsidRPr="006216FB">
        <w:t>Informacija</w:t>
      </w:r>
      <w:r w:rsidRPr="006D6769">
        <w:t xml:space="preserve"> </w:t>
      </w:r>
      <w:r>
        <w:t xml:space="preserve">apie kai kurias trumpalaikes mokėtinas sumas </w:t>
      </w:r>
      <w:r w:rsidRPr="006216FB">
        <w:t xml:space="preserve">pateikta prie finansinių ataskaitų aiškinamojo rašto </w:t>
      </w:r>
      <w:r>
        <w:t xml:space="preserve">pagal </w:t>
      </w:r>
      <w:r w:rsidRPr="006216FB">
        <w:t xml:space="preserve">17-ojo VSAFAS „Finansinis turtas ir finansiniai įsipareigojimai“ </w:t>
      </w:r>
      <w:r w:rsidR="002B2087">
        <w:br/>
      </w:r>
      <w:r>
        <w:t>12</w:t>
      </w:r>
      <w:r w:rsidRPr="006216FB">
        <w:t xml:space="preserve"> priede</w:t>
      </w:r>
      <w:r>
        <w:t xml:space="preserve"> nustatytą formą „Informacija apie kai kurias </w:t>
      </w:r>
      <w:r w:rsidR="00D67E99">
        <w:t>trumpalaikes mokėtinas sumas“ (4</w:t>
      </w:r>
      <w:r>
        <w:t xml:space="preserve"> priedas), o apie įsipareigojimų dalį nacionaline ir užsienio valiutomis pateikta pagal </w:t>
      </w:r>
      <w:r w:rsidRPr="00E1315B">
        <w:t>17-ojo VSAFAS „Finansinis turtas ir finansiniai įsipareigojimai“ 1</w:t>
      </w:r>
      <w:r>
        <w:t>3</w:t>
      </w:r>
      <w:r w:rsidRPr="00E1315B">
        <w:t xml:space="preserve"> priede nustatytą formą</w:t>
      </w:r>
      <w:r>
        <w:t xml:space="preserve"> „Informacija apie įsipareigojimų dalį (įskaitant finansinės nuomos (lizingo) įsipareigojimus) nacionaline ir užsienio valiutomis (</w:t>
      </w:r>
      <w:r w:rsidR="00D67E99">
        <w:t>5</w:t>
      </w:r>
      <w:r>
        <w:t xml:space="preserve"> priedas).</w:t>
      </w:r>
    </w:p>
    <w:p w14:paraId="6AD339B1" w14:textId="77777777" w:rsidR="00475B7F" w:rsidRPr="00475B7F" w:rsidRDefault="001239EB" w:rsidP="00335EC8">
      <w:pPr>
        <w:pStyle w:val="bodytext0"/>
        <w:spacing w:line="276" w:lineRule="auto"/>
        <w:ind w:firstLine="1296"/>
        <w:rPr>
          <w:b/>
          <w:spacing w:val="-2"/>
        </w:rPr>
      </w:pPr>
      <w:r>
        <w:rPr>
          <w:b/>
          <w:spacing w:val="-2"/>
        </w:rPr>
        <w:lastRenderedPageBreak/>
        <w:t>5</w:t>
      </w:r>
      <w:r w:rsidR="00475B7F" w:rsidRPr="00475B7F">
        <w:rPr>
          <w:b/>
          <w:spacing w:val="-2"/>
        </w:rPr>
        <w:t xml:space="preserve"> pastaba. Grynasis turtas</w:t>
      </w:r>
    </w:p>
    <w:p w14:paraId="44592F5D" w14:textId="7FDEF7E6" w:rsidR="00475B7F" w:rsidRDefault="00475B7F" w:rsidP="00335EC8">
      <w:pPr>
        <w:pStyle w:val="bodytext0"/>
        <w:spacing w:line="276" w:lineRule="auto"/>
        <w:ind w:firstLine="1296"/>
        <w:jc w:val="both"/>
        <w:rPr>
          <w:spacing w:val="-2"/>
        </w:rPr>
      </w:pPr>
      <w:r w:rsidRPr="009B487B">
        <w:rPr>
          <w:spacing w:val="-2"/>
        </w:rPr>
        <w:t xml:space="preserve">Straipsnyje „Grynasis turtas“ </w:t>
      </w:r>
      <w:r>
        <w:rPr>
          <w:spacing w:val="-2"/>
        </w:rPr>
        <w:t>parodytas</w:t>
      </w:r>
      <w:r w:rsidR="000275F0">
        <w:rPr>
          <w:spacing w:val="-2"/>
        </w:rPr>
        <w:t xml:space="preserve"> IA</w:t>
      </w:r>
      <w:r>
        <w:rPr>
          <w:spacing w:val="-2"/>
        </w:rPr>
        <w:t>ENF</w:t>
      </w:r>
      <w:r w:rsidRPr="009B487B">
        <w:rPr>
          <w:spacing w:val="-2"/>
        </w:rPr>
        <w:t xml:space="preserve"> turto dalis, likusi iš fondo turto atėmus visus jo įsipareigojimus ir finansavimo sumas</w:t>
      </w:r>
      <w:r w:rsidR="00CD220B">
        <w:rPr>
          <w:spacing w:val="-2"/>
        </w:rPr>
        <w:t xml:space="preserve">. Einamųjų metų </w:t>
      </w:r>
      <w:r w:rsidR="000756B5">
        <w:rPr>
          <w:spacing w:val="-2"/>
        </w:rPr>
        <w:t>deficitas</w:t>
      </w:r>
      <w:r w:rsidR="003F5579">
        <w:rPr>
          <w:spacing w:val="-2"/>
        </w:rPr>
        <w:t xml:space="preserve"> –</w:t>
      </w:r>
      <w:r w:rsidR="00E85095">
        <w:rPr>
          <w:spacing w:val="-2"/>
        </w:rPr>
        <w:t xml:space="preserve"> </w:t>
      </w:r>
      <w:r w:rsidR="000756B5">
        <w:rPr>
          <w:spacing w:val="-2"/>
        </w:rPr>
        <w:t>366 575,20</w:t>
      </w:r>
      <w:r w:rsidR="00E85095">
        <w:rPr>
          <w:spacing w:val="-2"/>
        </w:rPr>
        <w:t xml:space="preserve"> </w:t>
      </w:r>
      <w:r w:rsidR="00D72100">
        <w:rPr>
          <w:spacing w:val="-2"/>
        </w:rPr>
        <w:t>eur</w:t>
      </w:r>
      <w:r w:rsidR="00895B6A">
        <w:rPr>
          <w:spacing w:val="-2"/>
        </w:rPr>
        <w:t>o</w:t>
      </w:r>
      <w:r w:rsidR="00D72100">
        <w:rPr>
          <w:spacing w:val="-2"/>
        </w:rPr>
        <w:t>,</w:t>
      </w:r>
      <w:r w:rsidR="003F5579">
        <w:rPr>
          <w:spacing w:val="-2"/>
        </w:rPr>
        <w:t xml:space="preserve"> ankstesnių metų perviršis –</w:t>
      </w:r>
      <w:r w:rsidR="006B6E4D">
        <w:rPr>
          <w:spacing w:val="-2"/>
        </w:rPr>
        <w:t xml:space="preserve"> </w:t>
      </w:r>
      <w:r w:rsidR="000756B5">
        <w:rPr>
          <w:spacing w:val="-2"/>
        </w:rPr>
        <w:t>464 319,09</w:t>
      </w:r>
      <w:r w:rsidR="00FC628B">
        <w:rPr>
          <w:spacing w:val="-2"/>
        </w:rPr>
        <w:t xml:space="preserve"> eur</w:t>
      </w:r>
      <w:r w:rsidR="00895B6A">
        <w:rPr>
          <w:spacing w:val="-2"/>
        </w:rPr>
        <w:t>o</w:t>
      </w:r>
      <w:r w:rsidR="003F5579">
        <w:rPr>
          <w:spacing w:val="-2"/>
        </w:rPr>
        <w:t>.</w:t>
      </w:r>
      <w:r w:rsidRPr="009B487B">
        <w:rPr>
          <w:spacing w:val="-2"/>
        </w:rPr>
        <w:t xml:space="preserve"> Informacija apie grynąjį turtą pateikiama, grupuojama ir rodoma pagal 4-ojo VSAFAS „Grynojo turto pokyčių ataskaita“ nuostatas.</w:t>
      </w:r>
      <w:r>
        <w:rPr>
          <w:spacing w:val="-2"/>
        </w:rPr>
        <w:t xml:space="preserve"> </w:t>
      </w:r>
    </w:p>
    <w:p w14:paraId="2C7AEA90" w14:textId="77777777" w:rsidR="00FC628B" w:rsidRPr="00AB05C1" w:rsidRDefault="00FC628B" w:rsidP="00FC628B">
      <w:pPr>
        <w:pStyle w:val="bodytext0"/>
        <w:spacing w:line="276" w:lineRule="auto"/>
        <w:ind w:firstLine="1296"/>
        <w:jc w:val="both"/>
        <w:rPr>
          <w:b/>
          <w:spacing w:val="-2"/>
        </w:rPr>
      </w:pPr>
      <w:r w:rsidRPr="00AB05C1">
        <w:rPr>
          <w:b/>
          <w:spacing w:val="-2"/>
        </w:rPr>
        <w:t>Informacija pagal veiklos segmentus</w:t>
      </w:r>
    </w:p>
    <w:p w14:paraId="02855FBF" w14:textId="77777777" w:rsidR="00FC628B" w:rsidRDefault="00FC628B" w:rsidP="00FC628B">
      <w:pPr>
        <w:pStyle w:val="bodytext0"/>
        <w:spacing w:line="276" w:lineRule="auto"/>
        <w:ind w:firstLine="1296"/>
        <w:jc w:val="both"/>
        <w:rPr>
          <w:spacing w:val="-2"/>
        </w:rPr>
      </w:pPr>
      <w:r>
        <w:rPr>
          <w:spacing w:val="-2"/>
        </w:rPr>
        <w:t xml:space="preserve">Informacija pagal veiklos segmentus pateikta </w:t>
      </w:r>
      <w:r w:rsidRPr="00AB05C1">
        <w:rPr>
          <w:spacing w:val="-2"/>
        </w:rPr>
        <w:t>prie finansinių ataskaitų aiškinamojo rašto pagal</w:t>
      </w:r>
      <w:r>
        <w:rPr>
          <w:spacing w:val="-2"/>
        </w:rPr>
        <w:t xml:space="preserve"> 25-ojo VSAFAS „Segmentai“ priede nustatytą formą „Informacija pagal veiklos segmentus“ (</w:t>
      </w:r>
      <w:r w:rsidR="00F241EE">
        <w:rPr>
          <w:spacing w:val="-2"/>
        </w:rPr>
        <w:t>6</w:t>
      </w:r>
      <w:r>
        <w:rPr>
          <w:spacing w:val="-2"/>
        </w:rPr>
        <w:t xml:space="preserve"> </w:t>
      </w:r>
      <w:r w:rsidR="00F241EE">
        <w:rPr>
          <w:spacing w:val="-2"/>
        </w:rPr>
        <w:t>priedas, 7</w:t>
      </w:r>
      <w:r>
        <w:rPr>
          <w:spacing w:val="-2"/>
        </w:rPr>
        <w:t xml:space="preserve"> priedas).</w:t>
      </w:r>
    </w:p>
    <w:p w14:paraId="6E42D071" w14:textId="45DA6746" w:rsidR="00C45BEB" w:rsidRDefault="00C45BEB" w:rsidP="00C45BEB">
      <w:pPr>
        <w:pStyle w:val="bodytext0"/>
        <w:spacing w:line="276" w:lineRule="auto"/>
        <w:ind w:firstLine="1296"/>
        <w:jc w:val="center"/>
        <w:rPr>
          <w:b/>
          <w:spacing w:val="-2"/>
        </w:rPr>
      </w:pPr>
      <w:r>
        <w:rPr>
          <w:b/>
          <w:spacing w:val="-2"/>
        </w:rPr>
        <w:t>VEIKLOS REZULTATŲ ATASKAITA</w:t>
      </w:r>
    </w:p>
    <w:p w14:paraId="66B8BED2" w14:textId="77777777" w:rsidR="00D95CB1" w:rsidRDefault="00D95CB1" w:rsidP="00C45BEB">
      <w:pPr>
        <w:pStyle w:val="bodytext0"/>
        <w:spacing w:line="276" w:lineRule="auto"/>
        <w:ind w:firstLine="1296"/>
        <w:jc w:val="center"/>
        <w:rPr>
          <w:b/>
          <w:spacing w:val="-2"/>
        </w:rPr>
      </w:pPr>
    </w:p>
    <w:p w14:paraId="779ECA06" w14:textId="77777777" w:rsidR="00274F6E" w:rsidRDefault="00A01ACB" w:rsidP="00EF7276">
      <w:pPr>
        <w:pStyle w:val="bodytext0"/>
        <w:spacing w:line="276" w:lineRule="auto"/>
        <w:ind w:firstLine="1296"/>
        <w:jc w:val="both"/>
        <w:rPr>
          <w:spacing w:val="-2"/>
        </w:rPr>
      </w:pPr>
      <w:r>
        <w:rPr>
          <w:b/>
          <w:spacing w:val="-2"/>
        </w:rPr>
        <w:t>6</w:t>
      </w:r>
      <w:r w:rsidR="00274F6E">
        <w:rPr>
          <w:b/>
          <w:spacing w:val="-2"/>
        </w:rPr>
        <w:t xml:space="preserve"> pastaba.</w:t>
      </w:r>
      <w:r w:rsidR="00274F6E" w:rsidRPr="00274F6E">
        <w:rPr>
          <w:b/>
          <w:spacing w:val="-2"/>
        </w:rPr>
        <w:t xml:space="preserve"> </w:t>
      </w:r>
      <w:r w:rsidR="00274F6E" w:rsidRPr="004A5A24">
        <w:rPr>
          <w:b/>
          <w:spacing w:val="-2"/>
        </w:rPr>
        <w:t>Pagrindinės veiklos pajamos</w:t>
      </w:r>
    </w:p>
    <w:p w14:paraId="21B92D09" w14:textId="7DCCEE8C" w:rsidR="00E87DB8" w:rsidRDefault="009C79DD" w:rsidP="004926C1">
      <w:pPr>
        <w:pStyle w:val="bodytext0"/>
        <w:spacing w:before="0" w:beforeAutospacing="0" w:after="0" w:afterAutospacing="0" w:line="276" w:lineRule="auto"/>
        <w:ind w:firstLine="1298"/>
        <w:jc w:val="both"/>
        <w:rPr>
          <w:spacing w:val="-2"/>
        </w:rPr>
      </w:pPr>
      <w:r w:rsidRPr="009C79DD">
        <w:rPr>
          <w:spacing w:val="-2"/>
        </w:rPr>
        <w:t>Fondo pajamos ir sąnaudos veiklos rezultatų ataskaitoje par</w:t>
      </w:r>
      <w:r>
        <w:rPr>
          <w:spacing w:val="-2"/>
        </w:rPr>
        <w:t>odytos pagal veiklos pobūdį, t.</w:t>
      </w:r>
      <w:r w:rsidR="005902FB">
        <w:rPr>
          <w:spacing w:val="-2"/>
        </w:rPr>
        <w:t xml:space="preserve"> </w:t>
      </w:r>
      <w:r w:rsidRPr="009C79DD">
        <w:rPr>
          <w:spacing w:val="-2"/>
        </w:rPr>
        <w:t>y. pagrindinės veiklos, kitos veiklos, finansinės ir investicinės veiklos, kad būtų aišku, iš kokių pajamų subjektas finansuoja savo vykdomą veiklą ir kokie atitinkamos veiklos r</w:t>
      </w:r>
      <w:r>
        <w:rPr>
          <w:spacing w:val="-2"/>
        </w:rPr>
        <w:t xml:space="preserve">ezultatai. </w:t>
      </w:r>
      <w:r w:rsidR="00141E70">
        <w:rPr>
          <w:spacing w:val="-2"/>
        </w:rPr>
        <w:t xml:space="preserve">Nuo 2014 m. įsigaliojus </w:t>
      </w:r>
      <w:r w:rsidR="00621ED1" w:rsidRPr="00621ED1">
        <w:rPr>
          <w:spacing w:val="-2"/>
        </w:rPr>
        <w:t>Lietuvos Respublikos valstybės įmonės Ignalinos atominės elektrinės eksploatavimo nutraukimo fondo įstatymo</w:t>
      </w:r>
      <w:r w:rsidR="00621ED1">
        <w:rPr>
          <w:spacing w:val="-2"/>
        </w:rPr>
        <w:t xml:space="preserve"> 2, 3, 4, 5 straipsnių pakeitimams,</w:t>
      </w:r>
      <w:r w:rsidR="00870C13">
        <w:rPr>
          <w:spacing w:val="-2"/>
        </w:rPr>
        <w:t xml:space="preserve"> </w:t>
      </w:r>
      <w:r w:rsidR="00D72100">
        <w:rPr>
          <w:spacing w:val="-2"/>
        </w:rPr>
        <w:t>g</w:t>
      </w:r>
      <w:r w:rsidR="00621ED1" w:rsidRPr="00621ED1">
        <w:rPr>
          <w:spacing w:val="-2"/>
        </w:rPr>
        <w:t xml:space="preserve">autos </w:t>
      </w:r>
      <w:r w:rsidR="00E87DB8">
        <w:rPr>
          <w:spacing w:val="-2"/>
        </w:rPr>
        <w:t xml:space="preserve">pajamos </w:t>
      </w:r>
      <w:r w:rsidR="00621ED1" w:rsidRPr="00621ED1">
        <w:rPr>
          <w:spacing w:val="-2"/>
        </w:rPr>
        <w:t xml:space="preserve">už </w:t>
      </w:r>
      <w:r w:rsidR="00B20A85">
        <w:rPr>
          <w:spacing w:val="-2"/>
        </w:rPr>
        <w:t>VĮ</w:t>
      </w:r>
      <w:r w:rsidR="00621ED1" w:rsidRPr="00621ED1">
        <w:rPr>
          <w:spacing w:val="-2"/>
        </w:rPr>
        <w:t xml:space="preserve"> Ignalinos </w:t>
      </w:r>
      <w:r w:rsidR="00B20A85">
        <w:rPr>
          <w:spacing w:val="-2"/>
        </w:rPr>
        <w:t>AE</w:t>
      </w:r>
      <w:r w:rsidR="00621ED1" w:rsidRPr="00621ED1">
        <w:rPr>
          <w:spacing w:val="-2"/>
        </w:rPr>
        <w:t xml:space="preserve"> parduotą turtą,</w:t>
      </w:r>
      <w:r w:rsidR="00E87DB8">
        <w:rPr>
          <w:spacing w:val="-2"/>
        </w:rPr>
        <w:t xml:space="preserve"> veiklos rezultatų ataskaitoje rodomos pagrindinės veiklos pajamose</w:t>
      </w:r>
      <w:r w:rsidR="000D08A4">
        <w:rPr>
          <w:spacing w:val="-2"/>
        </w:rPr>
        <w:t xml:space="preserve"> – </w:t>
      </w:r>
      <w:r w:rsidR="00DF5ECD">
        <w:rPr>
          <w:spacing w:val="-2"/>
        </w:rPr>
        <w:t>993 679,01</w:t>
      </w:r>
      <w:r w:rsidR="00FC628B">
        <w:rPr>
          <w:spacing w:val="-2"/>
        </w:rPr>
        <w:t xml:space="preserve"> eur</w:t>
      </w:r>
      <w:r w:rsidR="005902FB">
        <w:rPr>
          <w:spacing w:val="-2"/>
        </w:rPr>
        <w:t>o</w:t>
      </w:r>
      <w:r w:rsidR="00E87DB8">
        <w:rPr>
          <w:spacing w:val="-2"/>
        </w:rPr>
        <w:t>.</w:t>
      </w:r>
    </w:p>
    <w:p w14:paraId="580178A0" w14:textId="77777777" w:rsidR="00FC628B" w:rsidRPr="00876404" w:rsidRDefault="00FC628B" w:rsidP="004926C1">
      <w:pPr>
        <w:pStyle w:val="bodytext0"/>
        <w:spacing w:before="0" w:beforeAutospacing="0" w:after="0" w:afterAutospacing="0" w:line="276" w:lineRule="auto"/>
        <w:ind w:firstLine="1298"/>
        <w:jc w:val="both"/>
        <w:rPr>
          <w:color w:val="000000"/>
          <w:spacing w:val="-2"/>
        </w:rPr>
      </w:pPr>
      <w:r w:rsidRPr="00876404">
        <w:rPr>
          <w:color w:val="000000"/>
        </w:rPr>
        <w:t xml:space="preserve">Informacija apie pagrindinės veiklos kitas pajamas pateikta prie finansinių ataskaitų aiškinamojo rašto pagal 10-ojo VSAFAS „Kitos pajamos“ </w:t>
      </w:r>
      <w:r w:rsidR="00F95A20" w:rsidRPr="00876404">
        <w:rPr>
          <w:color w:val="000000"/>
        </w:rPr>
        <w:t>1</w:t>
      </w:r>
      <w:r w:rsidRPr="00876404">
        <w:rPr>
          <w:color w:val="000000"/>
        </w:rPr>
        <w:t xml:space="preserve"> priede nustatytą </w:t>
      </w:r>
      <w:r w:rsidR="00134584" w:rsidRPr="00876404">
        <w:rPr>
          <w:color w:val="000000"/>
        </w:rPr>
        <w:t>formą „Pagrindinės veiklos kitų pajamų pateikimas žemesniojo ir aukštesniojo lygių viešojo sektoriaus subjekto finansinių ataskaitų aiškinamajame rašte</w:t>
      </w:r>
      <w:r w:rsidR="00A01ACB" w:rsidRPr="00876404">
        <w:rPr>
          <w:color w:val="000000"/>
        </w:rPr>
        <w:t>“ (8</w:t>
      </w:r>
      <w:r w:rsidRPr="00876404">
        <w:rPr>
          <w:color w:val="000000"/>
        </w:rPr>
        <w:t xml:space="preserve"> priedas).</w:t>
      </w:r>
    </w:p>
    <w:p w14:paraId="4B7D8178" w14:textId="77777777" w:rsidR="00475B7F" w:rsidRDefault="00E637FA" w:rsidP="00335EC8">
      <w:pPr>
        <w:pStyle w:val="bodytext0"/>
        <w:spacing w:line="276" w:lineRule="auto"/>
        <w:ind w:firstLine="1296"/>
        <w:rPr>
          <w:b/>
          <w:spacing w:val="-2"/>
        </w:rPr>
      </w:pPr>
      <w:r>
        <w:rPr>
          <w:b/>
          <w:spacing w:val="-2"/>
        </w:rPr>
        <w:t>7</w:t>
      </w:r>
      <w:r w:rsidR="00475B7F">
        <w:rPr>
          <w:b/>
          <w:spacing w:val="-2"/>
        </w:rPr>
        <w:t xml:space="preserve"> pastaba. Pagrindinės veiklos sąnaudos</w:t>
      </w:r>
    </w:p>
    <w:p w14:paraId="28DCAF4A" w14:textId="77777777" w:rsidR="00C53056" w:rsidRPr="00F71576" w:rsidRDefault="00F71576" w:rsidP="00C53056">
      <w:pPr>
        <w:tabs>
          <w:tab w:val="left" w:pos="1260"/>
        </w:tabs>
        <w:spacing w:line="276" w:lineRule="auto"/>
        <w:ind w:right="96"/>
        <w:jc w:val="both"/>
        <w:rPr>
          <w:rFonts w:cs="Times New Roman"/>
          <w:szCs w:val="24"/>
        </w:rPr>
      </w:pPr>
      <w:r>
        <w:rPr>
          <w:rFonts w:cs="Times New Roman"/>
          <w:b/>
          <w:szCs w:val="24"/>
        </w:rPr>
        <w:tab/>
      </w:r>
      <w:r w:rsidR="00C53056">
        <w:rPr>
          <w:rFonts w:cs="Times New Roman"/>
          <w:b/>
          <w:szCs w:val="24"/>
        </w:rPr>
        <w:tab/>
      </w:r>
      <w:r w:rsidR="00C53056">
        <w:rPr>
          <w:rFonts w:cs="Times New Roman"/>
          <w:szCs w:val="24"/>
        </w:rPr>
        <w:t>Pagrindinės veiklos sąnaudų detalizavimas</w:t>
      </w:r>
      <w:r w:rsidR="00C53056" w:rsidRPr="00F71576">
        <w:rPr>
          <w:rFonts w:cs="Times New Roman"/>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57"/>
        <w:gridCol w:w="3379"/>
      </w:tblGrid>
      <w:tr w:rsidR="00C53056" w:rsidRPr="00C82EE3" w14:paraId="48DB4740" w14:textId="77777777" w:rsidTr="00B237B6">
        <w:tc>
          <w:tcPr>
            <w:tcW w:w="5657" w:type="dxa"/>
          </w:tcPr>
          <w:p w14:paraId="353D636E" w14:textId="77777777" w:rsidR="00C53056" w:rsidRPr="00C82EE3" w:rsidRDefault="00C53056" w:rsidP="00B237B6">
            <w:pPr>
              <w:tabs>
                <w:tab w:val="left" w:pos="1260"/>
              </w:tabs>
              <w:spacing w:line="276" w:lineRule="auto"/>
              <w:ind w:right="96"/>
              <w:jc w:val="both"/>
              <w:rPr>
                <w:rFonts w:cs="Times New Roman"/>
                <w:b/>
                <w:szCs w:val="24"/>
              </w:rPr>
            </w:pPr>
            <w:r w:rsidRPr="00C82EE3">
              <w:rPr>
                <w:rFonts w:cs="Times New Roman"/>
                <w:b/>
                <w:szCs w:val="24"/>
              </w:rPr>
              <w:t>Straipsniai</w:t>
            </w:r>
          </w:p>
        </w:tc>
        <w:tc>
          <w:tcPr>
            <w:tcW w:w="3379" w:type="dxa"/>
          </w:tcPr>
          <w:p w14:paraId="0F1C399F" w14:textId="77777777" w:rsidR="00C53056" w:rsidRPr="00C82EE3" w:rsidRDefault="00C53056" w:rsidP="00B237B6">
            <w:pPr>
              <w:tabs>
                <w:tab w:val="left" w:pos="1260"/>
              </w:tabs>
              <w:spacing w:line="276" w:lineRule="auto"/>
              <w:ind w:right="96"/>
              <w:jc w:val="both"/>
              <w:rPr>
                <w:rFonts w:cs="Times New Roman"/>
                <w:b/>
                <w:szCs w:val="24"/>
              </w:rPr>
            </w:pPr>
            <w:r w:rsidRPr="00C82EE3">
              <w:rPr>
                <w:rFonts w:cs="Times New Roman"/>
                <w:b/>
                <w:szCs w:val="24"/>
              </w:rPr>
              <w:t>Ataskaitinis laikotarpis</w:t>
            </w:r>
          </w:p>
        </w:tc>
      </w:tr>
      <w:tr w:rsidR="00C53056" w:rsidRPr="00C82EE3" w14:paraId="709E1E98" w14:textId="77777777" w:rsidTr="00B237B6">
        <w:tc>
          <w:tcPr>
            <w:tcW w:w="5657" w:type="dxa"/>
          </w:tcPr>
          <w:p w14:paraId="1F494ED3" w14:textId="77777777" w:rsidR="00C53056" w:rsidRPr="00C82EE3" w:rsidRDefault="00C53056" w:rsidP="00B237B6">
            <w:pPr>
              <w:tabs>
                <w:tab w:val="left" w:pos="1260"/>
              </w:tabs>
              <w:spacing w:line="276" w:lineRule="auto"/>
              <w:ind w:right="96"/>
              <w:jc w:val="both"/>
              <w:rPr>
                <w:rFonts w:cs="Times New Roman"/>
                <w:b/>
                <w:szCs w:val="24"/>
              </w:rPr>
            </w:pPr>
            <w:r w:rsidRPr="00C82EE3">
              <w:rPr>
                <w:rFonts w:cs="Times New Roman"/>
                <w:b/>
                <w:szCs w:val="24"/>
              </w:rPr>
              <w:t>Pagrindinės veiklos sąnaudos</w:t>
            </w:r>
          </w:p>
        </w:tc>
        <w:tc>
          <w:tcPr>
            <w:tcW w:w="3379" w:type="dxa"/>
          </w:tcPr>
          <w:p w14:paraId="5A61AFB2" w14:textId="39504727" w:rsidR="00C53056" w:rsidRPr="00C82EE3" w:rsidRDefault="00DF5ECD" w:rsidP="00B237B6">
            <w:pPr>
              <w:tabs>
                <w:tab w:val="left" w:pos="1260"/>
              </w:tabs>
              <w:spacing w:line="276" w:lineRule="auto"/>
              <w:ind w:right="96"/>
              <w:jc w:val="right"/>
              <w:rPr>
                <w:rFonts w:cs="Times New Roman"/>
                <w:b/>
                <w:szCs w:val="24"/>
              </w:rPr>
            </w:pPr>
            <w:r>
              <w:rPr>
                <w:rFonts w:cs="Times New Roman"/>
                <w:b/>
                <w:szCs w:val="24"/>
              </w:rPr>
              <w:t>4 417 317,99</w:t>
            </w:r>
          </w:p>
        </w:tc>
      </w:tr>
      <w:tr w:rsidR="00C53056" w:rsidRPr="00C82EE3" w14:paraId="7ECE90B8" w14:textId="77777777" w:rsidTr="00B237B6">
        <w:tc>
          <w:tcPr>
            <w:tcW w:w="5657" w:type="dxa"/>
          </w:tcPr>
          <w:p w14:paraId="7D08B2BD" w14:textId="77777777" w:rsidR="00C53056" w:rsidRPr="00C82EE3" w:rsidRDefault="00C53056" w:rsidP="00B237B6">
            <w:pPr>
              <w:tabs>
                <w:tab w:val="left" w:pos="1260"/>
              </w:tabs>
              <w:spacing w:line="276" w:lineRule="auto"/>
              <w:ind w:right="96"/>
              <w:jc w:val="both"/>
              <w:rPr>
                <w:rFonts w:cs="Times New Roman"/>
                <w:b/>
                <w:szCs w:val="24"/>
              </w:rPr>
            </w:pPr>
            <w:r>
              <w:rPr>
                <w:rFonts w:cs="Times New Roman"/>
                <w:b/>
                <w:szCs w:val="24"/>
              </w:rPr>
              <w:t>Finansavimo sąnaudos</w:t>
            </w:r>
          </w:p>
        </w:tc>
        <w:tc>
          <w:tcPr>
            <w:tcW w:w="3379" w:type="dxa"/>
          </w:tcPr>
          <w:p w14:paraId="51BDF0E0" w14:textId="4B2FA929" w:rsidR="00C53056" w:rsidRDefault="00DF5ECD" w:rsidP="00B237B6">
            <w:pPr>
              <w:tabs>
                <w:tab w:val="left" w:pos="1260"/>
              </w:tabs>
              <w:spacing w:line="276" w:lineRule="auto"/>
              <w:ind w:right="96"/>
              <w:jc w:val="right"/>
              <w:rPr>
                <w:rFonts w:cs="Times New Roman"/>
                <w:b/>
                <w:szCs w:val="24"/>
              </w:rPr>
            </w:pPr>
            <w:r>
              <w:rPr>
                <w:rFonts w:cs="Times New Roman"/>
                <w:b/>
                <w:szCs w:val="24"/>
              </w:rPr>
              <w:t>4 417 315,19</w:t>
            </w:r>
          </w:p>
        </w:tc>
      </w:tr>
      <w:tr w:rsidR="00C53056" w:rsidRPr="00C82EE3" w14:paraId="6E181F07" w14:textId="77777777" w:rsidTr="00B237B6">
        <w:tc>
          <w:tcPr>
            <w:tcW w:w="5657" w:type="dxa"/>
          </w:tcPr>
          <w:p w14:paraId="5592F0C2" w14:textId="77777777" w:rsidR="00C53056" w:rsidRPr="00C82EE3" w:rsidRDefault="00C53056" w:rsidP="00B237B6">
            <w:pPr>
              <w:tabs>
                <w:tab w:val="left" w:pos="1260"/>
              </w:tabs>
              <w:spacing w:line="276" w:lineRule="auto"/>
              <w:ind w:right="96"/>
              <w:jc w:val="both"/>
              <w:rPr>
                <w:rFonts w:cs="Times New Roman"/>
                <w:szCs w:val="24"/>
              </w:rPr>
            </w:pPr>
            <w:r w:rsidRPr="00C82EE3">
              <w:rPr>
                <w:rFonts w:cs="Times New Roman"/>
                <w:szCs w:val="24"/>
              </w:rPr>
              <w:t>Eksploatavimo nutraukimo techniniams projektams įgyvendinti sąnaudos (3.1)</w:t>
            </w:r>
          </w:p>
        </w:tc>
        <w:tc>
          <w:tcPr>
            <w:tcW w:w="3379" w:type="dxa"/>
          </w:tcPr>
          <w:p w14:paraId="012B1D85" w14:textId="31904D8A" w:rsidR="00C53056" w:rsidRPr="00C82EE3" w:rsidRDefault="00DF5ECD" w:rsidP="00B237B6">
            <w:pPr>
              <w:tabs>
                <w:tab w:val="left" w:pos="1260"/>
              </w:tabs>
              <w:spacing w:line="276" w:lineRule="auto"/>
              <w:ind w:right="96"/>
              <w:jc w:val="right"/>
              <w:rPr>
                <w:rFonts w:cs="Times New Roman"/>
                <w:szCs w:val="24"/>
              </w:rPr>
            </w:pPr>
            <w:r>
              <w:rPr>
                <w:rFonts w:cs="Times New Roman"/>
                <w:szCs w:val="24"/>
              </w:rPr>
              <w:t>63 174,00</w:t>
            </w:r>
          </w:p>
        </w:tc>
      </w:tr>
      <w:tr w:rsidR="00C53056" w:rsidRPr="00C82EE3" w14:paraId="235605B0" w14:textId="77777777" w:rsidTr="00B237B6">
        <w:tc>
          <w:tcPr>
            <w:tcW w:w="5657" w:type="dxa"/>
          </w:tcPr>
          <w:p w14:paraId="2E6B33BA" w14:textId="77777777" w:rsidR="00C53056" w:rsidRPr="00C82EE3" w:rsidRDefault="00C53056" w:rsidP="00B237B6">
            <w:pPr>
              <w:tabs>
                <w:tab w:val="left" w:pos="1260"/>
              </w:tabs>
              <w:spacing w:line="276" w:lineRule="auto"/>
              <w:ind w:right="96"/>
              <w:jc w:val="both"/>
              <w:rPr>
                <w:rFonts w:cs="Times New Roman"/>
                <w:szCs w:val="24"/>
              </w:rPr>
            </w:pPr>
            <w:r w:rsidRPr="00C82EE3">
              <w:rPr>
                <w:rFonts w:cs="Times New Roman"/>
                <w:szCs w:val="24"/>
              </w:rPr>
              <w:t>Sustabdyto pirmojo bloko priežiūrai ir fizinei saugai užtikrinti sąnaudos (3.2)</w:t>
            </w:r>
          </w:p>
        </w:tc>
        <w:tc>
          <w:tcPr>
            <w:tcW w:w="3379" w:type="dxa"/>
          </w:tcPr>
          <w:p w14:paraId="61AC200A" w14:textId="412ACA76" w:rsidR="00C53056" w:rsidRPr="00C82EE3" w:rsidRDefault="00DF5ECD" w:rsidP="00B237B6">
            <w:pPr>
              <w:tabs>
                <w:tab w:val="left" w:pos="1260"/>
              </w:tabs>
              <w:spacing w:line="276" w:lineRule="auto"/>
              <w:ind w:right="96"/>
              <w:jc w:val="right"/>
              <w:rPr>
                <w:rFonts w:cs="Times New Roman"/>
                <w:szCs w:val="24"/>
              </w:rPr>
            </w:pPr>
            <w:r>
              <w:rPr>
                <w:rFonts w:cs="Times New Roman"/>
                <w:szCs w:val="24"/>
              </w:rPr>
              <w:t>3 034 730,94</w:t>
            </w:r>
          </w:p>
        </w:tc>
      </w:tr>
      <w:tr w:rsidR="00C53056" w:rsidRPr="00C82EE3" w14:paraId="1613B404" w14:textId="77777777" w:rsidTr="00B237B6">
        <w:tc>
          <w:tcPr>
            <w:tcW w:w="5657" w:type="dxa"/>
          </w:tcPr>
          <w:p w14:paraId="3624F38D" w14:textId="0C64BCF2" w:rsidR="00C53056" w:rsidRPr="00C82EE3" w:rsidRDefault="00C53056" w:rsidP="00B237B6">
            <w:pPr>
              <w:tabs>
                <w:tab w:val="left" w:pos="1260"/>
              </w:tabs>
              <w:spacing w:line="276" w:lineRule="auto"/>
              <w:ind w:right="96"/>
              <w:jc w:val="both"/>
              <w:rPr>
                <w:rFonts w:cs="Times New Roman"/>
                <w:szCs w:val="24"/>
              </w:rPr>
            </w:pPr>
            <w:r w:rsidRPr="00F12B9E">
              <w:rPr>
                <w:rFonts w:cs="Times New Roman"/>
                <w:szCs w:val="24"/>
              </w:rPr>
              <w:t>Neigiamiems socialiniams ir ekonominiams VĮ IAE eksplo</w:t>
            </w:r>
            <w:r>
              <w:rPr>
                <w:rFonts w:cs="Times New Roman"/>
                <w:szCs w:val="24"/>
              </w:rPr>
              <w:t>a</w:t>
            </w:r>
            <w:r w:rsidRPr="00F12B9E">
              <w:rPr>
                <w:rFonts w:cs="Times New Roman"/>
                <w:szCs w:val="24"/>
              </w:rPr>
              <w:t xml:space="preserve">tavimo nutraukimo padariniams </w:t>
            </w:r>
            <w:r>
              <w:rPr>
                <w:rFonts w:cs="Times New Roman"/>
                <w:szCs w:val="24"/>
              </w:rPr>
              <w:t xml:space="preserve">IAE regione </w:t>
            </w:r>
            <w:r w:rsidRPr="00F12B9E">
              <w:rPr>
                <w:rFonts w:cs="Times New Roman"/>
                <w:szCs w:val="24"/>
              </w:rPr>
              <w:t>sušvelninti</w:t>
            </w:r>
          </w:p>
        </w:tc>
        <w:tc>
          <w:tcPr>
            <w:tcW w:w="3379" w:type="dxa"/>
          </w:tcPr>
          <w:p w14:paraId="42A02E0E" w14:textId="6871CA2A" w:rsidR="00C53056" w:rsidRDefault="00DF5ECD" w:rsidP="00B237B6">
            <w:pPr>
              <w:tabs>
                <w:tab w:val="left" w:pos="1260"/>
              </w:tabs>
              <w:spacing w:line="276" w:lineRule="auto"/>
              <w:ind w:right="96"/>
              <w:jc w:val="right"/>
              <w:rPr>
                <w:rFonts w:cs="Times New Roman"/>
                <w:szCs w:val="24"/>
              </w:rPr>
            </w:pPr>
            <w:r>
              <w:rPr>
                <w:rFonts w:cs="Times New Roman"/>
                <w:szCs w:val="24"/>
              </w:rPr>
              <w:t>1 261 614,27</w:t>
            </w:r>
          </w:p>
        </w:tc>
      </w:tr>
      <w:tr w:rsidR="00C53056" w:rsidRPr="00C82EE3" w14:paraId="5FFE0E3D" w14:textId="77777777" w:rsidTr="00B237B6">
        <w:tc>
          <w:tcPr>
            <w:tcW w:w="5657" w:type="dxa"/>
          </w:tcPr>
          <w:p w14:paraId="0CEDCAA2" w14:textId="366259F0" w:rsidR="00C53056" w:rsidRPr="00C82EE3" w:rsidRDefault="00C53056" w:rsidP="00B237B6">
            <w:pPr>
              <w:tabs>
                <w:tab w:val="left" w:pos="1260"/>
              </w:tabs>
              <w:spacing w:line="276" w:lineRule="auto"/>
              <w:ind w:right="96"/>
              <w:jc w:val="both"/>
              <w:rPr>
                <w:rFonts w:cs="Times New Roman"/>
                <w:szCs w:val="24"/>
              </w:rPr>
            </w:pPr>
            <w:r w:rsidRPr="00C82EE3">
              <w:rPr>
                <w:rFonts w:cs="Times New Roman"/>
                <w:szCs w:val="24"/>
              </w:rPr>
              <w:t>Eksploatavimo nutraukimo fondo administravimo išlaidoms padengti (3.</w:t>
            </w:r>
            <w:r w:rsidR="002602F3">
              <w:rPr>
                <w:rFonts w:cs="Times New Roman"/>
                <w:szCs w:val="24"/>
              </w:rPr>
              <w:t>3</w:t>
            </w:r>
            <w:r w:rsidRPr="00C82EE3">
              <w:rPr>
                <w:rFonts w:cs="Times New Roman"/>
                <w:szCs w:val="24"/>
              </w:rPr>
              <w:t>)</w:t>
            </w:r>
          </w:p>
        </w:tc>
        <w:tc>
          <w:tcPr>
            <w:tcW w:w="3379" w:type="dxa"/>
          </w:tcPr>
          <w:p w14:paraId="19835FC7" w14:textId="28444B64" w:rsidR="00C53056" w:rsidRPr="00C82EE3" w:rsidRDefault="00DF5ECD" w:rsidP="00B237B6">
            <w:pPr>
              <w:tabs>
                <w:tab w:val="left" w:pos="1260"/>
              </w:tabs>
              <w:spacing w:line="276" w:lineRule="auto"/>
              <w:ind w:right="96"/>
              <w:jc w:val="right"/>
              <w:rPr>
                <w:rFonts w:cs="Times New Roman"/>
                <w:szCs w:val="24"/>
              </w:rPr>
            </w:pPr>
            <w:r>
              <w:rPr>
                <w:rFonts w:cs="Times New Roman"/>
                <w:szCs w:val="24"/>
              </w:rPr>
              <w:t>57 795,98</w:t>
            </w:r>
          </w:p>
        </w:tc>
      </w:tr>
      <w:tr w:rsidR="00C53056" w:rsidRPr="00C82EE3" w14:paraId="141F2E41" w14:textId="77777777" w:rsidTr="00B237B6">
        <w:tc>
          <w:tcPr>
            <w:tcW w:w="5657" w:type="dxa"/>
          </w:tcPr>
          <w:p w14:paraId="307515CC" w14:textId="77777777" w:rsidR="00C53056" w:rsidRPr="00C82EE3" w:rsidRDefault="00C53056" w:rsidP="00B237B6">
            <w:pPr>
              <w:tabs>
                <w:tab w:val="left" w:pos="1260"/>
              </w:tabs>
              <w:spacing w:line="276" w:lineRule="auto"/>
              <w:ind w:right="96"/>
              <w:jc w:val="both"/>
              <w:rPr>
                <w:rFonts w:cs="Times New Roman"/>
                <w:b/>
                <w:szCs w:val="24"/>
              </w:rPr>
            </w:pPr>
            <w:r w:rsidRPr="00C82EE3">
              <w:rPr>
                <w:rFonts w:cs="Times New Roman"/>
                <w:b/>
                <w:szCs w:val="24"/>
              </w:rPr>
              <w:lastRenderedPageBreak/>
              <w:t>Kitos pagrindinės veiklos sąnaudos</w:t>
            </w:r>
          </w:p>
        </w:tc>
        <w:tc>
          <w:tcPr>
            <w:tcW w:w="3379" w:type="dxa"/>
          </w:tcPr>
          <w:p w14:paraId="16D21292" w14:textId="723A3143" w:rsidR="00C53056" w:rsidRPr="00C82EE3" w:rsidRDefault="00DF5ECD" w:rsidP="00B237B6">
            <w:pPr>
              <w:tabs>
                <w:tab w:val="left" w:pos="1260"/>
              </w:tabs>
              <w:spacing w:line="276" w:lineRule="auto"/>
              <w:ind w:right="96"/>
              <w:jc w:val="right"/>
              <w:rPr>
                <w:rFonts w:cs="Times New Roman"/>
                <w:b/>
                <w:szCs w:val="24"/>
              </w:rPr>
            </w:pPr>
            <w:r>
              <w:rPr>
                <w:rFonts w:cs="Times New Roman"/>
                <w:b/>
                <w:szCs w:val="24"/>
              </w:rPr>
              <w:t>2,80</w:t>
            </w:r>
          </w:p>
        </w:tc>
      </w:tr>
      <w:tr w:rsidR="00C53056" w:rsidRPr="00C82EE3" w14:paraId="1605BEC3" w14:textId="77777777" w:rsidTr="00B237B6">
        <w:tc>
          <w:tcPr>
            <w:tcW w:w="5657" w:type="dxa"/>
          </w:tcPr>
          <w:p w14:paraId="0B3E2478" w14:textId="77777777" w:rsidR="00C53056" w:rsidRPr="00C82EE3" w:rsidRDefault="00C53056" w:rsidP="00B237B6">
            <w:pPr>
              <w:tabs>
                <w:tab w:val="left" w:pos="1260"/>
              </w:tabs>
              <w:spacing w:line="276" w:lineRule="auto"/>
              <w:ind w:right="96"/>
              <w:jc w:val="both"/>
              <w:rPr>
                <w:rFonts w:cs="Times New Roman"/>
                <w:szCs w:val="24"/>
              </w:rPr>
            </w:pPr>
            <w:r w:rsidRPr="00C82EE3">
              <w:rPr>
                <w:rFonts w:cs="Times New Roman"/>
                <w:szCs w:val="24"/>
              </w:rPr>
              <w:t>Valiutos keitimo mokestis</w:t>
            </w:r>
            <w:r>
              <w:rPr>
                <w:rFonts w:cs="Times New Roman"/>
                <w:szCs w:val="24"/>
              </w:rPr>
              <w:t>, banko paslaugos</w:t>
            </w:r>
          </w:p>
        </w:tc>
        <w:tc>
          <w:tcPr>
            <w:tcW w:w="3379" w:type="dxa"/>
          </w:tcPr>
          <w:p w14:paraId="6A09D38D" w14:textId="51A4A580" w:rsidR="00C53056" w:rsidRPr="00C82EE3" w:rsidRDefault="00DF5ECD" w:rsidP="00B237B6">
            <w:pPr>
              <w:tabs>
                <w:tab w:val="left" w:pos="1260"/>
              </w:tabs>
              <w:spacing w:line="276" w:lineRule="auto"/>
              <w:ind w:right="96"/>
              <w:jc w:val="right"/>
              <w:rPr>
                <w:rFonts w:cs="Times New Roman"/>
                <w:szCs w:val="24"/>
              </w:rPr>
            </w:pPr>
            <w:r>
              <w:rPr>
                <w:rFonts w:cs="Times New Roman"/>
                <w:szCs w:val="24"/>
              </w:rPr>
              <w:t>2,80</w:t>
            </w:r>
          </w:p>
        </w:tc>
      </w:tr>
    </w:tbl>
    <w:p w14:paraId="7573FFF3" w14:textId="77777777" w:rsidR="00F71576" w:rsidRDefault="00F71576" w:rsidP="00335EC8">
      <w:pPr>
        <w:tabs>
          <w:tab w:val="left" w:pos="1260"/>
        </w:tabs>
        <w:spacing w:line="276" w:lineRule="auto"/>
        <w:ind w:right="96"/>
        <w:jc w:val="both"/>
        <w:rPr>
          <w:rFonts w:cs="Times New Roman"/>
          <w:szCs w:val="24"/>
        </w:rPr>
      </w:pPr>
    </w:p>
    <w:p w14:paraId="6D41E392" w14:textId="57C664CE" w:rsidR="00016A89" w:rsidRDefault="00016A89" w:rsidP="00335EC8">
      <w:pPr>
        <w:tabs>
          <w:tab w:val="left" w:pos="1260"/>
        </w:tabs>
        <w:spacing w:line="276" w:lineRule="auto"/>
        <w:ind w:right="96"/>
        <w:jc w:val="both"/>
        <w:rPr>
          <w:rFonts w:cs="Times New Roman"/>
          <w:szCs w:val="24"/>
        </w:rPr>
      </w:pPr>
      <w:r>
        <w:rPr>
          <w:rFonts w:cs="Times New Roman"/>
          <w:szCs w:val="24"/>
        </w:rPr>
        <w:tab/>
      </w:r>
    </w:p>
    <w:p w14:paraId="6AB1A0B9" w14:textId="1A022EF7" w:rsidR="009A6EA2" w:rsidRDefault="00A510A9" w:rsidP="00DF5ECD">
      <w:pPr>
        <w:spacing w:line="276" w:lineRule="auto"/>
        <w:ind w:firstLine="851"/>
        <w:jc w:val="both"/>
        <w:rPr>
          <w:rFonts w:cs="Times New Roman"/>
          <w:b/>
          <w:szCs w:val="24"/>
        </w:rPr>
      </w:pPr>
      <w:r>
        <w:tab/>
      </w:r>
      <w:r w:rsidR="0032055A">
        <w:rPr>
          <w:rFonts w:cs="Times New Roman"/>
          <w:b/>
          <w:szCs w:val="24"/>
        </w:rPr>
        <w:t>8</w:t>
      </w:r>
      <w:r w:rsidR="009A6EA2">
        <w:rPr>
          <w:rFonts w:cs="Times New Roman"/>
          <w:b/>
          <w:szCs w:val="24"/>
        </w:rPr>
        <w:t xml:space="preserve"> pastaba. Kitos veiklos rezultatas</w:t>
      </w:r>
    </w:p>
    <w:p w14:paraId="3B6FD883" w14:textId="77777777" w:rsidR="009A6EA2" w:rsidRDefault="009A6EA2" w:rsidP="009A6EA2">
      <w:pPr>
        <w:tabs>
          <w:tab w:val="left" w:pos="1260"/>
        </w:tabs>
        <w:spacing w:line="276" w:lineRule="auto"/>
        <w:ind w:right="96"/>
        <w:jc w:val="center"/>
        <w:rPr>
          <w:rFonts w:cs="Times New Roman"/>
          <w:b/>
          <w:szCs w:val="24"/>
        </w:rPr>
      </w:pPr>
    </w:p>
    <w:p w14:paraId="4CD1E45E" w14:textId="249DD6C6" w:rsidR="009A6EA2" w:rsidRDefault="007D06D4" w:rsidP="007D06D4">
      <w:pPr>
        <w:tabs>
          <w:tab w:val="left" w:pos="1260"/>
        </w:tabs>
        <w:spacing w:line="276" w:lineRule="auto"/>
        <w:ind w:right="96"/>
      </w:pPr>
      <w:r>
        <w:rPr>
          <w:rFonts w:cs="Times New Roman"/>
          <w:szCs w:val="24"/>
        </w:rPr>
        <w:tab/>
      </w:r>
      <w:r w:rsidR="009A6EA2" w:rsidRPr="00830898">
        <w:rPr>
          <w:rFonts w:cs="Times New Roman"/>
          <w:szCs w:val="24"/>
        </w:rPr>
        <w:t>Straipsnyje „</w:t>
      </w:r>
      <w:r w:rsidR="009A6EA2">
        <w:rPr>
          <w:rFonts w:cs="Times New Roman"/>
          <w:szCs w:val="24"/>
        </w:rPr>
        <w:t>Kitos veiklos</w:t>
      </w:r>
      <w:r>
        <w:rPr>
          <w:rFonts w:cs="Times New Roman"/>
          <w:szCs w:val="24"/>
        </w:rPr>
        <w:t xml:space="preserve"> pajamos</w:t>
      </w:r>
      <w:r w:rsidR="009A6EA2" w:rsidRPr="00830898">
        <w:rPr>
          <w:rFonts w:cs="Times New Roman"/>
          <w:szCs w:val="24"/>
        </w:rPr>
        <w:t>“ parodytas</w:t>
      </w:r>
      <w:r w:rsidR="009A6EA2">
        <w:rPr>
          <w:rFonts w:cs="Times New Roman"/>
          <w:szCs w:val="24"/>
        </w:rPr>
        <w:t xml:space="preserve"> </w:t>
      </w:r>
      <w:r w:rsidRPr="00D420DA">
        <w:t xml:space="preserve">VĮ Ignalinos </w:t>
      </w:r>
      <w:r w:rsidR="00A8785A">
        <w:t>AE</w:t>
      </w:r>
      <w:r>
        <w:t xml:space="preserve"> apskaičiuoti delspinigiai tiekėjams už laik</w:t>
      </w:r>
      <w:r w:rsidR="0032055A">
        <w:t xml:space="preserve">u nepristatytas prekes – </w:t>
      </w:r>
      <w:r w:rsidR="00BA378D">
        <w:t>11 872,81</w:t>
      </w:r>
      <w:r w:rsidR="0032055A">
        <w:t xml:space="preserve"> eur</w:t>
      </w:r>
      <w:r w:rsidR="00BF3528">
        <w:t>o</w:t>
      </w:r>
      <w:r w:rsidR="00BA378D">
        <w:t xml:space="preserve"> ir 3 788 736,06 euro </w:t>
      </w:r>
      <w:r w:rsidR="00A12D25">
        <w:rPr>
          <w:spacing w:val="-2"/>
        </w:rPr>
        <w:t>kompensacija už patirtą žalą teismo sprendimu</w:t>
      </w:r>
      <w:r>
        <w:t>.</w:t>
      </w:r>
    </w:p>
    <w:p w14:paraId="2B32CEA1" w14:textId="77777777" w:rsidR="00973BF4" w:rsidRPr="00876404" w:rsidRDefault="00973BF4" w:rsidP="00A4612C">
      <w:pPr>
        <w:tabs>
          <w:tab w:val="left" w:pos="1260"/>
        </w:tabs>
        <w:spacing w:line="276" w:lineRule="auto"/>
        <w:ind w:right="96"/>
        <w:jc w:val="both"/>
        <w:rPr>
          <w:rFonts w:cs="Times New Roman"/>
          <w:b/>
          <w:color w:val="000000"/>
          <w:szCs w:val="24"/>
        </w:rPr>
      </w:pPr>
      <w:r>
        <w:tab/>
      </w:r>
      <w:r w:rsidRPr="006216FB">
        <w:t>Informacija</w:t>
      </w:r>
      <w:r w:rsidRPr="006D6769">
        <w:t xml:space="preserve"> </w:t>
      </w:r>
      <w:r>
        <w:t xml:space="preserve">apie kitos veiklos pajamas ir sąnaudas </w:t>
      </w:r>
      <w:r w:rsidRPr="006216FB">
        <w:t xml:space="preserve">pateikta prie finansinių ataskaitų aiškinamojo rašto </w:t>
      </w:r>
      <w:r>
        <w:t>pagal 10</w:t>
      </w:r>
      <w:r w:rsidRPr="007127EC">
        <w:t xml:space="preserve">-ojo VSAFAS </w:t>
      </w:r>
      <w:r w:rsidRPr="00876404">
        <w:rPr>
          <w:color w:val="000000"/>
        </w:rPr>
        <w:t>„Kitos pajamos“ 2 priede nustatytą formą „Kitos veiklos pajamų ir sąnaudų pateikimas žemesniojo ir aukštesniojo lygių viešojo sektoriaus subjekto finansinių ataskaitų aiškinamajame rašte“ (9 priedas)</w:t>
      </w:r>
      <w:r w:rsidR="00A4612C" w:rsidRPr="00876404">
        <w:rPr>
          <w:color w:val="000000"/>
        </w:rPr>
        <w:t>.</w:t>
      </w:r>
    </w:p>
    <w:p w14:paraId="572DC037" w14:textId="77777777" w:rsidR="001E13C0" w:rsidRDefault="001E13C0" w:rsidP="00335EC8">
      <w:pPr>
        <w:tabs>
          <w:tab w:val="left" w:pos="1260"/>
        </w:tabs>
        <w:spacing w:line="276" w:lineRule="auto"/>
        <w:ind w:right="96"/>
        <w:jc w:val="both"/>
        <w:rPr>
          <w:rFonts w:cs="Times New Roman"/>
          <w:szCs w:val="24"/>
        </w:rPr>
      </w:pPr>
    </w:p>
    <w:p w14:paraId="11243456" w14:textId="77777777" w:rsidR="00F71576" w:rsidRDefault="005D64A6" w:rsidP="00335EC8">
      <w:pPr>
        <w:tabs>
          <w:tab w:val="left" w:pos="1260"/>
        </w:tabs>
        <w:spacing w:line="276" w:lineRule="auto"/>
        <w:ind w:right="96"/>
        <w:jc w:val="both"/>
        <w:rPr>
          <w:rFonts w:cs="Times New Roman"/>
          <w:b/>
          <w:szCs w:val="24"/>
        </w:rPr>
      </w:pPr>
      <w:r>
        <w:rPr>
          <w:rFonts w:cs="Times New Roman"/>
          <w:szCs w:val="24"/>
        </w:rPr>
        <w:tab/>
      </w:r>
      <w:r w:rsidR="00186B38">
        <w:rPr>
          <w:rFonts w:cs="Times New Roman"/>
          <w:b/>
          <w:szCs w:val="24"/>
        </w:rPr>
        <w:tab/>
      </w:r>
      <w:r w:rsidR="0032055A">
        <w:rPr>
          <w:rFonts w:cs="Times New Roman"/>
          <w:b/>
          <w:szCs w:val="24"/>
        </w:rPr>
        <w:t>9</w:t>
      </w:r>
      <w:r w:rsidR="00475B7F">
        <w:rPr>
          <w:rFonts w:cs="Times New Roman"/>
          <w:b/>
          <w:szCs w:val="24"/>
        </w:rPr>
        <w:t xml:space="preserve"> pastaba. </w:t>
      </w:r>
      <w:r w:rsidR="00DF1BE4">
        <w:rPr>
          <w:rFonts w:cs="Times New Roman"/>
          <w:b/>
          <w:szCs w:val="24"/>
        </w:rPr>
        <w:t>Finansinės ir investicinės veiklos rezultatai</w:t>
      </w:r>
    </w:p>
    <w:p w14:paraId="34F891A6" w14:textId="77777777" w:rsidR="00DF1BE4" w:rsidRPr="001A27A7" w:rsidRDefault="00DF1BE4" w:rsidP="00335EC8">
      <w:pPr>
        <w:tabs>
          <w:tab w:val="left" w:pos="1260"/>
        </w:tabs>
        <w:spacing w:line="276" w:lineRule="auto"/>
        <w:ind w:right="96"/>
        <w:jc w:val="both"/>
        <w:rPr>
          <w:rFonts w:cs="Times New Roman"/>
          <w:b/>
          <w:sz w:val="20"/>
          <w:szCs w:val="20"/>
        </w:rPr>
      </w:pPr>
    </w:p>
    <w:p w14:paraId="3EF84EF1" w14:textId="00B1EBDA" w:rsidR="00830898" w:rsidRPr="00830898" w:rsidRDefault="00830898" w:rsidP="00335EC8">
      <w:pPr>
        <w:tabs>
          <w:tab w:val="left" w:pos="1260"/>
        </w:tabs>
        <w:spacing w:line="276" w:lineRule="auto"/>
        <w:ind w:right="96"/>
        <w:jc w:val="both"/>
        <w:rPr>
          <w:rFonts w:cs="Times New Roman"/>
          <w:szCs w:val="24"/>
        </w:rPr>
      </w:pPr>
      <w:r>
        <w:rPr>
          <w:rFonts w:cs="Times New Roman"/>
          <w:szCs w:val="24"/>
        </w:rPr>
        <w:tab/>
      </w:r>
      <w:r w:rsidRPr="00830898">
        <w:rPr>
          <w:rFonts w:cs="Times New Roman"/>
          <w:szCs w:val="24"/>
        </w:rPr>
        <w:t>Straipsnyje „Finansinės ir investicinės veiklos rezultatas“ parodytas IAENF finansinės ir investicinės veiklos perviršis per 201</w:t>
      </w:r>
      <w:r w:rsidR="00A12D25">
        <w:rPr>
          <w:rFonts w:cs="Times New Roman"/>
          <w:szCs w:val="24"/>
        </w:rPr>
        <w:t>9</w:t>
      </w:r>
      <w:r w:rsidRPr="00830898">
        <w:rPr>
          <w:rFonts w:cs="Times New Roman"/>
          <w:szCs w:val="24"/>
        </w:rPr>
        <w:t xml:space="preserve"> m. laikotarpį, kuris apskaičiuojamas kaip finansinės ir investicinės veiklos pajamų ir sąnaudų skirtumas:</w:t>
      </w:r>
    </w:p>
    <w:p w14:paraId="56F951E2" w14:textId="77777777" w:rsidR="00C0101C" w:rsidRDefault="00C0101C" w:rsidP="00335EC8">
      <w:pPr>
        <w:tabs>
          <w:tab w:val="left" w:pos="1260"/>
        </w:tabs>
        <w:spacing w:line="276" w:lineRule="auto"/>
        <w:ind w:right="96"/>
        <w:jc w:val="both"/>
        <w:rPr>
          <w:rFonts w:cs="Times New Roman"/>
          <w:b/>
          <w:szCs w:val="24"/>
        </w:rPr>
      </w:pPr>
    </w:p>
    <w:p w14:paraId="35C73F3E" w14:textId="77777777" w:rsidR="00E61331" w:rsidRDefault="00E61331" w:rsidP="00335EC8">
      <w:pPr>
        <w:tabs>
          <w:tab w:val="left" w:pos="1260"/>
        </w:tabs>
        <w:spacing w:line="276" w:lineRule="auto"/>
        <w:ind w:right="96"/>
        <w:jc w:val="both"/>
        <w:rPr>
          <w:rFonts w:cs="Times New Roman"/>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68"/>
        <w:gridCol w:w="3971"/>
      </w:tblGrid>
      <w:tr w:rsidR="00DF1BE4" w:rsidRPr="00C82EE3" w14:paraId="3C32337B" w14:textId="77777777" w:rsidTr="00C82EE3">
        <w:tc>
          <w:tcPr>
            <w:tcW w:w="5068" w:type="dxa"/>
          </w:tcPr>
          <w:p w14:paraId="37D1F5D4" w14:textId="77777777" w:rsidR="00DF1BE4" w:rsidRPr="00C82EE3" w:rsidRDefault="00DF1BE4" w:rsidP="00335EC8">
            <w:pPr>
              <w:tabs>
                <w:tab w:val="left" w:pos="1260"/>
              </w:tabs>
              <w:spacing w:line="276" w:lineRule="auto"/>
              <w:ind w:right="96"/>
              <w:jc w:val="both"/>
              <w:rPr>
                <w:rFonts w:cs="Times New Roman"/>
                <w:b/>
                <w:szCs w:val="24"/>
              </w:rPr>
            </w:pPr>
            <w:r w:rsidRPr="00C82EE3">
              <w:rPr>
                <w:rFonts w:cs="Times New Roman"/>
                <w:b/>
                <w:szCs w:val="24"/>
              </w:rPr>
              <w:t>Straipsniai</w:t>
            </w:r>
          </w:p>
        </w:tc>
        <w:tc>
          <w:tcPr>
            <w:tcW w:w="3971" w:type="dxa"/>
          </w:tcPr>
          <w:p w14:paraId="0CD0AAB9" w14:textId="77777777" w:rsidR="00DF1BE4" w:rsidRPr="00C82EE3" w:rsidRDefault="00DF1BE4" w:rsidP="00335EC8">
            <w:pPr>
              <w:tabs>
                <w:tab w:val="left" w:pos="1260"/>
              </w:tabs>
              <w:spacing w:line="276" w:lineRule="auto"/>
              <w:ind w:right="96"/>
              <w:jc w:val="both"/>
              <w:rPr>
                <w:rFonts w:cs="Times New Roman"/>
                <w:b/>
                <w:szCs w:val="24"/>
              </w:rPr>
            </w:pPr>
            <w:r w:rsidRPr="00C82EE3">
              <w:rPr>
                <w:rFonts w:cs="Times New Roman"/>
                <w:b/>
                <w:szCs w:val="24"/>
              </w:rPr>
              <w:t>Ataskaitinis laikotarpis</w:t>
            </w:r>
          </w:p>
        </w:tc>
      </w:tr>
      <w:tr w:rsidR="00DF1BE4" w:rsidRPr="00C82EE3" w14:paraId="38F1EA12" w14:textId="77777777" w:rsidTr="00C82EE3">
        <w:tc>
          <w:tcPr>
            <w:tcW w:w="5068" w:type="dxa"/>
          </w:tcPr>
          <w:p w14:paraId="6CEDB8F7" w14:textId="77777777" w:rsidR="00DF1BE4" w:rsidRPr="00C82EE3" w:rsidRDefault="00DF1BE4" w:rsidP="00335EC8">
            <w:pPr>
              <w:numPr>
                <w:ilvl w:val="0"/>
                <w:numId w:val="23"/>
              </w:numPr>
              <w:tabs>
                <w:tab w:val="left" w:pos="1260"/>
              </w:tabs>
              <w:spacing w:line="276" w:lineRule="auto"/>
              <w:ind w:right="96"/>
              <w:jc w:val="both"/>
              <w:rPr>
                <w:rFonts w:cs="Times New Roman"/>
                <w:szCs w:val="24"/>
              </w:rPr>
            </w:pPr>
            <w:r w:rsidRPr="00C82EE3">
              <w:rPr>
                <w:rFonts w:cs="Times New Roman"/>
                <w:szCs w:val="24"/>
              </w:rPr>
              <w:t>Finansinės ir investicinės veiklos pajamos</w:t>
            </w:r>
          </w:p>
        </w:tc>
        <w:tc>
          <w:tcPr>
            <w:tcW w:w="3971" w:type="dxa"/>
          </w:tcPr>
          <w:p w14:paraId="76DDE047" w14:textId="77777777" w:rsidR="00DF1BE4" w:rsidRPr="00C82EE3" w:rsidRDefault="00A02FC4" w:rsidP="007A07B8">
            <w:pPr>
              <w:tabs>
                <w:tab w:val="left" w:pos="1260"/>
              </w:tabs>
              <w:spacing w:line="276" w:lineRule="auto"/>
              <w:ind w:right="96"/>
              <w:jc w:val="right"/>
              <w:rPr>
                <w:rFonts w:cs="Times New Roman"/>
                <w:szCs w:val="24"/>
              </w:rPr>
            </w:pPr>
            <w:r>
              <w:rPr>
                <w:rFonts w:cs="Times New Roman"/>
                <w:szCs w:val="24"/>
              </w:rPr>
              <w:t>0,00</w:t>
            </w:r>
          </w:p>
        </w:tc>
      </w:tr>
      <w:tr w:rsidR="00512F1A" w:rsidRPr="00C82EE3" w14:paraId="3E558B51" w14:textId="77777777" w:rsidTr="00C82EE3">
        <w:tc>
          <w:tcPr>
            <w:tcW w:w="5068" w:type="dxa"/>
          </w:tcPr>
          <w:p w14:paraId="33AD8C22" w14:textId="77777777" w:rsidR="00512F1A" w:rsidRPr="00C82EE3" w:rsidRDefault="00512F1A" w:rsidP="00335EC8">
            <w:pPr>
              <w:numPr>
                <w:ilvl w:val="0"/>
                <w:numId w:val="23"/>
              </w:numPr>
              <w:tabs>
                <w:tab w:val="left" w:pos="1260"/>
              </w:tabs>
              <w:spacing w:line="276" w:lineRule="auto"/>
              <w:ind w:right="96"/>
              <w:jc w:val="both"/>
              <w:rPr>
                <w:rFonts w:cs="Times New Roman"/>
                <w:szCs w:val="24"/>
              </w:rPr>
            </w:pPr>
            <w:r w:rsidRPr="00C82EE3">
              <w:rPr>
                <w:rFonts w:cs="Times New Roman"/>
                <w:szCs w:val="24"/>
              </w:rPr>
              <w:t>Finansinės ir investicinės veiklos kitos sąnaudos</w:t>
            </w:r>
          </w:p>
        </w:tc>
        <w:tc>
          <w:tcPr>
            <w:tcW w:w="3971" w:type="dxa"/>
          </w:tcPr>
          <w:p w14:paraId="23E5B4CB" w14:textId="67CF8CB9" w:rsidR="00512F1A" w:rsidRPr="00C82EE3" w:rsidRDefault="00261367" w:rsidP="00891F5D">
            <w:pPr>
              <w:tabs>
                <w:tab w:val="left" w:pos="1260"/>
              </w:tabs>
              <w:spacing w:line="276" w:lineRule="auto"/>
              <w:ind w:right="96"/>
              <w:jc w:val="right"/>
              <w:rPr>
                <w:rFonts w:cs="Times New Roman"/>
                <w:szCs w:val="24"/>
              </w:rPr>
            </w:pPr>
            <w:r>
              <w:rPr>
                <w:rFonts w:cs="Times New Roman"/>
                <w:szCs w:val="24"/>
              </w:rPr>
              <w:t>(</w:t>
            </w:r>
            <w:r w:rsidR="00A12D25">
              <w:rPr>
                <w:rFonts w:cs="Times New Roman"/>
                <w:szCs w:val="24"/>
              </w:rPr>
              <w:t>10 394,69</w:t>
            </w:r>
            <w:r>
              <w:rPr>
                <w:rFonts w:cs="Times New Roman"/>
                <w:szCs w:val="24"/>
              </w:rPr>
              <w:t>)</w:t>
            </w:r>
          </w:p>
        </w:tc>
      </w:tr>
      <w:tr w:rsidR="0030611A" w:rsidRPr="00C82EE3" w14:paraId="148A29B1" w14:textId="77777777" w:rsidTr="00C82EE3">
        <w:tc>
          <w:tcPr>
            <w:tcW w:w="5068" w:type="dxa"/>
          </w:tcPr>
          <w:p w14:paraId="72CE6569" w14:textId="77777777" w:rsidR="0030611A" w:rsidRPr="00C82EE3" w:rsidRDefault="001026B0" w:rsidP="001026B0">
            <w:pPr>
              <w:tabs>
                <w:tab w:val="left" w:pos="1260"/>
              </w:tabs>
              <w:spacing w:line="276" w:lineRule="auto"/>
              <w:ind w:right="96"/>
              <w:jc w:val="both"/>
              <w:rPr>
                <w:rFonts w:cs="Times New Roman"/>
                <w:szCs w:val="24"/>
              </w:rPr>
            </w:pPr>
            <w:r>
              <w:rPr>
                <w:rFonts w:cs="Times New Roman"/>
                <w:szCs w:val="24"/>
              </w:rPr>
              <w:t>Neigiamos palūkanos už sąskaitų likučius</w:t>
            </w:r>
          </w:p>
        </w:tc>
        <w:tc>
          <w:tcPr>
            <w:tcW w:w="3971" w:type="dxa"/>
          </w:tcPr>
          <w:p w14:paraId="731555D1" w14:textId="60C09546" w:rsidR="0030611A" w:rsidRPr="00C82EE3" w:rsidRDefault="00261367" w:rsidP="00B46219">
            <w:pPr>
              <w:tabs>
                <w:tab w:val="left" w:pos="1260"/>
              </w:tabs>
              <w:spacing w:line="276" w:lineRule="auto"/>
              <w:ind w:right="96"/>
              <w:jc w:val="right"/>
              <w:rPr>
                <w:rFonts w:cs="Times New Roman"/>
                <w:szCs w:val="24"/>
              </w:rPr>
            </w:pPr>
            <w:r>
              <w:rPr>
                <w:rFonts w:cs="Times New Roman"/>
                <w:szCs w:val="24"/>
              </w:rPr>
              <w:t>(</w:t>
            </w:r>
            <w:r w:rsidR="00A12D25">
              <w:rPr>
                <w:rFonts w:cs="Times New Roman"/>
                <w:szCs w:val="24"/>
              </w:rPr>
              <w:t>10 394,69</w:t>
            </w:r>
            <w:r>
              <w:rPr>
                <w:rFonts w:cs="Times New Roman"/>
                <w:szCs w:val="24"/>
              </w:rPr>
              <w:t>)</w:t>
            </w:r>
          </w:p>
        </w:tc>
      </w:tr>
      <w:tr w:rsidR="00512F1A" w:rsidRPr="00C82EE3" w14:paraId="33BBF396" w14:textId="77777777" w:rsidTr="00C82EE3">
        <w:tc>
          <w:tcPr>
            <w:tcW w:w="5068" w:type="dxa"/>
          </w:tcPr>
          <w:p w14:paraId="136E1B08" w14:textId="77777777" w:rsidR="00512F1A" w:rsidRPr="00C82EE3" w:rsidRDefault="00512F1A" w:rsidP="00335EC8">
            <w:pPr>
              <w:tabs>
                <w:tab w:val="left" w:pos="1260"/>
              </w:tabs>
              <w:spacing w:line="276" w:lineRule="auto"/>
              <w:ind w:right="96"/>
              <w:jc w:val="both"/>
              <w:rPr>
                <w:rFonts w:cs="Times New Roman"/>
                <w:szCs w:val="24"/>
              </w:rPr>
            </w:pPr>
            <w:r w:rsidRPr="00C82EE3">
              <w:rPr>
                <w:rFonts w:cs="Times New Roman"/>
                <w:szCs w:val="24"/>
              </w:rPr>
              <w:t>Finansinės ir investicinės veiklos rezultatas</w:t>
            </w:r>
          </w:p>
        </w:tc>
        <w:tc>
          <w:tcPr>
            <w:tcW w:w="3971" w:type="dxa"/>
          </w:tcPr>
          <w:p w14:paraId="020FD06F" w14:textId="63DCAAB7" w:rsidR="00512F1A" w:rsidRPr="00475B7F" w:rsidRDefault="00EB32E3" w:rsidP="007A07B8">
            <w:pPr>
              <w:tabs>
                <w:tab w:val="left" w:pos="1260"/>
              </w:tabs>
              <w:spacing w:line="276" w:lineRule="auto"/>
              <w:ind w:right="96"/>
              <w:jc w:val="right"/>
              <w:rPr>
                <w:rFonts w:cs="Times New Roman"/>
                <w:b/>
                <w:szCs w:val="24"/>
              </w:rPr>
            </w:pPr>
            <w:r>
              <w:rPr>
                <w:rFonts w:cs="Times New Roman"/>
                <w:b/>
                <w:szCs w:val="24"/>
              </w:rPr>
              <w:t>(</w:t>
            </w:r>
            <w:r w:rsidR="00A12D25">
              <w:rPr>
                <w:rFonts w:cs="Times New Roman"/>
                <w:b/>
                <w:szCs w:val="24"/>
              </w:rPr>
              <w:t>10 394,69</w:t>
            </w:r>
            <w:r>
              <w:rPr>
                <w:rFonts w:cs="Times New Roman"/>
                <w:b/>
                <w:szCs w:val="24"/>
              </w:rPr>
              <w:t>)</w:t>
            </w:r>
          </w:p>
        </w:tc>
      </w:tr>
    </w:tbl>
    <w:p w14:paraId="4C7CA35A" w14:textId="77777777" w:rsidR="00493027" w:rsidRDefault="00493027" w:rsidP="00261367">
      <w:pPr>
        <w:pStyle w:val="bodytext0"/>
        <w:spacing w:before="0" w:beforeAutospacing="0" w:after="0" w:afterAutospacing="0" w:line="276" w:lineRule="auto"/>
        <w:ind w:firstLine="1298"/>
        <w:jc w:val="both"/>
      </w:pPr>
    </w:p>
    <w:p w14:paraId="649386B7" w14:textId="77777777" w:rsidR="00FB4867" w:rsidRPr="00876404" w:rsidRDefault="00FB4867" w:rsidP="00261367">
      <w:pPr>
        <w:pStyle w:val="bodytext0"/>
        <w:spacing w:before="0" w:beforeAutospacing="0" w:after="0" w:afterAutospacing="0" w:line="276" w:lineRule="auto"/>
        <w:ind w:firstLine="1298"/>
        <w:jc w:val="both"/>
        <w:rPr>
          <w:color w:val="000000"/>
        </w:rPr>
      </w:pPr>
      <w:r w:rsidRPr="006216FB">
        <w:t>Informacija</w:t>
      </w:r>
      <w:r w:rsidRPr="006D6769">
        <w:t xml:space="preserve"> </w:t>
      </w:r>
      <w:r>
        <w:t xml:space="preserve">apie finansinės ir investicinės veiklos pajamas ir sąnaudas </w:t>
      </w:r>
      <w:r w:rsidRPr="006216FB">
        <w:t xml:space="preserve">pateikta prie finansinių ataskaitų aiškinamojo rašto </w:t>
      </w:r>
      <w:r>
        <w:t>pagal</w:t>
      </w:r>
      <w:r w:rsidRPr="007127EC">
        <w:t xml:space="preserve"> 6-ojo VSAFAS „Finansinių ataskaitų aiškinamasis raštas“</w:t>
      </w:r>
      <w:r>
        <w:t xml:space="preserve"> 4</w:t>
      </w:r>
      <w:r w:rsidRPr="006216FB">
        <w:t xml:space="preserve"> priede</w:t>
      </w:r>
      <w:r>
        <w:t xml:space="preserve"> nustatytą formą „Finansinės ir investicinės </w:t>
      </w:r>
      <w:r w:rsidR="00A02FC4">
        <w:t xml:space="preserve">veiklos pajamos ir </w:t>
      </w:r>
      <w:r w:rsidR="00A02FC4" w:rsidRPr="00876404">
        <w:rPr>
          <w:color w:val="000000"/>
        </w:rPr>
        <w:t xml:space="preserve">sąnaudos“ </w:t>
      </w:r>
      <w:r w:rsidR="000864E7" w:rsidRPr="00876404">
        <w:rPr>
          <w:color w:val="000000"/>
        </w:rPr>
        <w:t>(10</w:t>
      </w:r>
      <w:r w:rsidRPr="00876404">
        <w:rPr>
          <w:color w:val="000000"/>
        </w:rPr>
        <w:t xml:space="preserve"> priedas).</w:t>
      </w:r>
    </w:p>
    <w:p w14:paraId="0AA3FE37" w14:textId="77777777" w:rsidR="00735968" w:rsidRDefault="00735968" w:rsidP="00261367">
      <w:pPr>
        <w:pStyle w:val="bodytext0"/>
        <w:spacing w:before="0" w:beforeAutospacing="0" w:after="0" w:afterAutospacing="0" w:line="276" w:lineRule="auto"/>
        <w:ind w:firstLine="1298"/>
        <w:jc w:val="both"/>
      </w:pPr>
    </w:p>
    <w:p w14:paraId="505C2E64" w14:textId="14369A56" w:rsidR="00C45BEB" w:rsidRDefault="00C45BEB" w:rsidP="00C45BEB">
      <w:pPr>
        <w:pStyle w:val="bodytext0"/>
        <w:spacing w:line="276" w:lineRule="auto"/>
        <w:ind w:firstLine="1296"/>
        <w:jc w:val="center"/>
        <w:rPr>
          <w:b/>
        </w:rPr>
      </w:pPr>
      <w:r>
        <w:rPr>
          <w:b/>
        </w:rPr>
        <w:t>PINIGŲ SRAUTŲ ATASKAITA</w:t>
      </w:r>
    </w:p>
    <w:p w14:paraId="0DCB9622" w14:textId="77777777" w:rsidR="00633ED8" w:rsidRDefault="00633ED8" w:rsidP="00C45BEB">
      <w:pPr>
        <w:pStyle w:val="bodytext0"/>
        <w:spacing w:line="276" w:lineRule="auto"/>
        <w:ind w:firstLine="1296"/>
        <w:jc w:val="center"/>
        <w:rPr>
          <w:b/>
        </w:rPr>
      </w:pPr>
    </w:p>
    <w:p w14:paraId="7B6C84D2" w14:textId="77777777" w:rsidR="00FB4867" w:rsidRDefault="00EB32E3" w:rsidP="00FB4867">
      <w:pPr>
        <w:pStyle w:val="bodytext0"/>
        <w:spacing w:line="276" w:lineRule="auto"/>
        <w:ind w:firstLine="1296"/>
        <w:jc w:val="both"/>
        <w:rPr>
          <w:b/>
        </w:rPr>
      </w:pPr>
      <w:r>
        <w:rPr>
          <w:b/>
        </w:rPr>
        <w:t>10</w:t>
      </w:r>
      <w:r w:rsidR="00FB4867">
        <w:rPr>
          <w:b/>
        </w:rPr>
        <w:t xml:space="preserve"> pastaba. Įplaukos</w:t>
      </w:r>
    </w:p>
    <w:p w14:paraId="0D306BF8" w14:textId="77777777" w:rsidR="00FB4867" w:rsidRDefault="00FB4867" w:rsidP="00FB4867">
      <w:pPr>
        <w:pStyle w:val="bodytext0"/>
        <w:spacing w:before="0" w:beforeAutospacing="0" w:after="0" w:afterAutospacing="0" w:line="276" w:lineRule="auto"/>
        <w:ind w:firstLine="1298"/>
        <w:jc w:val="both"/>
      </w:pPr>
      <w:r w:rsidRPr="00E55340">
        <w:t>Prie pagrindinės veiklos</w:t>
      </w:r>
      <w:r w:rsidR="00EB32E3">
        <w:t xml:space="preserve"> kitų</w:t>
      </w:r>
      <w:r w:rsidRPr="00E55340">
        <w:t xml:space="preserve"> įplaukų priskiriamos šios įplaukos:</w:t>
      </w:r>
    </w:p>
    <w:p w14:paraId="15AAD05A" w14:textId="1EC81FFE" w:rsidR="00FB4867" w:rsidRDefault="00D818A6" w:rsidP="00FB4867">
      <w:pPr>
        <w:pStyle w:val="bodytext0"/>
        <w:spacing w:before="0" w:beforeAutospacing="0" w:after="0" w:afterAutospacing="0" w:line="276" w:lineRule="auto"/>
        <w:ind w:firstLine="1298"/>
        <w:jc w:val="both"/>
      </w:pPr>
      <w:r>
        <w:t>1. p</w:t>
      </w:r>
      <w:r w:rsidR="00FB4867">
        <w:t>riemonių vykdytojų grąžintos lėšos į Fondo sąskaitą –</w:t>
      </w:r>
      <w:r w:rsidR="004D3BEA">
        <w:t xml:space="preserve"> </w:t>
      </w:r>
      <w:r w:rsidR="00A12D25">
        <w:t>22 504,82</w:t>
      </w:r>
      <w:r w:rsidR="004D3BEA">
        <w:t xml:space="preserve"> eur</w:t>
      </w:r>
      <w:r w:rsidR="00F13F58">
        <w:t>o</w:t>
      </w:r>
      <w:r w:rsidR="00FB4867">
        <w:t>;</w:t>
      </w:r>
    </w:p>
    <w:p w14:paraId="5507DC91" w14:textId="6A8B6D2A" w:rsidR="00FB4867" w:rsidRDefault="00EB32E3" w:rsidP="00FB4867">
      <w:pPr>
        <w:pStyle w:val="bodytext0"/>
        <w:spacing w:before="0" w:beforeAutospacing="0" w:after="0" w:afterAutospacing="0" w:line="276" w:lineRule="auto"/>
        <w:ind w:firstLine="1298"/>
        <w:jc w:val="both"/>
        <w:rPr>
          <w:spacing w:val="-2"/>
        </w:rPr>
      </w:pPr>
      <w:r>
        <w:t>2.</w:t>
      </w:r>
      <w:r w:rsidR="00D818A6">
        <w:t xml:space="preserve"> g</w:t>
      </w:r>
      <w:r w:rsidR="00FB4867">
        <w:t xml:space="preserve">autos lėšos </w:t>
      </w:r>
      <w:r w:rsidR="00FB4867" w:rsidRPr="00621ED1">
        <w:rPr>
          <w:spacing w:val="-2"/>
        </w:rPr>
        <w:t xml:space="preserve">už </w:t>
      </w:r>
      <w:r w:rsidR="00B20A85">
        <w:rPr>
          <w:spacing w:val="-2"/>
        </w:rPr>
        <w:t>VĮ</w:t>
      </w:r>
      <w:r w:rsidR="00FB4867" w:rsidRPr="00621ED1">
        <w:rPr>
          <w:spacing w:val="-2"/>
        </w:rPr>
        <w:t xml:space="preserve"> Ignalinos </w:t>
      </w:r>
      <w:r w:rsidR="00B20A85">
        <w:rPr>
          <w:spacing w:val="-2"/>
        </w:rPr>
        <w:t>AE</w:t>
      </w:r>
      <w:r w:rsidR="00FB4867" w:rsidRPr="00621ED1">
        <w:rPr>
          <w:spacing w:val="-2"/>
        </w:rPr>
        <w:t xml:space="preserve"> parduotą turtą</w:t>
      </w:r>
      <w:r w:rsidR="00FB4867">
        <w:rPr>
          <w:spacing w:val="-2"/>
        </w:rPr>
        <w:t xml:space="preserve"> –</w:t>
      </w:r>
      <w:r>
        <w:rPr>
          <w:spacing w:val="-2"/>
        </w:rPr>
        <w:t xml:space="preserve"> </w:t>
      </w:r>
      <w:r w:rsidR="00A12D25">
        <w:rPr>
          <w:spacing w:val="-2"/>
        </w:rPr>
        <w:t>993 679,01</w:t>
      </w:r>
      <w:r w:rsidR="00663FFA">
        <w:rPr>
          <w:spacing w:val="-2"/>
        </w:rPr>
        <w:t xml:space="preserve"> </w:t>
      </w:r>
      <w:r w:rsidR="004D3BEA">
        <w:rPr>
          <w:spacing w:val="-2"/>
        </w:rPr>
        <w:t>eur</w:t>
      </w:r>
      <w:r w:rsidR="00F13F58">
        <w:rPr>
          <w:spacing w:val="-2"/>
        </w:rPr>
        <w:t>o</w:t>
      </w:r>
      <w:r>
        <w:rPr>
          <w:spacing w:val="-2"/>
        </w:rPr>
        <w:t>;</w:t>
      </w:r>
    </w:p>
    <w:p w14:paraId="29A598A5" w14:textId="2884AE4F" w:rsidR="00EB32E3" w:rsidRDefault="00D818A6" w:rsidP="00FB4867">
      <w:pPr>
        <w:pStyle w:val="bodytext0"/>
        <w:spacing w:before="0" w:beforeAutospacing="0" w:after="0" w:afterAutospacing="0" w:line="276" w:lineRule="auto"/>
        <w:ind w:firstLine="1298"/>
        <w:jc w:val="both"/>
      </w:pPr>
      <w:r>
        <w:t xml:space="preserve">3. gauti delspinigiai už laiku nepristatytas prekes – </w:t>
      </w:r>
      <w:r w:rsidR="00A12D25">
        <w:t>350,36</w:t>
      </w:r>
      <w:r>
        <w:t xml:space="preserve"> eur</w:t>
      </w:r>
      <w:r w:rsidR="00F13F58">
        <w:t>o</w:t>
      </w:r>
      <w:r w:rsidR="00A12D25">
        <w:t>;</w:t>
      </w:r>
    </w:p>
    <w:p w14:paraId="2E9A7DC7" w14:textId="3985252A" w:rsidR="00A12D25" w:rsidRDefault="00A12D25" w:rsidP="00FB4867">
      <w:pPr>
        <w:pStyle w:val="bodytext0"/>
        <w:spacing w:before="0" w:beforeAutospacing="0" w:after="0" w:afterAutospacing="0" w:line="276" w:lineRule="auto"/>
        <w:ind w:firstLine="1298"/>
        <w:jc w:val="both"/>
      </w:pPr>
      <w:r>
        <w:t xml:space="preserve">4. </w:t>
      </w:r>
      <w:r>
        <w:rPr>
          <w:spacing w:val="-2"/>
        </w:rPr>
        <w:t xml:space="preserve">kompensacija už patirtą žalą teismo sprendimu </w:t>
      </w:r>
      <w:r>
        <w:t>–</w:t>
      </w:r>
      <w:r>
        <w:rPr>
          <w:spacing w:val="-2"/>
        </w:rPr>
        <w:t xml:space="preserve"> </w:t>
      </w:r>
      <w:r>
        <w:t>3 788 736,06 euro.</w:t>
      </w:r>
    </w:p>
    <w:p w14:paraId="50DDAFFB" w14:textId="77777777" w:rsidR="00FB4867" w:rsidRDefault="00FB4867" w:rsidP="00FB4867">
      <w:pPr>
        <w:pStyle w:val="bodytext0"/>
        <w:spacing w:line="276" w:lineRule="auto"/>
        <w:ind w:left="1276"/>
        <w:jc w:val="both"/>
        <w:rPr>
          <w:b/>
        </w:rPr>
      </w:pPr>
      <w:r>
        <w:rPr>
          <w:b/>
        </w:rPr>
        <w:lastRenderedPageBreak/>
        <w:t>1</w:t>
      </w:r>
      <w:r w:rsidR="00D818A6">
        <w:rPr>
          <w:b/>
        </w:rPr>
        <w:t>1</w:t>
      </w:r>
      <w:r>
        <w:rPr>
          <w:b/>
        </w:rPr>
        <w:t xml:space="preserve"> pastaba. Pervestos lėšos</w:t>
      </w:r>
    </w:p>
    <w:p w14:paraId="63B5194E" w14:textId="723FA47A" w:rsidR="00FB4867" w:rsidRPr="009F0274" w:rsidRDefault="00FB4867" w:rsidP="00896F3B">
      <w:pPr>
        <w:pStyle w:val="bodytext0"/>
        <w:spacing w:before="0" w:beforeAutospacing="0" w:after="0" w:afterAutospacing="0" w:line="276" w:lineRule="auto"/>
        <w:ind w:firstLine="1296"/>
        <w:jc w:val="both"/>
      </w:pPr>
      <w:r w:rsidRPr="009F0274">
        <w:t xml:space="preserve">Šiame straipsnyje rodomos pervestos </w:t>
      </w:r>
      <w:r>
        <w:t>IAE</w:t>
      </w:r>
      <w:r w:rsidR="00E45594">
        <w:t>N</w:t>
      </w:r>
      <w:r>
        <w:t xml:space="preserve">F </w:t>
      </w:r>
      <w:r w:rsidRPr="009F0274">
        <w:t>lėšos priemonių vykdytojams</w:t>
      </w:r>
      <w:r w:rsidR="00F719F7">
        <w:t xml:space="preserve"> – 4 564 989,23 euro.</w:t>
      </w:r>
    </w:p>
    <w:p w14:paraId="3FF63B48" w14:textId="77777777" w:rsidR="00F53049" w:rsidRPr="00F53049" w:rsidRDefault="00F53049" w:rsidP="00FB4867">
      <w:pPr>
        <w:pStyle w:val="bodytext0"/>
        <w:spacing w:before="0" w:beforeAutospacing="0" w:after="0" w:afterAutospacing="0" w:line="276" w:lineRule="auto"/>
        <w:ind w:firstLine="1296"/>
        <w:jc w:val="both"/>
        <w:rPr>
          <w:b/>
        </w:rPr>
      </w:pPr>
    </w:p>
    <w:p w14:paraId="644D0714" w14:textId="77777777" w:rsidR="004D3BEA" w:rsidRPr="00C7007D" w:rsidRDefault="004D3BEA" w:rsidP="004D3BEA">
      <w:pPr>
        <w:tabs>
          <w:tab w:val="left" w:pos="1260"/>
        </w:tabs>
        <w:spacing w:line="276" w:lineRule="auto"/>
        <w:ind w:right="96"/>
        <w:rPr>
          <w:rFonts w:cs="Times New Roman"/>
          <w:b/>
          <w:color w:val="000000"/>
          <w:szCs w:val="24"/>
        </w:rPr>
      </w:pPr>
      <w:r>
        <w:rPr>
          <w:rFonts w:cs="Times New Roman"/>
          <w:b/>
          <w:color w:val="000000"/>
          <w:szCs w:val="24"/>
        </w:rPr>
        <w:tab/>
      </w:r>
      <w:r w:rsidRPr="00C7007D">
        <w:rPr>
          <w:rFonts w:cs="Times New Roman"/>
          <w:b/>
          <w:color w:val="000000"/>
          <w:szCs w:val="24"/>
        </w:rPr>
        <w:t xml:space="preserve">Neapibrėžtieji įsipareigojimai </w:t>
      </w:r>
    </w:p>
    <w:p w14:paraId="7A1586DE" w14:textId="77777777" w:rsidR="004D3BEA" w:rsidRDefault="004D3BEA" w:rsidP="004D3BEA">
      <w:pPr>
        <w:tabs>
          <w:tab w:val="left" w:pos="1260"/>
        </w:tabs>
        <w:spacing w:line="276" w:lineRule="auto"/>
        <w:ind w:right="96"/>
        <w:jc w:val="both"/>
        <w:rPr>
          <w:rFonts w:cs="Times New Roman"/>
          <w:b/>
          <w:color w:val="000000"/>
          <w:szCs w:val="24"/>
        </w:rPr>
      </w:pPr>
    </w:p>
    <w:p w14:paraId="26E3F57A" w14:textId="77777777" w:rsidR="004D3BEA" w:rsidRPr="00A24F80" w:rsidRDefault="004D3BEA" w:rsidP="004D3BEA">
      <w:pPr>
        <w:tabs>
          <w:tab w:val="left" w:pos="1260"/>
        </w:tabs>
        <w:spacing w:line="276" w:lineRule="auto"/>
        <w:ind w:right="96"/>
        <w:jc w:val="both"/>
        <w:rPr>
          <w:rFonts w:cs="Times New Roman"/>
          <w:color w:val="000000"/>
          <w:szCs w:val="24"/>
        </w:rPr>
      </w:pPr>
      <w:r w:rsidRPr="00574C52">
        <w:rPr>
          <w:rFonts w:cs="Times New Roman"/>
          <w:color w:val="000000"/>
          <w:szCs w:val="24"/>
        </w:rPr>
        <w:tab/>
      </w:r>
      <w:r w:rsidRPr="00A24F80">
        <w:rPr>
          <w:rFonts w:cs="Times New Roman"/>
          <w:color w:val="000000"/>
          <w:szCs w:val="24"/>
        </w:rPr>
        <w:t xml:space="preserve">Atidėjinys dėl VĮ Ignalinos </w:t>
      </w:r>
      <w:r w:rsidR="00A8785A">
        <w:rPr>
          <w:rFonts w:cs="Times New Roman"/>
          <w:color w:val="000000"/>
          <w:szCs w:val="24"/>
        </w:rPr>
        <w:t>AE</w:t>
      </w:r>
      <w:r w:rsidRPr="00A24F80">
        <w:rPr>
          <w:rFonts w:cs="Times New Roman"/>
          <w:color w:val="000000"/>
          <w:szCs w:val="24"/>
        </w:rPr>
        <w:t xml:space="preserve"> uždarymo IAENF apskaitoje nepripažįstamas ir apskaitoje neregistruojamas, nes nėra tiksliai žinomas įsipareigojimo įvykdymo laikas ir neįmanoma patikimai įvertinti galutinės įsipareigojimo sumos. Fondo lėšos baigias</w:t>
      </w:r>
      <w:r w:rsidR="00C45BEB" w:rsidRPr="00A24F80">
        <w:rPr>
          <w:rFonts w:cs="Times New Roman"/>
          <w:color w:val="000000"/>
          <w:szCs w:val="24"/>
        </w:rPr>
        <w:t>i</w:t>
      </w:r>
      <w:r w:rsidRPr="00A24F80">
        <w:rPr>
          <w:rFonts w:cs="Times New Roman"/>
          <w:color w:val="000000"/>
          <w:szCs w:val="24"/>
        </w:rPr>
        <w:t>, o sprendimai dėl Fondo papildymo reikiama apimtimi ir konkrečių priemonių, kurios būtų finansuojamos Fondo lėšomis, nepriimti.</w:t>
      </w:r>
    </w:p>
    <w:p w14:paraId="124D027E" w14:textId="77777777" w:rsidR="004D3BEA" w:rsidRPr="00A24F80" w:rsidRDefault="004D3BEA" w:rsidP="004D3BEA">
      <w:pPr>
        <w:tabs>
          <w:tab w:val="left" w:pos="1260"/>
        </w:tabs>
        <w:spacing w:line="276" w:lineRule="auto"/>
        <w:ind w:right="96"/>
        <w:jc w:val="both"/>
        <w:rPr>
          <w:rFonts w:cs="Times New Roman"/>
          <w:b/>
          <w:szCs w:val="24"/>
        </w:rPr>
      </w:pPr>
      <w:r w:rsidRPr="00A24F80">
        <w:rPr>
          <w:rFonts w:cs="Times New Roman"/>
          <w:szCs w:val="24"/>
        </w:rPr>
        <w:tab/>
        <w:t>Informacija apie neapibrėžtuosius įsipareigojimus peržiūrima kiekvienų ataskaitinių metų paskutinę dieną kaupiama nebalansinėse sąskaitose.</w:t>
      </w:r>
      <w:r w:rsidR="000876FB" w:rsidRPr="00A24F80">
        <w:rPr>
          <w:rFonts w:cs="Times New Roman"/>
          <w:szCs w:val="24"/>
        </w:rPr>
        <w:t xml:space="preserve"> </w:t>
      </w:r>
    </w:p>
    <w:p w14:paraId="600514BC" w14:textId="1228B83E" w:rsidR="00E61331" w:rsidRDefault="00F719F7" w:rsidP="00335EC8">
      <w:pPr>
        <w:tabs>
          <w:tab w:val="left" w:pos="1260"/>
        </w:tabs>
        <w:spacing w:line="276" w:lineRule="auto"/>
        <w:ind w:right="96"/>
        <w:jc w:val="both"/>
        <w:rPr>
          <w:rFonts w:cs="Times New Roman"/>
          <w:color w:val="000000"/>
          <w:szCs w:val="24"/>
        </w:rPr>
      </w:pPr>
      <w:r>
        <w:rPr>
          <w:rFonts w:cs="Times New Roman"/>
          <w:color w:val="000000"/>
          <w:szCs w:val="24"/>
        </w:rPr>
        <w:tab/>
      </w:r>
      <w:r w:rsidRPr="00F719F7">
        <w:rPr>
          <w:rFonts w:cs="Times New Roman"/>
          <w:color w:val="000000"/>
          <w:szCs w:val="24"/>
        </w:rPr>
        <w:t>Lietuvos Respublikos Vyriausybė 2019 m. spalio 23 d. nutarimu Nr. 1071 pritarė ir Lietuvos Respublikos Seimui pateikė Lietuvos Respublikos valstybės įmonės Ignalinos atominės elektrinės eksploatavimo nutraukimo fondo įstatymo Nr. IX-466 pripažinimo netekusiu galios įstatymo projektą</w:t>
      </w:r>
      <w:r>
        <w:rPr>
          <w:rFonts w:cs="Times New Roman"/>
          <w:color w:val="000000"/>
          <w:szCs w:val="24"/>
        </w:rPr>
        <w:t>.</w:t>
      </w:r>
      <w:r w:rsidRPr="00F719F7">
        <w:rPr>
          <w:rFonts w:cs="Times New Roman"/>
          <w:color w:val="000000"/>
          <w:szCs w:val="24"/>
        </w:rPr>
        <w:t xml:space="preserve"> Šiuo metu įstatymo projektas svarstomas </w:t>
      </w:r>
      <w:r>
        <w:rPr>
          <w:rFonts w:cs="Times New Roman"/>
          <w:color w:val="000000"/>
          <w:szCs w:val="24"/>
        </w:rPr>
        <w:t xml:space="preserve">Lietuvos Respublikos </w:t>
      </w:r>
      <w:r w:rsidRPr="00F719F7">
        <w:rPr>
          <w:rFonts w:cs="Times New Roman"/>
          <w:color w:val="000000"/>
          <w:szCs w:val="24"/>
        </w:rPr>
        <w:t>Seime. Kadangi ketinama Fondą likviduoti, 2020 metų</w:t>
      </w:r>
      <w:r>
        <w:rPr>
          <w:rFonts w:cs="Times New Roman"/>
          <w:color w:val="000000"/>
          <w:szCs w:val="24"/>
        </w:rPr>
        <w:t xml:space="preserve"> </w:t>
      </w:r>
      <w:r w:rsidRPr="00F719F7">
        <w:rPr>
          <w:rFonts w:cs="Times New Roman"/>
          <w:color w:val="000000"/>
          <w:szCs w:val="24"/>
        </w:rPr>
        <w:t>valstybės biudžeto ir savivaldybių biudžetų finansinių rodiklių patvirtinimo įstatyme nėra patvirtinta Fondo lėšų sąmata, o Ignalinos atominės elektrinės eksploatavimo nutraukimo tarpinstituciniame veiklos plane nenumatyta priemonių, kurių vykdymas 2020 m. būtų finansuojamas Fondo lėšomis, todėl neapibrėžtųjų įsipareigojimų sumos nėra apskaičiuotos ir užregistruotos Fondo apskaitoje nebalansinėje sąskaitoje.</w:t>
      </w:r>
    </w:p>
    <w:p w14:paraId="67EC9E02" w14:textId="77777777" w:rsidR="00F719F7" w:rsidRDefault="00F719F7" w:rsidP="00335EC8">
      <w:pPr>
        <w:tabs>
          <w:tab w:val="left" w:pos="1260"/>
        </w:tabs>
        <w:spacing w:line="276" w:lineRule="auto"/>
        <w:ind w:right="96"/>
        <w:jc w:val="both"/>
        <w:rPr>
          <w:rFonts w:cs="Times New Roman"/>
          <w:szCs w:val="24"/>
        </w:rPr>
      </w:pPr>
    </w:p>
    <w:p w14:paraId="3DF95AFF" w14:textId="5E25FF14" w:rsidR="00F71576" w:rsidRPr="00C7007D" w:rsidRDefault="00D95CB1" w:rsidP="00D95CB1">
      <w:pPr>
        <w:tabs>
          <w:tab w:val="left" w:pos="1260"/>
        </w:tabs>
        <w:spacing w:line="276" w:lineRule="auto"/>
        <w:ind w:right="96"/>
        <w:rPr>
          <w:rFonts w:cs="Times New Roman"/>
          <w:b/>
          <w:color w:val="000000"/>
          <w:szCs w:val="24"/>
        </w:rPr>
      </w:pPr>
      <w:r>
        <w:rPr>
          <w:rFonts w:cs="Times New Roman"/>
          <w:b/>
          <w:color w:val="000000"/>
          <w:szCs w:val="24"/>
        </w:rPr>
        <w:tab/>
      </w:r>
      <w:r w:rsidR="00572391" w:rsidRPr="00C7007D">
        <w:rPr>
          <w:rFonts w:cs="Times New Roman"/>
          <w:b/>
          <w:color w:val="000000"/>
          <w:szCs w:val="24"/>
        </w:rPr>
        <w:t>Veiklos tęstinumas</w:t>
      </w:r>
      <w:r w:rsidR="004A0F1C" w:rsidRPr="00C7007D">
        <w:rPr>
          <w:rFonts w:cs="Times New Roman"/>
          <w:b/>
          <w:color w:val="000000"/>
          <w:szCs w:val="24"/>
        </w:rPr>
        <w:t xml:space="preserve"> </w:t>
      </w:r>
    </w:p>
    <w:p w14:paraId="2224B54A" w14:textId="77777777" w:rsidR="00A91696" w:rsidRDefault="00A91696" w:rsidP="00335EC8">
      <w:pPr>
        <w:tabs>
          <w:tab w:val="left" w:pos="1260"/>
        </w:tabs>
        <w:spacing w:line="276" w:lineRule="auto"/>
        <w:ind w:right="96"/>
        <w:jc w:val="both"/>
        <w:rPr>
          <w:rFonts w:cs="Times New Roman"/>
          <w:b/>
          <w:szCs w:val="24"/>
        </w:rPr>
      </w:pPr>
    </w:p>
    <w:p w14:paraId="754BAAC0" w14:textId="72B7859E" w:rsidR="00ED7748" w:rsidRPr="000663C3" w:rsidRDefault="000663C3" w:rsidP="00D95CB1">
      <w:pPr>
        <w:pStyle w:val="HTMLPreformatted"/>
        <w:tabs>
          <w:tab w:val="clear" w:pos="1832"/>
          <w:tab w:val="left" w:pos="1276"/>
        </w:tabs>
        <w:spacing w:line="276" w:lineRule="auto"/>
        <w:jc w:val="both"/>
        <w:rPr>
          <w:rFonts w:ascii="Times New Roman" w:hAnsi="Times New Roman" w:cs="Times New Roman"/>
          <w:sz w:val="24"/>
          <w:szCs w:val="24"/>
        </w:rPr>
      </w:pPr>
      <w:r>
        <w:rPr>
          <w:rFonts w:ascii="Times New Roman" w:hAnsi="Times New Roman" w:cs="Times New Roman"/>
          <w:iCs/>
          <w:sz w:val="24"/>
          <w:szCs w:val="24"/>
        </w:rPr>
        <w:tab/>
      </w:r>
      <w:r w:rsidR="00D95CB1">
        <w:rPr>
          <w:rFonts w:ascii="Times New Roman" w:hAnsi="Times New Roman" w:cs="Times New Roman"/>
          <w:iCs/>
          <w:sz w:val="24"/>
          <w:szCs w:val="24"/>
        </w:rPr>
        <w:tab/>
      </w:r>
      <w:r w:rsidR="00990477">
        <w:rPr>
          <w:rFonts w:ascii="Times New Roman" w:hAnsi="Times New Roman" w:cs="Times New Roman"/>
          <w:iCs/>
          <w:sz w:val="24"/>
          <w:szCs w:val="24"/>
        </w:rPr>
        <w:t>V</w:t>
      </w:r>
      <w:r w:rsidRPr="000663C3">
        <w:rPr>
          <w:rFonts w:ascii="Times New Roman" w:hAnsi="Times New Roman" w:cs="Times New Roman"/>
          <w:iCs/>
          <w:sz w:val="24"/>
          <w:szCs w:val="24"/>
        </w:rPr>
        <w:t>alstybės įmonės Ignalinos atominės elektrinės eksploatavimo nutraukimo</w:t>
      </w:r>
      <w:r w:rsidRPr="000663C3">
        <w:rPr>
          <w:rFonts w:ascii="Times New Roman" w:hAnsi="Times New Roman" w:cs="Times New Roman"/>
          <w:sz w:val="24"/>
          <w:szCs w:val="24"/>
        </w:rPr>
        <w:t xml:space="preserve"> fondas </w:t>
      </w:r>
      <w:r w:rsidR="00ED7748" w:rsidRPr="000663C3">
        <w:rPr>
          <w:rFonts w:ascii="Times New Roman" w:hAnsi="Times New Roman" w:cs="Times New Roman"/>
          <w:sz w:val="24"/>
          <w:szCs w:val="24"/>
        </w:rPr>
        <w:t xml:space="preserve">likviduojamas </w:t>
      </w:r>
      <w:bookmarkStart w:id="140" w:name="74z"/>
      <w:r w:rsidR="00ED7748" w:rsidRPr="000663C3">
        <w:rPr>
          <w:rFonts w:ascii="Times New Roman" w:hAnsi="Times New Roman" w:cs="Times New Roman"/>
          <w:color w:val="000000"/>
          <w:sz w:val="24"/>
          <w:szCs w:val="24"/>
        </w:rPr>
        <w:fldChar w:fldCharType="begin"/>
      </w:r>
      <w:r w:rsidR="00ED7748" w:rsidRPr="000663C3">
        <w:rPr>
          <w:rFonts w:ascii="Times New Roman" w:hAnsi="Times New Roman" w:cs="Times New Roman"/>
          <w:color w:val="000000"/>
          <w:sz w:val="24"/>
          <w:szCs w:val="24"/>
        </w:rPr>
        <w:instrText xml:space="preserve"> HYPERLINK "http://www.litlex.lt/scripts/sarasas2.dll?Tekstas=1&amp;Id=48635&amp;Zd=IGNALINOS%2BIR%2BFONDO%2BIR%2B%C1STATYMAS&amp;Vr=5" \l "75z" </w:instrText>
      </w:r>
      <w:r w:rsidR="00ED7748" w:rsidRPr="000663C3">
        <w:rPr>
          <w:rFonts w:ascii="Times New Roman" w:hAnsi="Times New Roman" w:cs="Times New Roman"/>
          <w:color w:val="000000"/>
          <w:sz w:val="24"/>
          <w:szCs w:val="24"/>
        </w:rPr>
        <w:fldChar w:fldCharType="separate"/>
      </w:r>
      <w:r w:rsidR="00ED7748" w:rsidRPr="000663C3">
        <w:rPr>
          <w:rStyle w:val="Hyperlink"/>
          <w:rFonts w:ascii="Times New Roman" w:hAnsi="Times New Roman" w:cs="Times New Roman"/>
          <w:bCs/>
          <w:color w:val="000000"/>
          <w:sz w:val="24"/>
          <w:szCs w:val="24"/>
          <w:u w:val="none"/>
        </w:rPr>
        <w:t>Fondo</w:t>
      </w:r>
      <w:r w:rsidR="00ED7748" w:rsidRPr="000663C3">
        <w:rPr>
          <w:rFonts w:ascii="Times New Roman" w:hAnsi="Times New Roman" w:cs="Times New Roman"/>
          <w:color w:val="000000"/>
          <w:sz w:val="24"/>
          <w:szCs w:val="24"/>
        </w:rPr>
        <w:fldChar w:fldCharType="end"/>
      </w:r>
      <w:bookmarkEnd w:id="140"/>
      <w:r w:rsidR="00ED7748" w:rsidRPr="000663C3">
        <w:rPr>
          <w:rFonts w:ascii="Times New Roman" w:hAnsi="Times New Roman" w:cs="Times New Roman"/>
          <w:color w:val="000000"/>
          <w:sz w:val="24"/>
          <w:szCs w:val="24"/>
        </w:rPr>
        <w:t xml:space="preserve"> s</w:t>
      </w:r>
      <w:r w:rsidR="00ED7748" w:rsidRPr="000663C3">
        <w:rPr>
          <w:rFonts w:ascii="Times New Roman" w:hAnsi="Times New Roman" w:cs="Times New Roman"/>
          <w:sz w:val="24"/>
          <w:szCs w:val="24"/>
        </w:rPr>
        <w:t>teigėjo sprendimu</w:t>
      </w:r>
      <w:r w:rsidR="00B853A4">
        <w:rPr>
          <w:rFonts w:ascii="Times New Roman" w:hAnsi="Times New Roman" w:cs="Times New Roman"/>
          <w:sz w:val="24"/>
          <w:szCs w:val="24"/>
        </w:rPr>
        <w:t>,</w:t>
      </w:r>
      <w:r w:rsidR="00ED7748" w:rsidRPr="000663C3">
        <w:rPr>
          <w:rFonts w:ascii="Times New Roman" w:hAnsi="Times New Roman" w:cs="Times New Roman"/>
          <w:sz w:val="24"/>
          <w:szCs w:val="24"/>
        </w:rPr>
        <w:t xml:space="preserve"> </w:t>
      </w:r>
      <w:r w:rsidRPr="000663C3">
        <w:rPr>
          <w:rFonts w:ascii="Times New Roman" w:hAnsi="Times New Roman" w:cs="Times New Roman"/>
          <w:sz w:val="24"/>
          <w:szCs w:val="24"/>
        </w:rPr>
        <w:t>u</w:t>
      </w:r>
      <w:r w:rsidR="00ED7748" w:rsidRPr="000663C3">
        <w:rPr>
          <w:rFonts w:ascii="Times New Roman" w:hAnsi="Times New Roman" w:cs="Times New Roman"/>
          <w:sz w:val="24"/>
          <w:szCs w:val="24"/>
        </w:rPr>
        <w:t>žbaigus</w:t>
      </w:r>
      <w:bookmarkStart w:id="141" w:name="60z"/>
      <w:r w:rsidR="00ED7748" w:rsidRPr="000663C3">
        <w:rPr>
          <w:rFonts w:ascii="Times New Roman" w:hAnsi="Times New Roman" w:cs="Times New Roman"/>
          <w:sz w:val="24"/>
          <w:szCs w:val="24"/>
        </w:rPr>
        <w:t xml:space="preserve"> </w:t>
      </w:r>
      <w:hyperlink r:id="rId11" w:anchor="76z" w:history="1">
        <w:r w:rsidR="00ED7748" w:rsidRPr="000663C3">
          <w:rPr>
            <w:rStyle w:val="Hyperlink"/>
            <w:rFonts w:ascii="Times New Roman" w:hAnsi="Times New Roman" w:cs="Times New Roman"/>
            <w:bCs/>
            <w:color w:val="000000"/>
            <w:sz w:val="24"/>
            <w:szCs w:val="24"/>
            <w:u w:val="none"/>
          </w:rPr>
          <w:t>Ignalinos</w:t>
        </w:r>
      </w:hyperlink>
      <w:bookmarkEnd w:id="141"/>
      <w:r w:rsidR="00ED7748" w:rsidRPr="000663C3">
        <w:rPr>
          <w:rFonts w:ascii="Times New Roman" w:hAnsi="Times New Roman" w:cs="Times New Roman"/>
          <w:color w:val="000000"/>
          <w:sz w:val="24"/>
          <w:szCs w:val="24"/>
        </w:rPr>
        <w:t xml:space="preserve"> AE eksploatavimo nutraukimo darbus, palaidojus radioaktyviąsias atliekas </w:t>
      </w:r>
      <w:r>
        <w:rPr>
          <w:rFonts w:ascii="Times New Roman" w:hAnsi="Times New Roman" w:cs="Times New Roman"/>
          <w:color w:val="000000"/>
          <w:sz w:val="24"/>
          <w:szCs w:val="24"/>
        </w:rPr>
        <w:t xml:space="preserve">ir </w:t>
      </w:r>
      <w:r w:rsidR="00ED7748" w:rsidRPr="000663C3">
        <w:rPr>
          <w:rFonts w:ascii="Times New Roman" w:hAnsi="Times New Roman" w:cs="Times New Roman"/>
          <w:color w:val="000000"/>
          <w:sz w:val="24"/>
          <w:szCs w:val="24"/>
        </w:rPr>
        <w:t>užtikrinus uždar</w:t>
      </w:r>
      <w:r w:rsidR="00ED7748" w:rsidRPr="000663C3">
        <w:rPr>
          <w:rFonts w:ascii="Times New Roman" w:hAnsi="Times New Roman" w:cs="Times New Roman"/>
          <w:sz w:val="24"/>
          <w:szCs w:val="24"/>
        </w:rPr>
        <w:t>ytų kapinynų</w:t>
      </w:r>
      <w:r>
        <w:rPr>
          <w:rFonts w:ascii="Times New Roman" w:hAnsi="Times New Roman" w:cs="Times New Roman"/>
          <w:sz w:val="24"/>
          <w:szCs w:val="24"/>
        </w:rPr>
        <w:t xml:space="preserve"> </w:t>
      </w:r>
      <w:r w:rsidR="00ED7748" w:rsidRPr="000663C3">
        <w:rPr>
          <w:rFonts w:ascii="Times New Roman" w:hAnsi="Times New Roman" w:cs="Times New Roman"/>
          <w:sz w:val="24"/>
          <w:szCs w:val="24"/>
        </w:rPr>
        <w:t>institucinės priežiūros finansavimą.</w:t>
      </w:r>
    </w:p>
    <w:p w14:paraId="72E283E7" w14:textId="77777777" w:rsidR="00512F1A" w:rsidRPr="000663C3" w:rsidRDefault="00512F1A" w:rsidP="00335EC8">
      <w:pPr>
        <w:tabs>
          <w:tab w:val="left" w:pos="1260"/>
        </w:tabs>
        <w:spacing w:line="276" w:lineRule="auto"/>
        <w:ind w:right="96"/>
        <w:jc w:val="both"/>
        <w:rPr>
          <w:rFonts w:cs="Times New Roman"/>
          <w:b/>
          <w:szCs w:val="24"/>
        </w:rPr>
      </w:pPr>
    </w:p>
    <w:p w14:paraId="76EB345E" w14:textId="77777777" w:rsidR="00B6028A" w:rsidRDefault="00B6028A" w:rsidP="00335EC8">
      <w:pPr>
        <w:tabs>
          <w:tab w:val="left" w:pos="1260"/>
        </w:tabs>
        <w:spacing w:line="276" w:lineRule="auto"/>
        <w:jc w:val="both"/>
        <w:rPr>
          <w:rFonts w:cs="Times New Roman"/>
          <w:b/>
          <w:szCs w:val="24"/>
        </w:rPr>
      </w:pPr>
    </w:p>
    <w:p w14:paraId="3844F94D" w14:textId="77777777" w:rsidR="00E61331" w:rsidRDefault="00E61331" w:rsidP="00335EC8">
      <w:pPr>
        <w:tabs>
          <w:tab w:val="left" w:pos="1260"/>
        </w:tabs>
        <w:spacing w:line="276" w:lineRule="auto"/>
        <w:jc w:val="both"/>
        <w:rPr>
          <w:rFonts w:cs="Times New Roman"/>
          <w:b/>
          <w:szCs w:val="24"/>
        </w:rPr>
      </w:pPr>
    </w:p>
    <w:p w14:paraId="491CE241" w14:textId="2A2A68A8" w:rsidR="00D01472" w:rsidRPr="00D01472" w:rsidRDefault="006F3D70" w:rsidP="00D01472">
      <w:pPr>
        <w:tabs>
          <w:tab w:val="left" w:pos="1298"/>
          <w:tab w:val="num" w:pos="2062"/>
          <w:tab w:val="left" w:pos="2160"/>
        </w:tabs>
        <w:spacing w:line="276" w:lineRule="auto"/>
        <w:ind w:right="96"/>
        <w:rPr>
          <w:rStyle w:val="Strong"/>
          <w:b w:val="0"/>
          <w:color w:val="040C10"/>
          <w:szCs w:val="24"/>
        </w:rPr>
      </w:pPr>
      <w:r>
        <w:rPr>
          <w:rStyle w:val="Strong"/>
          <w:b w:val="0"/>
          <w:color w:val="040C10"/>
          <w:szCs w:val="24"/>
        </w:rPr>
        <w:t>Ministerijos kancler</w:t>
      </w:r>
      <w:r w:rsidR="00F47D0C">
        <w:rPr>
          <w:rStyle w:val="Strong"/>
          <w:b w:val="0"/>
          <w:color w:val="040C10"/>
          <w:szCs w:val="24"/>
        </w:rPr>
        <w:t>is</w:t>
      </w:r>
      <w:r w:rsidR="00D01472" w:rsidRPr="00D01472">
        <w:rPr>
          <w:rStyle w:val="Strong"/>
          <w:b w:val="0"/>
          <w:color w:val="040C10"/>
          <w:szCs w:val="24"/>
        </w:rPr>
        <w:tab/>
      </w:r>
      <w:r w:rsidR="00D01472" w:rsidRPr="00D01472">
        <w:rPr>
          <w:rStyle w:val="Strong"/>
          <w:b w:val="0"/>
          <w:color w:val="040C10"/>
          <w:szCs w:val="24"/>
        </w:rPr>
        <w:tab/>
      </w:r>
      <w:r w:rsidR="00D01472" w:rsidRPr="00D01472">
        <w:rPr>
          <w:rStyle w:val="Strong"/>
          <w:b w:val="0"/>
          <w:color w:val="040C10"/>
          <w:szCs w:val="24"/>
        </w:rPr>
        <w:tab/>
      </w:r>
      <w:r w:rsidR="00D01472" w:rsidRPr="00D01472">
        <w:rPr>
          <w:rStyle w:val="Strong"/>
          <w:b w:val="0"/>
          <w:color w:val="040C10"/>
          <w:szCs w:val="24"/>
        </w:rPr>
        <w:tab/>
      </w:r>
      <w:r w:rsidR="00D01472" w:rsidRPr="00D01472">
        <w:rPr>
          <w:rStyle w:val="Strong"/>
          <w:b w:val="0"/>
          <w:color w:val="040C10"/>
          <w:szCs w:val="24"/>
        </w:rPr>
        <w:tab/>
      </w:r>
      <w:r>
        <w:rPr>
          <w:rStyle w:val="Strong"/>
          <w:b w:val="0"/>
          <w:color w:val="040C10"/>
          <w:szCs w:val="24"/>
        </w:rPr>
        <w:tab/>
      </w:r>
      <w:r w:rsidR="00F47D0C">
        <w:rPr>
          <w:rStyle w:val="Strong"/>
          <w:b w:val="0"/>
          <w:color w:val="040C10"/>
          <w:szCs w:val="24"/>
        </w:rPr>
        <w:t>Ramūnas Dilba</w:t>
      </w:r>
    </w:p>
    <w:p w14:paraId="7420A4F0" w14:textId="77777777" w:rsidR="00D01472" w:rsidRPr="00D01472" w:rsidRDefault="00D01472" w:rsidP="00D01472">
      <w:pPr>
        <w:tabs>
          <w:tab w:val="left" w:pos="1298"/>
          <w:tab w:val="num" w:pos="2062"/>
          <w:tab w:val="left" w:pos="2160"/>
        </w:tabs>
        <w:spacing w:line="276" w:lineRule="auto"/>
        <w:ind w:right="96"/>
        <w:rPr>
          <w:rStyle w:val="Strong"/>
          <w:b w:val="0"/>
          <w:color w:val="040C10"/>
          <w:szCs w:val="24"/>
        </w:rPr>
      </w:pPr>
    </w:p>
    <w:p w14:paraId="23647669" w14:textId="77777777" w:rsidR="00D01472" w:rsidRPr="00D01472" w:rsidRDefault="00D01472" w:rsidP="00D01472">
      <w:pPr>
        <w:tabs>
          <w:tab w:val="left" w:pos="1298"/>
          <w:tab w:val="num" w:pos="2062"/>
          <w:tab w:val="left" w:pos="2160"/>
        </w:tabs>
        <w:spacing w:line="276" w:lineRule="auto"/>
        <w:ind w:right="96"/>
        <w:rPr>
          <w:rStyle w:val="Strong"/>
          <w:b w:val="0"/>
          <w:color w:val="040C10"/>
          <w:szCs w:val="24"/>
        </w:rPr>
      </w:pPr>
    </w:p>
    <w:p w14:paraId="049770C7" w14:textId="6C9AC820" w:rsidR="00F719F7" w:rsidRDefault="00F719F7" w:rsidP="00D01472">
      <w:pPr>
        <w:tabs>
          <w:tab w:val="left" w:pos="1298"/>
          <w:tab w:val="num" w:pos="2062"/>
          <w:tab w:val="left" w:pos="2160"/>
        </w:tabs>
        <w:spacing w:line="276" w:lineRule="auto"/>
        <w:ind w:right="96"/>
        <w:rPr>
          <w:rStyle w:val="Strong"/>
          <w:b w:val="0"/>
          <w:color w:val="040C10"/>
          <w:szCs w:val="24"/>
        </w:rPr>
      </w:pPr>
      <w:r>
        <w:rPr>
          <w:rStyle w:val="Strong"/>
          <w:b w:val="0"/>
          <w:color w:val="040C10"/>
          <w:szCs w:val="24"/>
        </w:rPr>
        <w:t xml:space="preserve">Nacionalinio bendrųjų funkcijų centro </w:t>
      </w:r>
      <w:r w:rsidR="00F47D0C">
        <w:rPr>
          <w:rStyle w:val="Strong"/>
          <w:b w:val="0"/>
          <w:color w:val="040C10"/>
          <w:szCs w:val="24"/>
        </w:rPr>
        <w:t xml:space="preserve">Buhalterinės </w:t>
      </w:r>
      <w:r>
        <w:rPr>
          <w:rStyle w:val="Strong"/>
          <w:b w:val="0"/>
          <w:color w:val="040C10"/>
          <w:szCs w:val="24"/>
        </w:rPr>
        <w:tab/>
      </w:r>
      <w:r>
        <w:rPr>
          <w:rStyle w:val="Strong"/>
          <w:b w:val="0"/>
          <w:color w:val="040C10"/>
          <w:szCs w:val="24"/>
        </w:rPr>
        <w:tab/>
      </w:r>
      <w:r>
        <w:rPr>
          <w:rStyle w:val="Strong"/>
          <w:b w:val="0"/>
          <w:color w:val="040C10"/>
          <w:szCs w:val="24"/>
        </w:rPr>
        <w:tab/>
        <w:t>Aistė Galiauskienė</w:t>
      </w:r>
    </w:p>
    <w:p w14:paraId="601F7149" w14:textId="667CDA96" w:rsidR="00164D10" w:rsidRPr="00E33F7A" w:rsidRDefault="00F47D0C" w:rsidP="00D01472">
      <w:pPr>
        <w:tabs>
          <w:tab w:val="left" w:pos="1298"/>
          <w:tab w:val="num" w:pos="2062"/>
          <w:tab w:val="left" w:pos="2160"/>
        </w:tabs>
        <w:spacing w:line="276" w:lineRule="auto"/>
        <w:ind w:right="96"/>
        <w:rPr>
          <w:rStyle w:val="Strong"/>
          <w:b w:val="0"/>
          <w:color w:val="040C10"/>
          <w:szCs w:val="24"/>
        </w:rPr>
      </w:pPr>
      <w:r>
        <w:rPr>
          <w:rStyle w:val="Strong"/>
          <w:b w:val="0"/>
          <w:color w:val="040C10"/>
          <w:szCs w:val="24"/>
        </w:rPr>
        <w:t xml:space="preserve">apskaitos departamento </w:t>
      </w:r>
      <w:r w:rsidR="00A05A60">
        <w:rPr>
          <w:rStyle w:val="Strong"/>
          <w:b w:val="0"/>
          <w:color w:val="040C10"/>
          <w:szCs w:val="24"/>
        </w:rPr>
        <w:t>pogrupio</w:t>
      </w:r>
      <w:r>
        <w:rPr>
          <w:rStyle w:val="Strong"/>
          <w:b w:val="0"/>
          <w:color w:val="040C10"/>
          <w:szCs w:val="24"/>
        </w:rPr>
        <w:t xml:space="preserve"> vadovė</w:t>
      </w:r>
      <w:r w:rsidR="00D01472" w:rsidRPr="00D01472">
        <w:rPr>
          <w:rStyle w:val="Strong"/>
          <w:b w:val="0"/>
          <w:color w:val="040C10"/>
          <w:szCs w:val="24"/>
        </w:rPr>
        <w:tab/>
      </w:r>
      <w:r w:rsidR="00D01472" w:rsidRPr="00D01472">
        <w:rPr>
          <w:rStyle w:val="Strong"/>
          <w:b w:val="0"/>
          <w:color w:val="040C10"/>
          <w:szCs w:val="24"/>
        </w:rPr>
        <w:tab/>
      </w:r>
    </w:p>
    <w:sectPr w:rsidR="00164D10" w:rsidRPr="00E33F7A" w:rsidSect="006F37DC">
      <w:headerReference w:type="even" r:id="rId12"/>
      <w:headerReference w:type="default" r:id="rId13"/>
      <w:footerReference w:type="default" r:id="rId14"/>
      <w:pgSz w:w="11906" w:h="16838" w:code="9"/>
      <w:pgMar w:top="1276" w:right="849" w:bottom="567" w:left="1134" w:header="567" w:footer="624"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5BB8C54" w14:textId="77777777" w:rsidR="00EC65F2" w:rsidRDefault="00EC65F2">
      <w:r>
        <w:separator/>
      </w:r>
    </w:p>
  </w:endnote>
  <w:endnote w:type="continuationSeparator" w:id="0">
    <w:p w14:paraId="08078908" w14:textId="77777777" w:rsidR="00EC65F2" w:rsidRDefault="00EC65F2">
      <w:r>
        <w:continuationSeparator/>
      </w:r>
    </w:p>
  </w:endnote>
  <w:endnote w:type="continuationNotice" w:id="1">
    <w:p w14:paraId="1469FFA1" w14:textId="77777777" w:rsidR="00EC65F2" w:rsidRDefault="00EC65F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LT">
    <w:altName w:val="Times New Roman"/>
    <w:charset w:val="BA"/>
    <w:family w:val="roman"/>
    <w:pitch w:val="variable"/>
    <w:sig w:usb0="00000001"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NewRoman">
    <w:altName w:val="Times New Roman"/>
    <w:panose1 w:val="00000000000000000000"/>
    <w:charset w:val="00"/>
    <w:family w:val="roman"/>
    <w:notTrueType/>
    <w:pitch w:val="default"/>
    <w:sig w:usb0="00000007" w:usb1="00000000" w:usb2="00000000" w:usb3="00000000" w:csb0="00000003"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10DFB5" w14:textId="77777777" w:rsidR="00077E66" w:rsidRDefault="00077E66">
    <w:pPr>
      <w:pStyle w:val="Footer"/>
      <w:jc w:val="center"/>
    </w:pPr>
  </w:p>
  <w:p w14:paraId="6662EE81" w14:textId="5E6FC3B7" w:rsidR="00077E66" w:rsidRDefault="00077E66">
    <w:pPr>
      <w:pStyle w:val="Footer"/>
      <w:jc w:val="center"/>
    </w:pPr>
    <w:r>
      <w:fldChar w:fldCharType="begin"/>
    </w:r>
    <w:r>
      <w:instrText xml:space="preserve"> PAGE   \* MERGEFORMAT </w:instrText>
    </w:r>
    <w:r>
      <w:fldChar w:fldCharType="separate"/>
    </w:r>
    <w:r>
      <w:rPr>
        <w:noProof/>
      </w:rPr>
      <w:t>24</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50FB457" w14:textId="77777777" w:rsidR="00EC65F2" w:rsidRDefault="00EC65F2">
      <w:r>
        <w:separator/>
      </w:r>
    </w:p>
  </w:footnote>
  <w:footnote w:type="continuationSeparator" w:id="0">
    <w:p w14:paraId="5630CBF3" w14:textId="77777777" w:rsidR="00EC65F2" w:rsidRDefault="00EC65F2">
      <w:r>
        <w:continuationSeparator/>
      </w:r>
    </w:p>
  </w:footnote>
  <w:footnote w:type="continuationNotice" w:id="1">
    <w:p w14:paraId="75F50845" w14:textId="77777777" w:rsidR="00EC65F2" w:rsidRDefault="00EC65F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1F2FAA" w14:textId="77777777" w:rsidR="00077E66" w:rsidRDefault="00077E66">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3D748FA8" w14:textId="77777777" w:rsidR="00077E66" w:rsidRDefault="00077E6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DC9BF6" w14:textId="77777777" w:rsidR="00077E66" w:rsidRPr="009874C1" w:rsidRDefault="00077E66" w:rsidP="00D93A96">
    <w:pPr>
      <w:pStyle w:val="Header"/>
      <w:rPr>
        <w:b/>
        <w:sz w:val="20"/>
        <w:szCs w:val="20"/>
      </w:rPr>
    </w:pPr>
    <w:r>
      <w:rPr>
        <w:b/>
        <w:sz w:val="20"/>
        <w:szCs w:val="20"/>
      </w:rPr>
      <w:t xml:space="preserve">Valstybės įmonės Ignalinos atominės elektrinės eksploatavimo nutraukimo fondas, Gedimino 38, Vilnius </w:t>
    </w:r>
  </w:p>
  <w:p w14:paraId="3357DD99" w14:textId="56E82B80" w:rsidR="00077E66" w:rsidRPr="009874C1" w:rsidRDefault="00077E66" w:rsidP="00D93A96">
    <w:pPr>
      <w:pStyle w:val="Header"/>
      <w:rPr>
        <w:b/>
        <w:sz w:val="20"/>
        <w:szCs w:val="20"/>
      </w:rPr>
    </w:pPr>
    <w:r w:rsidRPr="009874C1">
      <w:rPr>
        <w:b/>
        <w:sz w:val="20"/>
        <w:szCs w:val="20"/>
      </w:rPr>
      <w:t>201</w:t>
    </w:r>
    <w:r>
      <w:rPr>
        <w:b/>
        <w:sz w:val="20"/>
        <w:szCs w:val="20"/>
      </w:rPr>
      <w:t>9</w:t>
    </w:r>
    <w:r w:rsidRPr="009874C1">
      <w:rPr>
        <w:b/>
        <w:sz w:val="20"/>
        <w:szCs w:val="20"/>
      </w:rPr>
      <w:t xml:space="preserve"> M. </w:t>
    </w:r>
    <w:r>
      <w:rPr>
        <w:b/>
        <w:sz w:val="20"/>
        <w:szCs w:val="20"/>
      </w:rPr>
      <w:t>GRUODŽIO 31</w:t>
    </w:r>
    <w:r w:rsidRPr="009874C1">
      <w:rPr>
        <w:b/>
        <w:sz w:val="20"/>
        <w:szCs w:val="20"/>
      </w:rPr>
      <w:t xml:space="preserve"> D. pasibaigusi</w:t>
    </w:r>
    <w:r>
      <w:rPr>
        <w:b/>
        <w:sz w:val="20"/>
        <w:szCs w:val="20"/>
      </w:rPr>
      <w:t>ų metų</w:t>
    </w:r>
    <w:r w:rsidRPr="009874C1">
      <w:rPr>
        <w:b/>
        <w:sz w:val="20"/>
        <w:szCs w:val="20"/>
      </w:rPr>
      <w:t xml:space="preserve"> FINANSINIŲ ATASKAITŲ RINKINYS</w:t>
    </w:r>
  </w:p>
  <w:p w14:paraId="4CDCF705" w14:textId="77777777" w:rsidR="00077E66" w:rsidRDefault="00077E66" w:rsidP="00D93A96">
    <w:pPr>
      <w:pStyle w:val="Header"/>
      <w:pBdr>
        <w:bottom w:val="single" w:sz="12" w:space="1" w:color="auto"/>
      </w:pBdr>
      <w:rPr>
        <w:sz w:val="20"/>
        <w:szCs w:val="20"/>
      </w:rPr>
    </w:pPr>
    <w:r w:rsidRPr="009874C1">
      <w:rPr>
        <w:sz w:val="20"/>
        <w:szCs w:val="20"/>
      </w:rPr>
      <w:t xml:space="preserve">(Visos sumos </w:t>
    </w:r>
    <w:r>
      <w:rPr>
        <w:sz w:val="20"/>
        <w:szCs w:val="20"/>
      </w:rPr>
      <w:t>eurais</w:t>
    </w:r>
    <w:r w:rsidRPr="009874C1">
      <w:rPr>
        <w:sz w:val="20"/>
        <w:szCs w:val="20"/>
      </w:rPr>
      <w:t>, jei nenurodyta kitaip)</w:t>
    </w:r>
    <w:r w:rsidRPr="009874C1">
      <w:rPr>
        <w:sz w:val="20"/>
        <w:szCs w:val="20"/>
        <w:u w:val="single"/>
      </w:rPr>
      <w:t xml:space="preserve"> </w:t>
    </w:r>
  </w:p>
  <w:p w14:paraId="53FD5CBF" w14:textId="77777777" w:rsidR="00077E66" w:rsidRDefault="00077E6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6645CA"/>
    <w:multiLevelType w:val="hybridMultilevel"/>
    <w:tmpl w:val="9BB2A224"/>
    <w:lvl w:ilvl="0" w:tplc="A9ACC304">
      <w:start w:val="1"/>
      <w:numFmt w:val="decimal"/>
      <w:lvlText w:val="5.%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 w15:restartNumberingAfterBreak="0">
    <w:nsid w:val="04C80EFC"/>
    <w:multiLevelType w:val="hybridMultilevel"/>
    <w:tmpl w:val="7E32CB82"/>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51D5E65"/>
    <w:multiLevelType w:val="hybridMultilevel"/>
    <w:tmpl w:val="EAF43116"/>
    <w:lvl w:ilvl="0" w:tplc="7694706A">
      <w:start w:val="1"/>
      <w:numFmt w:val="upperRoman"/>
      <w:lvlText w:val="%1."/>
      <w:lvlJc w:val="left"/>
      <w:pPr>
        <w:ind w:left="8942" w:hanging="720"/>
      </w:pPr>
      <w:rPr>
        <w:rFonts w:hint="default"/>
      </w:rPr>
    </w:lvl>
    <w:lvl w:ilvl="1" w:tplc="04270019" w:tentative="1">
      <w:start w:val="1"/>
      <w:numFmt w:val="lowerLetter"/>
      <w:lvlText w:val="%2."/>
      <w:lvlJc w:val="left"/>
      <w:pPr>
        <w:ind w:left="9302" w:hanging="360"/>
      </w:pPr>
    </w:lvl>
    <w:lvl w:ilvl="2" w:tplc="0427001B" w:tentative="1">
      <w:start w:val="1"/>
      <w:numFmt w:val="lowerRoman"/>
      <w:lvlText w:val="%3."/>
      <w:lvlJc w:val="right"/>
      <w:pPr>
        <w:ind w:left="10022" w:hanging="180"/>
      </w:pPr>
    </w:lvl>
    <w:lvl w:ilvl="3" w:tplc="0427000F" w:tentative="1">
      <w:start w:val="1"/>
      <w:numFmt w:val="decimal"/>
      <w:lvlText w:val="%4."/>
      <w:lvlJc w:val="left"/>
      <w:pPr>
        <w:ind w:left="10742" w:hanging="360"/>
      </w:pPr>
    </w:lvl>
    <w:lvl w:ilvl="4" w:tplc="04270019" w:tentative="1">
      <w:start w:val="1"/>
      <w:numFmt w:val="lowerLetter"/>
      <w:lvlText w:val="%5."/>
      <w:lvlJc w:val="left"/>
      <w:pPr>
        <w:ind w:left="11462" w:hanging="360"/>
      </w:pPr>
    </w:lvl>
    <w:lvl w:ilvl="5" w:tplc="0427001B" w:tentative="1">
      <w:start w:val="1"/>
      <w:numFmt w:val="lowerRoman"/>
      <w:lvlText w:val="%6."/>
      <w:lvlJc w:val="right"/>
      <w:pPr>
        <w:ind w:left="12182" w:hanging="180"/>
      </w:pPr>
    </w:lvl>
    <w:lvl w:ilvl="6" w:tplc="0427000F" w:tentative="1">
      <w:start w:val="1"/>
      <w:numFmt w:val="decimal"/>
      <w:lvlText w:val="%7."/>
      <w:lvlJc w:val="left"/>
      <w:pPr>
        <w:ind w:left="12902" w:hanging="360"/>
      </w:pPr>
    </w:lvl>
    <w:lvl w:ilvl="7" w:tplc="04270019" w:tentative="1">
      <w:start w:val="1"/>
      <w:numFmt w:val="lowerLetter"/>
      <w:lvlText w:val="%8."/>
      <w:lvlJc w:val="left"/>
      <w:pPr>
        <w:ind w:left="13622" w:hanging="360"/>
      </w:pPr>
    </w:lvl>
    <w:lvl w:ilvl="8" w:tplc="0427001B" w:tentative="1">
      <w:start w:val="1"/>
      <w:numFmt w:val="lowerRoman"/>
      <w:lvlText w:val="%9."/>
      <w:lvlJc w:val="right"/>
      <w:pPr>
        <w:ind w:left="14342" w:hanging="180"/>
      </w:pPr>
    </w:lvl>
  </w:abstractNum>
  <w:abstractNum w:abstractNumId="3" w15:restartNumberingAfterBreak="0">
    <w:nsid w:val="066A3D03"/>
    <w:multiLevelType w:val="hybridMultilevel"/>
    <w:tmpl w:val="A0068B62"/>
    <w:lvl w:ilvl="0" w:tplc="AB4AB620">
      <w:start w:val="1"/>
      <w:numFmt w:val="decimal"/>
      <w:lvlText w:val="%1."/>
      <w:lvlJc w:val="left"/>
      <w:pPr>
        <w:ind w:left="1656" w:hanging="360"/>
      </w:pPr>
      <w:rPr>
        <w:rFonts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4" w15:restartNumberingAfterBreak="0">
    <w:nsid w:val="067272B0"/>
    <w:multiLevelType w:val="multilevel"/>
    <w:tmpl w:val="211A316A"/>
    <w:lvl w:ilvl="0">
      <w:start w:val="1"/>
      <w:numFmt w:val="decimal"/>
      <w:lvlText w:val="2.%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72370B8"/>
    <w:multiLevelType w:val="hybridMultilevel"/>
    <w:tmpl w:val="55BC6F2A"/>
    <w:lvl w:ilvl="0" w:tplc="75248958">
      <w:start w:val="1"/>
      <w:numFmt w:val="decimal"/>
      <w:lvlText w:val="%1"/>
      <w:lvlJc w:val="left"/>
      <w:pPr>
        <w:ind w:left="2340" w:hanging="360"/>
      </w:pPr>
      <w:rPr>
        <w:rFonts w:hint="default"/>
      </w:rPr>
    </w:lvl>
    <w:lvl w:ilvl="1" w:tplc="04270019" w:tentative="1">
      <w:start w:val="1"/>
      <w:numFmt w:val="lowerLetter"/>
      <w:lvlText w:val="%2."/>
      <w:lvlJc w:val="left"/>
      <w:pPr>
        <w:ind w:left="3060" w:hanging="360"/>
      </w:pPr>
    </w:lvl>
    <w:lvl w:ilvl="2" w:tplc="0427001B" w:tentative="1">
      <w:start w:val="1"/>
      <w:numFmt w:val="lowerRoman"/>
      <w:lvlText w:val="%3."/>
      <w:lvlJc w:val="right"/>
      <w:pPr>
        <w:ind w:left="3780" w:hanging="180"/>
      </w:pPr>
    </w:lvl>
    <w:lvl w:ilvl="3" w:tplc="0427000F" w:tentative="1">
      <w:start w:val="1"/>
      <w:numFmt w:val="decimal"/>
      <w:lvlText w:val="%4."/>
      <w:lvlJc w:val="left"/>
      <w:pPr>
        <w:ind w:left="4500" w:hanging="360"/>
      </w:pPr>
    </w:lvl>
    <w:lvl w:ilvl="4" w:tplc="04270019" w:tentative="1">
      <w:start w:val="1"/>
      <w:numFmt w:val="lowerLetter"/>
      <w:lvlText w:val="%5."/>
      <w:lvlJc w:val="left"/>
      <w:pPr>
        <w:ind w:left="5220" w:hanging="360"/>
      </w:pPr>
    </w:lvl>
    <w:lvl w:ilvl="5" w:tplc="0427001B" w:tentative="1">
      <w:start w:val="1"/>
      <w:numFmt w:val="lowerRoman"/>
      <w:lvlText w:val="%6."/>
      <w:lvlJc w:val="right"/>
      <w:pPr>
        <w:ind w:left="5940" w:hanging="180"/>
      </w:pPr>
    </w:lvl>
    <w:lvl w:ilvl="6" w:tplc="0427000F" w:tentative="1">
      <w:start w:val="1"/>
      <w:numFmt w:val="decimal"/>
      <w:lvlText w:val="%7."/>
      <w:lvlJc w:val="left"/>
      <w:pPr>
        <w:ind w:left="6660" w:hanging="360"/>
      </w:pPr>
    </w:lvl>
    <w:lvl w:ilvl="7" w:tplc="04270019" w:tentative="1">
      <w:start w:val="1"/>
      <w:numFmt w:val="lowerLetter"/>
      <w:lvlText w:val="%8."/>
      <w:lvlJc w:val="left"/>
      <w:pPr>
        <w:ind w:left="7380" w:hanging="360"/>
      </w:pPr>
    </w:lvl>
    <w:lvl w:ilvl="8" w:tplc="0427001B" w:tentative="1">
      <w:start w:val="1"/>
      <w:numFmt w:val="lowerRoman"/>
      <w:lvlText w:val="%9."/>
      <w:lvlJc w:val="right"/>
      <w:pPr>
        <w:ind w:left="8100" w:hanging="180"/>
      </w:pPr>
    </w:lvl>
  </w:abstractNum>
  <w:abstractNum w:abstractNumId="6" w15:restartNumberingAfterBreak="0">
    <w:nsid w:val="07922BA4"/>
    <w:multiLevelType w:val="hybridMultilevel"/>
    <w:tmpl w:val="05086650"/>
    <w:lvl w:ilvl="0" w:tplc="BA0AB3BE">
      <w:start w:val="1"/>
      <w:numFmt w:val="decimal"/>
      <w:lvlText w:val="%1."/>
      <w:lvlJc w:val="left"/>
      <w:pPr>
        <w:ind w:left="1620" w:hanging="360"/>
      </w:pPr>
      <w:rPr>
        <w:rFonts w:hint="default"/>
      </w:rPr>
    </w:lvl>
    <w:lvl w:ilvl="1" w:tplc="04270019" w:tentative="1">
      <w:start w:val="1"/>
      <w:numFmt w:val="lowerLetter"/>
      <w:lvlText w:val="%2."/>
      <w:lvlJc w:val="left"/>
      <w:pPr>
        <w:ind w:left="2340" w:hanging="360"/>
      </w:pPr>
    </w:lvl>
    <w:lvl w:ilvl="2" w:tplc="0427001B" w:tentative="1">
      <w:start w:val="1"/>
      <w:numFmt w:val="lowerRoman"/>
      <w:lvlText w:val="%3."/>
      <w:lvlJc w:val="right"/>
      <w:pPr>
        <w:ind w:left="3060" w:hanging="180"/>
      </w:pPr>
    </w:lvl>
    <w:lvl w:ilvl="3" w:tplc="0427000F" w:tentative="1">
      <w:start w:val="1"/>
      <w:numFmt w:val="decimal"/>
      <w:lvlText w:val="%4."/>
      <w:lvlJc w:val="left"/>
      <w:pPr>
        <w:ind w:left="3780" w:hanging="360"/>
      </w:pPr>
    </w:lvl>
    <w:lvl w:ilvl="4" w:tplc="04270019" w:tentative="1">
      <w:start w:val="1"/>
      <w:numFmt w:val="lowerLetter"/>
      <w:lvlText w:val="%5."/>
      <w:lvlJc w:val="left"/>
      <w:pPr>
        <w:ind w:left="4500" w:hanging="360"/>
      </w:pPr>
    </w:lvl>
    <w:lvl w:ilvl="5" w:tplc="0427001B" w:tentative="1">
      <w:start w:val="1"/>
      <w:numFmt w:val="lowerRoman"/>
      <w:lvlText w:val="%6."/>
      <w:lvlJc w:val="right"/>
      <w:pPr>
        <w:ind w:left="5220" w:hanging="180"/>
      </w:pPr>
    </w:lvl>
    <w:lvl w:ilvl="6" w:tplc="0427000F" w:tentative="1">
      <w:start w:val="1"/>
      <w:numFmt w:val="decimal"/>
      <w:lvlText w:val="%7."/>
      <w:lvlJc w:val="left"/>
      <w:pPr>
        <w:ind w:left="5940" w:hanging="360"/>
      </w:pPr>
    </w:lvl>
    <w:lvl w:ilvl="7" w:tplc="04270019" w:tentative="1">
      <w:start w:val="1"/>
      <w:numFmt w:val="lowerLetter"/>
      <w:lvlText w:val="%8."/>
      <w:lvlJc w:val="left"/>
      <w:pPr>
        <w:ind w:left="6660" w:hanging="360"/>
      </w:pPr>
    </w:lvl>
    <w:lvl w:ilvl="8" w:tplc="0427001B" w:tentative="1">
      <w:start w:val="1"/>
      <w:numFmt w:val="lowerRoman"/>
      <w:lvlText w:val="%9."/>
      <w:lvlJc w:val="right"/>
      <w:pPr>
        <w:ind w:left="7380" w:hanging="180"/>
      </w:pPr>
    </w:lvl>
  </w:abstractNum>
  <w:abstractNum w:abstractNumId="7" w15:restartNumberingAfterBreak="0">
    <w:nsid w:val="0A8363B8"/>
    <w:multiLevelType w:val="hybridMultilevel"/>
    <w:tmpl w:val="5ED6BC5A"/>
    <w:lvl w:ilvl="0" w:tplc="91D083CA">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0BE61EAF"/>
    <w:multiLevelType w:val="hybridMultilevel"/>
    <w:tmpl w:val="60341E06"/>
    <w:lvl w:ilvl="0" w:tplc="253A8D46">
      <w:start w:val="2017"/>
      <w:numFmt w:val="decimal"/>
      <w:lvlText w:val="%1"/>
      <w:lvlJc w:val="left"/>
      <w:pPr>
        <w:ind w:left="840" w:hanging="48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14D201BE"/>
    <w:multiLevelType w:val="hybridMultilevel"/>
    <w:tmpl w:val="9AE4845C"/>
    <w:lvl w:ilvl="0" w:tplc="6A4E94F8">
      <w:start w:val="2017"/>
      <w:numFmt w:val="decimal"/>
      <w:lvlText w:val="%1"/>
      <w:lvlJc w:val="left"/>
      <w:pPr>
        <w:ind w:left="1320" w:hanging="480"/>
      </w:pPr>
      <w:rPr>
        <w:rFonts w:hint="default"/>
      </w:rPr>
    </w:lvl>
    <w:lvl w:ilvl="1" w:tplc="04270019" w:tentative="1">
      <w:start w:val="1"/>
      <w:numFmt w:val="lowerLetter"/>
      <w:lvlText w:val="%2."/>
      <w:lvlJc w:val="left"/>
      <w:pPr>
        <w:ind w:left="1920" w:hanging="360"/>
      </w:pPr>
    </w:lvl>
    <w:lvl w:ilvl="2" w:tplc="0427001B" w:tentative="1">
      <w:start w:val="1"/>
      <w:numFmt w:val="lowerRoman"/>
      <w:lvlText w:val="%3."/>
      <w:lvlJc w:val="right"/>
      <w:pPr>
        <w:ind w:left="2640" w:hanging="180"/>
      </w:pPr>
    </w:lvl>
    <w:lvl w:ilvl="3" w:tplc="0427000F" w:tentative="1">
      <w:start w:val="1"/>
      <w:numFmt w:val="decimal"/>
      <w:lvlText w:val="%4."/>
      <w:lvlJc w:val="left"/>
      <w:pPr>
        <w:ind w:left="3360" w:hanging="360"/>
      </w:pPr>
    </w:lvl>
    <w:lvl w:ilvl="4" w:tplc="04270019" w:tentative="1">
      <w:start w:val="1"/>
      <w:numFmt w:val="lowerLetter"/>
      <w:lvlText w:val="%5."/>
      <w:lvlJc w:val="left"/>
      <w:pPr>
        <w:ind w:left="4080" w:hanging="360"/>
      </w:pPr>
    </w:lvl>
    <w:lvl w:ilvl="5" w:tplc="0427001B" w:tentative="1">
      <w:start w:val="1"/>
      <w:numFmt w:val="lowerRoman"/>
      <w:lvlText w:val="%6."/>
      <w:lvlJc w:val="right"/>
      <w:pPr>
        <w:ind w:left="4800" w:hanging="180"/>
      </w:pPr>
    </w:lvl>
    <w:lvl w:ilvl="6" w:tplc="0427000F" w:tentative="1">
      <w:start w:val="1"/>
      <w:numFmt w:val="decimal"/>
      <w:lvlText w:val="%7."/>
      <w:lvlJc w:val="left"/>
      <w:pPr>
        <w:ind w:left="5520" w:hanging="360"/>
      </w:pPr>
    </w:lvl>
    <w:lvl w:ilvl="7" w:tplc="04270019" w:tentative="1">
      <w:start w:val="1"/>
      <w:numFmt w:val="lowerLetter"/>
      <w:lvlText w:val="%8."/>
      <w:lvlJc w:val="left"/>
      <w:pPr>
        <w:ind w:left="6240" w:hanging="360"/>
      </w:pPr>
    </w:lvl>
    <w:lvl w:ilvl="8" w:tplc="0427001B" w:tentative="1">
      <w:start w:val="1"/>
      <w:numFmt w:val="lowerRoman"/>
      <w:lvlText w:val="%9."/>
      <w:lvlJc w:val="right"/>
      <w:pPr>
        <w:ind w:left="6960" w:hanging="180"/>
      </w:pPr>
    </w:lvl>
  </w:abstractNum>
  <w:abstractNum w:abstractNumId="10" w15:restartNumberingAfterBreak="0">
    <w:nsid w:val="15260FDD"/>
    <w:multiLevelType w:val="multilevel"/>
    <w:tmpl w:val="4920D110"/>
    <w:lvl w:ilvl="0">
      <w:start w:val="1"/>
      <w:numFmt w:val="decimal"/>
      <w:lvlText w:val="4.%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155176EA"/>
    <w:multiLevelType w:val="hybridMultilevel"/>
    <w:tmpl w:val="6B422D4C"/>
    <w:lvl w:ilvl="0" w:tplc="567C2F92">
      <w:start w:val="1"/>
      <w:numFmt w:val="decimal"/>
      <w:lvlText w:val="2.%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2" w15:restartNumberingAfterBreak="0">
    <w:nsid w:val="1A3236C1"/>
    <w:multiLevelType w:val="hybridMultilevel"/>
    <w:tmpl w:val="F386DAF2"/>
    <w:lvl w:ilvl="0" w:tplc="F4B42154">
      <w:start w:val="1"/>
      <w:numFmt w:val="upperRoman"/>
      <w:lvlText w:val="%1."/>
      <w:lvlJc w:val="left"/>
      <w:pPr>
        <w:ind w:left="2160" w:hanging="720"/>
      </w:pPr>
      <w:rPr>
        <w:rFonts w:hint="default"/>
      </w:rPr>
    </w:lvl>
    <w:lvl w:ilvl="1" w:tplc="04270019" w:tentative="1">
      <w:start w:val="1"/>
      <w:numFmt w:val="lowerLetter"/>
      <w:lvlText w:val="%2."/>
      <w:lvlJc w:val="left"/>
      <w:pPr>
        <w:ind w:left="2520" w:hanging="360"/>
      </w:pPr>
    </w:lvl>
    <w:lvl w:ilvl="2" w:tplc="0427001B" w:tentative="1">
      <w:start w:val="1"/>
      <w:numFmt w:val="lowerRoman"/>
      <w:lvlText w:val="%3."/>
      <w:lvlJc w:val="right"/>
      <w:pPr>
        <w:ind w:left="3240" w:hanging="180"/>
      </w:pPr>
    </w:lvl>
    <w:lvl w:ilvl="3" w:tplc="0427000F" w:tentative="1">
      <w:start w:val="1"/>
      <w:numFmt w:val="decimal"/>
      <w:lvlText w:val="%4."/>
      <w:lvlJc w:val="left"/>
      <w:pPr>
        <w:ind w:left="3960" w:hanging="360"/>
      </w:pPr>
    </w:lvl>
    <w:lvl w:ilvl="4" w:tplc="04270019" w:tentative="1">
      <w:start w:val="1"/>
      <w:numFmt w:val="lowerLetter"/>
      <w:lvlText w:val="%5."/>
      <w:lvlJc w:val="left"/>
      <w:pPr>
        <w:ind w:left="4680" w:hanging="360"/>
      </w:pPr>
    </w:lvl>
    <w:lvl w:ilvl="5" w:tplc="0427001B" w:tentative="1">
      <w:start w:val="1"/>
      <w:numFmt w:val="lowerRoman"/>
      <w:lvlText w:val="%6."/>
      <w:lvlJc w:val="right"/>
      <w:pPr>
        <w:ind w:left="5400" w:hanging="180"/>
      </w:pPr>
    </w:lvl>
    <w:lvl w:ilvl="6" w:tplc="0427000F" w:tentative="1">
      <w:start w:val="1"/>
      <w:numFmt w:val="decimal"/>
      <w:lvlText w:val="%7."/>
      <w:lvlJc w:val="left"/>
      <w:pPr>
        <w:ind w:left="6120" w:hanging="360"/>
      </w:pPr>
    </w:lvl>
    <w:lvl w:ilvl="7" w:tplc="04270019" w:tentative="1">
      <w:start w:val="1"/>
      <w:numFmt w:val="lowerLetter"/>
      <w:lvlText w:val="%8."/>
      <w:lvlJc w:val="left"/>
      <w:pPr>
        <w:ind w:left="6840" w:hanging="360"/>
      </w:pPr>
    </w:lvl>
    <w:lvl w:ilvl="8" w:tplc="0427001B" w:tentative="1">
      <w:start w:val="1"/>
      <w:numFmt w:val="lowerRoman"/>
      <w:lvlText w:val="%9."/>
      <w:lvlJc w:val="right"/>
      <w:pPr>
        <w:ind w:left="7560" w:hanging="180"/>
      </w:pPr>
    </w:lvl>
  </w:abstractNum>
  <w:abstractNum w:abstractNumId="13" w15:restartNumberingAfterBreak="0">
    <w:nsid w:val="1D8C36A8"/>
    <w:multiLevelType w:val="hybridMultilevel"/>
    <w:tmpl w:val="8F0C2F18"/>
    <w:lvl w:ilvl="0" w:tplc="19CC0D32">
      <w:start w:val="1"/>
      <w:numFmt w:val="decimal"/>
      <w:lvlText w:val="%1."/>
      <w:lvlJc w:val="left"/>
      <w:pPr>
        <w:ind w:left="4472" w:hanging="360"/>
      </w:pPr>
      <w:rPr>
        <w:rFonts w:hint="default"/>
      </w:rPr>
    </w:lvl>
    <w:lvl w:ilvl="1" w:tplc="04270019">
      <w:start w:val="1"/>
      <w:numFmt w:val="lowerLetter"/>
      <w:lvlText w:val="%2."/>
      <w:lvlJc w:val="left"/>
      <w:pPr>
        <w:ind w:left="1800" w:hanging="360"/>
      </w:pPr>
    </w:lvl>
    <w:lvl w:ilvl="2" w:tplc="01CE91A2">
      <w:start w:val="1"/>
      <w:numFmt w:val="lowerRoman"/>
      <w:lvlText w:val="%3."/>
      <w:lvlJc w:val="right"/>
      <w:pPr>
        <w:ind w:left="2520" w:hanging="180"/>
      </w:pPr>
      <w:rPr>
        <w:rFonts w:ascii="Times New Roman" w:eastAsia="Times New Roman" w:hAnsi="Times New Roman" w:cs="Times New Roman"/>
      </w:r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4" w15:restartNumberingAfterBreak="0">
    <w:nsid w:val="23C02AB1"/>
    <w:multiLevelType w:val="hybridMultilevel"/>
    <w:tmpl w:val="0C4E4CB2"/>
    <w:lvl w:ilvl="0" w:tplc="745A00B2">
      <w:start w:val="1"/>
      <w:numFmt w:val="decimal"/>
      <w:lvlText w:val="3.%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5" w15:restartNumberingAfterBreak="0">
    <w:nsid w:val="23C868F8"/>
    <w:multiLevelType w:val="hybridMultilevel"/>
    <w:tmpl w:val="59C66A7E"/>
    <w:lvl w:ilvl="0" w:tplc="F196878A">
      <w:start w:val="1"/>
      <w:numFmt w:val="decimal"/>
      <w:lvlText w:val="%1"/>
      <w:lvlJc w:val="left"/>
      <w:pPr>
        <w:ind w:left="144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6" w15:restartNumberingAfterBreak="0">
    <w:nsid w:val="27547C01"/>
    <w:multiLevelType w:val="hybridMultilevel"/>
    <w:tmpl w:val="FBA227A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2B1577A7"/>
    <w:multiLevelType w:val="hybridMultilevel"/>
    <w:tmpl w:val="6E401CDC"/>
    <w:lvl w:ilvl="0" w:tplc="350A2A06">
      <w:start w:val="1"/>
      <w:numFmt w:val="decimal"/>
      <w:lvlText w:val="5.%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8" w15:restartNumberingAfterBreak="0">
    <w:nsid w:val="2BAC1388"/>
    <w:multiLevelType w:val="multilevel"/>
    <w:tmpl w:val="FAA6499E"/>
    <w:lvl w:ilvl="0">
      <w:start w:val="7"/>
      <w:numFmt w:val="decimal"/>
      <w:lvlText w:val="%1"/>
      <w:lvlJc w:val="left"/>
      <w:pPr>
        <w:tabs>
          <w:tab w:val="num" w:pos="660"/>
        </w:tabs>
        <w:ind w:left="660" w:hanging="660"/>
      </w:pPr>
      <w:rPr>
        <w:rFonts w:hint="default"/>
      </w:rPr>
    </w:lvl>
    <w:lvl w:ilvl="1">
      <w:start w:val="1"/>
      <w:numFmt w:val="decimal"/>
      <w:lvlText w:val="%1.%2."/>
      <w:lvlJc w:val="left"/>
      <w:pPr>
        <w:tabs>
          <w:tab w:val="num" w:pos="900"/>
        </w:tabs>
        <w:ind w:left="900" w:hanging="660"/>
      </w:pPr>
      <w:rPr>
        <w:rFonts w:hint="default"/>
      </w:rPr>
    </w:lvl>
    <w:lvl w:ilvl="2">
      <w:start w:val="1"/>
      <w:numFmt w:val="decimal"/>
      <w:lvlText w:val="15.%2.%3."/>
      <w:lvlJc w:val="left"/>
      <w:pPr>
        <w:tabs>
          <w:tab w:val="num" w:pos="1200"/>
        </w:tabs>
        <w:ind w:left="1200" w:hanging="720"/>
      </w:pPr>
      <w:rPr>
        <w:rFonts w:hint="default"/>
      </w:rPr>
    </w:lvl>
    <w:lvl w:ilvl="3">
      <w:start w:val="1"/>
      <w:numFmt w:val="decimal"/>
      <w:lvlText w:val="%1.%2.%3.%4."/>
      <w:lvlJc w:val="left"/>
      <w:pPr>
        <w:tabs>
          <w:tab w:val="num" w:pos="1440"/>
        </w:tabs>
        <w:ind w:left="1440" w:hanging="720"/>
      </w:pPr>
      <w:rPr>
        <w:rFonts w:hint="default"/>
      </w:rPr>
    </w:lvl>
    <w:lvl w:ilvl="4">
      <w:start w:val="1"/>
      <w:numFmt w:val="decimal"/>
      <w:lvlText w:val="%1.%2.%3.%4.%5."/>
      <w:lvlJc w:val="left"/>
      <w:pPr>
        <w:tabs>
          <w:tab w:val="num" w:pos="2040"/>
        </w:tabs>
        <w:ind w:left="2040" w:hanging="1080"/>
      </w:pPr>
      <w:rPr>
        <w:rFonts w:hint="default"/>
      </w:rPr>
    </w:lvl>
    <w:lvl w:ilvl="5">
      <w:start w:val="1"/>
      <w:numFmt w:val="decimal"/>
      <w:lvlText w:val="%1.%2.%3.%4.%5.%6."/>
      <w:lvlJc w:val="left"/>
      <w:pPr>
        <w:tabs>
          <w:tab w:val="num" w:pos="2280"/>
        </w:tabs>
        <w:ind w:left="2280" w:hanging="1080"/>
      </w:pPr>
      <w:rPr>
        <w:rFonts w:hint="default"/>
      </w:rPr>
    </w:lvl>
    <w:lvl w:ilvl="6">
      <w:start w:val="1"/>
      <w:numFmt w:val="decimal"/>
      <w:lvlText w:val="%1.%2.%3.%4.%5.%6.%7."/>
      <w:lvlJc w:val="left"/>
      <w:pPr>
        <w:tabs>
          <w:tab w:val="num" w:pos="2880"/>
        </w:tabs>
        <w:ind w:left="2880" w:hanging="1440"/>
      </w:pPr>
      <w:rPr>
        <w:rFonts w:hint="default"/>
      </w:rPr>
    </w:lvl>
    <w:lvl w:ilvl="7">
      <w:start w:val="1"/>
      <w:numFmt w:val="decimal"/>
      <w:lvlText w:val="%1.%2.%3.%4.%5.%6.%7.%8."/>
      <w:lvlJc w:val="left"/>
      <w:pPr>
        <w:tabs>
          <w:tab w:val="num" w:pos="3120"/>
        </w:tabs>
        <w:ind w:left="3120" w:hanging="1440"/>
      </w:pPr>
      <w:rPr>
        <w:rFonts w:hint="default"/>
      </w:rPr>
    </w:lvl>
    <w:lvl w:ilvl="8">
      <w:start w:val="1"/>
      <w:numFmt w:val="decimal"/>
      <w:lvlText w:val="%1.%2.%3.%4.%5.%6.%7.%8.%9."/>
      <w:lvlJc w:val="left"/>
      <w:pPr>
        <w:tabs>
          <w:tab w:val="num" w:pos="3720"/>
        </w:tabs>
        <w:ind w:left="3720" w:hanging="1800"/>
      </w:pPr>
      <w:rPr>
        <w:rFonts w:hint="default"/>
      </w:rPr>
    </w:lvl>
  </w:abstractNum>
  <w:abstractNum w:abstractNumId="19" w15:restartNumberingAfterBreak="0">
    <w:nsid w:val="2EC025AA"/>
    <w:multiLevelType w:val="multilevel"/>
    <w:tmpl w:val="DEC26F7A"/>
    <w:lvl w:ilvl="0">
      <w:start w:val="1"/>
      <w:numFmt w:val="decimal"/>
      <w:lvlText w:val="1.%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2F754963"/>
    <w:multiLevelType w:val="hybridMultilevel"/>
    <w:tmpl w:val="DE866A84"/>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2F837C21"/>
    <w:multiLevelType w:val="hybridMultilevel"/>
    <w:tmpl w:val="8C4A6070"/>
    <w:lvl w:ilvl="0" w:tplc="6DBC3B1A">
      <w:start w:val="1"/>
      <w:numFmt w:val="decimal"/>
      <w:lvlText w:val="4.%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2" w15:restartNumberingAfterBreak="0">
    <w:nsid w:val="36CE49F4"/>
    <w:multiLevelType w:val="hybridMultilevel"/>
    <w:tmpl w:val="211A316A"/>
    <w:lvl w:ilvl="0" w:tplc="A09891A6">
      <w:start w:val="1"/>
      <w:numFmt w:val="decimal"/>
      <w:lvlText w:val="2.%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3" w15:restartNumberingAfterBreak="0">
    <w:nsid w:val="37073708"/>
    <w:multiLevelType w:val="hybridMultilevel"/>
    <w:tmpl w:val="D13A2346"/>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24" w15:restartNumberingAfterBreak="0">
    <w:nsid w:val="3B992C78"/>
    <w:multiLevelType w:val="hybridMultilevel"/>
    <w:tmpl w:val="B26A3E28"/>
    <w:lvl w:ilvl="0" w:tplc="9C7A877A">
      <w:start w:val="1"/>
      <w:numFmt w:val="decimal"/>
      <w:lvlText w:val="%1"/>
      <w:lvlJc w:val="left"/>
      <w:pPr>
        <w:ind w:left="465" w:hanging="360"/>
      </w:pPr>
      <w:rPr>
        <w:rFonts w:hint="default"/>
      </w:rPr>
    </w:lvl>
    <w:lvl w:ilvl="1" w:tplc="04270019" w:tentative="1">
      <w:start w:val="1"/>
      <w:numFmt w:val="lowerLetter"/>
      <w:lvlText w:val="%2."/>
      <w:lvlJc w:val="left"/>
      <w:pPr>
        <w:ind w:left="1185" w:hanging="360"/>
      </w:pPr>
    </w:lvl>
    <w:lvl w:ilvl="2" w:tplc="0427001B" w:tentative="1">
      <w:start w:val="1"/>
      <w:numFmt w:val="lowerRoman"/>
      <w:lvlText w:val="%3."/>
      <w:lvlJc w:val="right"/>
      <w:pPr>
        <w:ind w:left="1905" w:hanging="180"/>
      </w:pPr>
    </w:lvl>
    <w:lvl w:ilvl="3" w:tplc="0427000F" w:tentative="1">
      <w:start w:val="1"/>
      <w:numFmt w:val="decimal"/>
      <w:lvlText w:val="%4."/>
      <w:lvlJc w:val="left"/>
      <w:pPr>
        <w:ind w:left="2625" w:hanging="360"/>
      </w:pPr>
    </w:lvl>
    <w:lvl w:ilvl="4" w:tplc="04270019" w:tentative="1">
      <w:start w:val="1"/>
      <w:numFmt w:val="lowerLetter"/>
      <w:lvlText w:val="%5."/>
      <w:lvlJc w:val="left"/>
      <w:pPr>
        <w:ind w:left="3345" w:hanging="360"/>
      </w:pPr>
    </w:lvl>
    <w:lvl w:ilvl="5" w:tplc="0427001B" w:tentative="1">
      <w:start w:val="1"/>
      <w:numFmt w:val="lowerRoman"/>
      <w:lvlText w:val="%6."/>
      <w:lvlJc w:val="right"/>
      <w:pPr>
        <w:ind w:left="4065" w:hanging="180"/>
      </w:pPr>
    </w:lvl>
    <w:lvl w:ilvl="6" w:tplc="0427000F" w:tentative="1">
      <w:start w:val="1"/>
      <w:numFmt w:val="decimal"/>
      <w:lvlText w:val="%7."/>
      <w:lvlJc w:val="left"/>
      <w:pPr>
        <w:ind w:left="4785" w:hanging="360"/>
      </w:pPr>
    </w:lvl>
    <w:lvl w:ilvl="7" w:tplc="04270019" w:tentative="1">
      <w:start w:val="1"/>
      <w:numFmt w:val="lowerLetter"/>
      <w:lvlText w:val="%8."/>
      <w:lvlJc w:val="left"/>
      <w:pPr>
        <w:ind w:left="5505" w:hanging="360"/>
      </w:pPr>
    </w:lvl>
    <w:lvl w:ilvl="8" w:tplc="0427001B" w:tentative="1">
      <w:start w:val="1"/>
      <w:numFmt w:val="lowerRoman"/>
      <w:lvlText w:val="%9."/>
      <w:lvlJc w:val="right"/>
      <w:pPr>
        <w:ind w:left="6225" w:hanging="180"/>
      </w:pPr>
    </w:lvl>
  </w:abstractNum>
  <w:abstractNum w:abstractNumId="25" w15:restartNumberingAfterBreak="0">
    <w:nsid w:val="3E90483B"/>
    <w:multiLevelType w:val="hybridMultilevel"/>
    <w:tmpl w:val="1F7C436A"/>
    <w:lvl w:ilvl="0" w:tplc="BA4C658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6" w15:restartNumberingAfterBreak="0">
    <w:nsid w:val="3FF71C1F"/>
    <w:multiLevelType w:val="hybridMultilevel"/>
    <w:tmpl w:val="0656772C"/>
    <w:lvl w:ilvl="0" w:tplc="F57EA56E">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7" w15:restartNumberingAfterBreak="0">
    <w:nsid w:val="46F27FC5"/>
    <w:multiLevelType w:val="multilevel"/>
    <w:tmpl w:val="ED824046"/>
    <w:lvl w:ilvl="0">
      <w:start w:val="1"/>
      <w:numFmt w:val="decimal"/>
      <w:pStyle w:val="finmingeneral"/>
      <w:lvlText w:val="%1."/>
      <w:lvlJc w:val="left"/>
      <w:pPr>
        <w:tabs>
          <w:tab w:val="num" w:pos="717"/>
        </w:tabs>
        <w:ind w:left="717" w:hanging="360"/>
      </w:pPr>
      <w:rPr>
        <w:rFonts w:hint="default"/>
        <w:sz w:val="24"/>
        <w:szCs w:val="24"/>
      </w:rPr>
    </w:lvl>
    <w:lvl w:ilvl="1">
      <w:start w:val="1"/>
      <w:numFmt w:val="decimal"/>
      <w:pStyle w:val="finminsub1"/>
      <w:lvlText w:val="%1.%2."/>
      <w:lvlJc w:val="left"/>
      <w:pPr>
        <w:tabs>
          <w:tab w:val="num" w:pos="1149"/>
        </w:tabs>
        <w:ind w:left="1149" w:hanging="432"/>
      </w:pPr>
      <w:rPr>
        <w:rFonts w:hint="default"/>
      </w:rPr>
    </w:lvl>
    <w:lvl w:ilvl="2">
      <w:start w:val="1"/>
      <w:numFmt w:val="decimal"/>
      <w:lvlText w:val="%1.%2.%3."/>
      <w:lvlJc w:val="left"/>
      <w:pPr>
        <w:tabs>
          <w:tab w:val="num" w:pos="1797"/>
        </w:tabs>
        <w:ind w:left="1581" w:hanging="504"/>
      </w:pPr>
      <w:rPr>
        <w:rFonts w:hint="default"/>
      </w:rPr>
    </w:lvl>
    <w:lvl w:ilvl="3">
      <w:start w:val="1"/>
      <w:numFmt w:val="decimal"/>
      <w:lvlText w:val="%1.%2.%3.%4."/>
      <w:lvlJc w:val="left"/>
      <w:pPr>
        <w:tabs>
          <w:tab w:val="num" w:pos="2157"/>
        </w:tabs>
        <w:ind w:left="2085" w:hanging="648"/>
      </w:pPr>
      <w:rPr>
        <w:rFonts w:hint="default"/>
      </w:rPr>
    </w:lvl>
    <w:lvl w:ilvl="4">
      <w:start w:val="1"/>
      <w:numFmt w:val="decimal"/>
      <w:lvlText w:val="%1.%2.%3.%4.%5."/>
      <w:lvlJc w:val="left"/>
      <w:pPr>
        <w:tabs>
          <w:tab w:val="num" w:pos="2877"/>
        </w:tabs>
        <w:ind w:left="2589" w:hanging="792"/>
      </w:pPr>
      <w:rPr>
        <w:rFonts w:hint="default"/>
      </w:rPr>
    </w:lvl>
    <w:lvl w:ilvl="5">
      <w:start w:val="1"/>
      <w:numFmt w:val="decimal"/>
      <w:lvlText w:val="%1.%2.%3.%4.%5.%6."/>
      <w:lvlJc w:val="left"/>
      <w:pPr>
        <w:tabs>
          <w:tab w:val="num" w:pos="3237"/>
        </w:tabs>
        <w:ind w:left="3093" w:hanging="936"/>
      </w:pPr>
      <w:rPr>
        <w:rFonts w:hint="default"/>
      </w:rPr>
    </w:lvl>
    <w:lvl w:ilvl="6">
      <w:start w:val="1"/>
      <w:numFmt w:val="decimal"/>
      <w:lvlText w:val="%1.%2.%3.%4.%5.%6.%7."/>
      <w:lvlJc w:val="left"/>
      <w:pPr>
        <w:tabs>
          <w:tab w:val="num" w:pos="3957"/>
        </w:tabs>
        <w:ind w:left="3597" w:hanging="1080"/>
      </w:pPr>
      <w:rPr>
        <w:rFonts w:hint="default"/>
      </w:rPr>
    </w:lvl>
    <w:lvl w:ilvl="7">
      <w:start w:val="1"/>
      <w:numFmt w:val="decimal"/>
      <w:lvlText w:val="%1.%2.%3.%4.%5.%6.%7.%8."/>
      <w:lvlJc w:val="left"/>
      <w:pPr>
        <w:tabs>
          <w:tab w:val="num" w:pos="4317"/>
        </w:tabs>
        <w:ind w:left="4101" w:hanging="1224"/>
      </w:pPr>
      <w:rPr>
        <w:rFonts w:hint="default"/>
      </w:rPr>
    </w:lvl>
    <w:lvl w:ilvl="8">
      <w:start w:val="1"/>
      <w:numFmt w:val="decimal"/>
      <w:lvlText w:val="%1.%2.%3.%4.%5.%6.%7.%8.%9."/>
      <w:lvlJc w:val="left"/>
      <w:pPr>
        <w:tabs>
          <w:tab w:val="num" w:pos="5037"/>
        </w:tabs>
        <w:ind w:left="4677" w:hanging="1440"/>
      </w:pPr>
      <w:rPr>
        <w:rFonts w:hint="default"/>
      </w:rPr>
    </w:lvl>
  </w:abstractNum>
  <w:abstractNum w:abstractNumId="28" w15:restartNumberingAfterBreak="0">
    <w:nsid w:val="4A002590"/>
    <w:multiLevelType w:val="hybridMultilevel"/>
    <w:tmpl w:val="DEC26F7A"/>
    <w:lvl w:ilvl="0" w:tplc="D46825A6">
      <w:start w:val="1"/>
      <w:numFmt w:val="decimal"/>
      <w:lvlText w:val="1.%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9" w15:restartNumberingAfterBreak="0">
    <w:nsid w:val="4AA30DEB"/>
    <w:multiLevelType w:val="hybridMultilevel"/>
    <w:tmpl w:val="85EAEA9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505D403D"/>
    <w:multiLevelType w:val="hybridMultilevel"/>
    <w:tmpl w:val="A97A410C"/>
    <w:lvl w:ilvl="0" w:tplc="408E05B0">
      <w:start w:val="1"/>
      <w:numFmt w:val="decimal"/>
      <w:lvlText w:val="%1."/>
      <w:lvlJc w:val="left"/>
      <w:pPr>
        <w:ind w:left="1620" w:hanging="360"/>
      </w:pPr>
      <w:rPr>
        <w:rFonts w:hint="default"/>
        <w:color w:val="00B0F0"/>
        <w:sz w:val="22"/>
      </w:rPr>
    </w:lvl>
    <w:lvl w:ilvl="1" w:tplc="04270019" w:tentative="1">
      <w:start w:val="1"/>
      <w:numFmt w:val="lowerLetter"/>
      <w:lvlText w:val="%2."/>
      <w:lvlJc w:val="left"/>
      <w:pPr>
        <w:ind w:left="2340" w:hanging="360"/>
      </w:pPr>
    </w:lvl>
    <w:lvl w:ilvl="2" w:tplc="0427001B" w:tentative="1">
      <w:start w:val="1"/>
      <w:numFmt w:val="lowerRoman"/>
      <w:lvlText w:val="%3."/>
      <w:lvlJc w:val="right"/>
      <w:pPr>
        <w:ind w:left="3060" w:hanging="180"/>
      </w:pPr>
    </w:lvl>
    <w:lvl w:ilvl="3" w:tplc="0427000F" w:tentative="1">
      <w:start w:val="1"/>
      <w:numFmt w:val="decimal"/>
      <w:lvlText w:val="%4."/>
      <w:lvlJc w:val="left"/>
      <w:pPr>
        <w:ind w:left="3780" w:hanging="360"/>
      </w:pPr>
    </w:lvl>
    <w:lvl w:ilvl="4" w:tplc="04270019" w:tentative="1">
      <w:start w:val="1"/>
      <w:numFmt w:val="lowerLetter"/>
      <w:lvlText w:val="%5."/>
      <w:lvlJc w:val="left"/>
      <w:pPr>
        <w:ind w:left="4500" w:hanging="360"/>
      </w:pPr>
    </w:lvl>
    <w:lvl w:ilvl="5" w:tplc="0427001B" w:tentative="1">
      <w:start w:val="1"/>
      <w:numFmt w:val="lowerRoman"/>
      <w:lvlText w:val="%6."/>
      <w:lvlJc w:val="right"/>
      <w:pPr>
        <w:ind w:left="5220" w:hanging="180"/>
      </w:pPr>
    </w:lvl>
    <w:lvl w:ilvl="6" w:tplc="0427000F" w:tentative="1">
      <w:start w:val="1"/>
      <w:numFmt w:val="decimal"/>
      <w:lvlText w:val="%7."/>
      <w:lvlJc w:val="left"/>
      <w:pPr>
        <w:ind w:left="5940" w:hanging="360"/>
      </w:pPr>
    </w:lvl>
    <w:lvl w:ilvl="7" w:tplc="04270019" w:tentative="1">
      <w:start w:val="1"/>
      <w:numFmt w:val="lowerLetter"/>
      <w:lvlText w:val="%8."/>
      <w:lvlJc w:val="left"/>
      <w:pPr>
        <w:ind w:left="6660" w:hanging="360"/>
      </w:pPr>
    </w:lvl>
    <w:lvl w:ilvl="8" w:tplc="0427001B" w:tentative="1">
      <w:start w:val="1"/>
      <w:numFmt w:val="lowerRoman"/>
      <w:lvlText w:val="%9."/>
      <w:lvlJc w:val="right"/>
      <w:pPr>
        <w:ind w:left="7380" w:hanging="180"/>
      </w:pPr>
    </w:lvl>
  </w:abstractNum>
  <w:abstractNum w:abstractNumId="31" w15:restartNumberingAfterBreak="0">
    <w:nsid w:val="544C383B"/>
    <w:multiLevelType w:val="hybridMultilevel"/>
    <w:tmpl w:val="0C2A1BC6"/>
    <w:lvl w:ilvl="0" w:tplc="BB5890D8">
      <w:start w:val="1"/>
      <w:numFmt w:val="decimal"/>
      <w:lvlText w:val="%1"/>
      <w:lvlJc w:val="left"/>
      <w:pPr>
        <w:ind w:left="1440" w:hanging="360"/>
      </w:pPr>
      <w:rPr>
        <w:rFonts w:hint="default"/>
        <w:b/>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32" w15:restartNumberingAfterBreak="0">
    <w:nsid w:val="5937635B"/>
    <w:multiLevelType w:val="multilevel"/>
    <w:tmpl w:val="7292A60C"/>
    <w:lvl w:ilvl="0">
      <w:start w:val="7"/>
      <w:numFmt w:val="decimal"/>
      <w:lvlText w:val="%1"/>
      <w:lvlJc w:val="left"/>
      <w:pPr>
        <w:tabs>
          <w:tab w:val="num" w:pos="660"/>
        </w:tabs>
        <w:ind w:left="660" w:hanging="660"/>
      </w:pPr>
      <w:rPr>
        <w:rFonts w:hint="default"/>
      </w:rPr>
    </w:lvl>
    <w:lvl w:ilvl="1">
      <w:start w:val="1"/>
      <w:numFmt w:val="decimal"/>
      <w:lvlText w:val="%1.%2."/>
      <w:lvlJc w:val="left"/>
      <w:pPr>
        <w:tabs>
          <w:tab w:val="num" w:pos="900"/>
        </w:tabs>
        <w:ind w:left="900" w:hanging="660"/>
      </w:pPr>
      <w:rPr>
        <w:rFonts w:hint="default"/>
      </w:rPr>
    </w:lvl>
    <w:lvl w:ilvl="2">
      <w:start w:val="1"/>
      <w:numFmt w:val="decimal"/>
      <w:lvlText w:val="15.%2.%3."/>
      <w:lvlJc w:val="left"/>
      <w:pPr>
        <w:tabs>
          <w:tab w:val="num" w:pos="1200"/>
        </w:tabs>
        <w:ind w:left="1200" w:hanging="720"/>
      </w:pPr>
      <w:rPr>
        <w:rFonts w:hint="default"/>
      </w:rPr>
    </w:lvl>
    <w:lvl w:ilvl="3">
      <w:start w:val="1"/>
      <w:numFmt w:val="decimal"/>
      <w:lvlText w:val="%1.%2.%3.%4."/>
      <w:lvlJc w:val="left"/>
      <w:pPr>
        <w:tabs>
          <w:tab w:val="num" w:pos="1440"/>
        </w:tabs>
        <w:ind w:left="1440" w:hanging="720"/>
      </w:pPr>
      <w:rPr>
        <w:rFonts w:hint="default"/>
      </w:rPr>
    </w:lvl>
    <w:lvl w:ilvl="4">
      <w:start w:val="1"/>
      <w:numFmt w:val="decimal"/>
      <w:lvlText w:val="%1.%2.%3.%4.%5."/>
      <w:lvlJc w:val="left"/>
      <w:pPr>
        <w:tabs>
          <w:tab w:val="num" w:pos="2040"/>
        </w:tabs>
        <w:ind w:left="2040" w:hanging="1080"/>
      </w:pPr>
      <w:rPr>
        <w:rFonts w:hint="default"/>
      </w:rPr>
    </w:lvl>
    <w:lvl w:ilvl="5">
      <w:start w:val="1"/>
      <w:numFmt w:val="decimal"/>
      <w:lvlText w:val="%1.%2.%3.%4.%5.%6."/>
      <w:lvlJc w:val="left"/>
      <w:pPr>
        <w:tabs>
          <w:tab w:val="num" w:pos="2280"/>
        </w:tabs>
        <w:ind w:left="2280" w:hanging="1080"/>
      </w:pPr>
      <w:rPr>
        <w:rFonts w:hint="default"/>
      </w:rPr>
    </w:lvl>
    <w:lvl w:ilvl="6">
      <w:start w:val="1"/>
      <w:numFmt w:val="decimal"/>
      <w:lvlText w:val="%1.%2.%3.%4.%5.%6.%7."/>
      <w:lvlJc w:val="left"/>
      <w:pPr>
        <w:tabs>
          <w:tab w:val="num" w:pos="2880"/>
        </w:tabs>
        <w:ind w:left="2880" w:hanging="1440"/>
      </w:pPr>
      <w:rPr>
        <w:rFonts w:hint="default"/>
      </w:rPr>
    </w:lvl>
    <w:lvl w:ilvl="7">
      <w:start w:val="1"/>
      <w:numFmt w:val="decimal"/>
      <w:lvlText w:val="%1.%2.%3.%4.%5.%6.%7.%8."/>
      <w:lvlJc w:val="left"/>
      <w:pPr>
        <w:tabs>
          <w:tab w:val="num" w:pos="3120"/>
        </w:tabs>
        <w:ind w:left="3120" w:hanging="1440"/>
      </w:pPr>
      <w:rPr>
        <w:rFonts w:hint="default"/>
      </w:rPr>
    </w:lvl>
    <w:lvl w:ilvl="8">
      <w:start w:val="1"/>
      <w:numFmt w:val="decimal"/>
      <w:lvlText w:val="%1.%2.%3.%4.%5.%6.%7.%8.%9."/>
      <w:lvlJc w:val="left"/>
      <w:pPr>
        <w:tabs>
          <w:tab w:val="num" w:pos="3720"/>
        </w:tabs>
        <w:ind w:left="3720" w:hanging="1800"/>
      </w:pPr>
      <w:rPr>
        <w:rFonts w:hint="default"/>
      </w:rPr>
    </w:lvl>
  </w:abstractNum>
  <w:abstractNum w:abstractNumId="33" w15:restartNumberingAfterBreak="0">
    <w:nsid w:val="593B78C6"/>
    <w:multiLevelType w:val="hybridMultilevel"/>
    <w:tmpl w:val="0BA04C84"/>
    <w:lvl w:ilvl="0" w:tplc="CF987480">
      <w:start w:val="1"/>
      <w:numFmt w:val="decimal"/>
      <w:lvlText w:val="1.%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34" w15:restartNumberingAfterBreak="0">
    <w:nsid w:val="5C601461"/>
    <w:multiLevelType w:val="multilevel"/>
    <w:tmpl w:val="6E401CDC"/>
    <w:lvl w:ilvl="0">
      <w:start w:val="1"/>
      <w:numFmt w:val="decimal"/>
      <w:lvlText w:val="5.%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5" w15:restartNumberingAfterBreak="0">
    <w:nsid w:val="5EF82A8B"/>
    <w:multiLevelType w:val="hybridMultilevel"/>
    <w:tmpl w:val="6E040560"/>
    <w:lvl w:ilvl="0" w:tplc="9AAAF726">
      <w:start w:val="1"/>
      <w:numFmt w:val="decimal"/>
      <w:lvlText w:val="%1."/>
      <w:lvlJc w:val="left"/>
      <w:pPr>
        <w:ind w:left="2016" w:hanging="360"/>
      </w:pPr>
      <w:rPr>
        <w:rFonts w:ascii="Times New Roman" w:eastAsia="Times New Roman" w:hAnsi="Times New Roman" w:cs="Times New Roman"/>
      </w:rPr>
    </w:lvl>
    <w:lvl w:ilvl="1" w:tplc="04270019" w:tentative="1">
      <w:start w:val="1"/>
      <w:numFmt w:val="lowerLetter"/>
      <w:lvlText w:val="%2."/>
      <w:lvlJc w:val="left"/>
      <w:pPr>
        <w:ind w:left="2736" w:hanging="360"/>
      </w:pPr>
    </w:lvl>
    <w:lvl w:ilvl="2" w:tplc="0427001B" w:tentative="1">
      <w:start w:val="1"/>
      <w:numFmt w:val="lowerRoman"/>
      <w:lvlText w:val="%3."/>
      <w:lvlJc w:val="right"/>
      <w:pPr>
        <w:ind w:left="3456" w:hanging="180"/>
      </w:pPr>
    </w:lvl>
    <w:lvl w:ilvl="3" w:tplc="0427000F" w:tentative="1">
      <w:start w:val="1"/>
      <w:numFmt w:val="decimal"/>
      <w:lvlText w:val="%4."/>
      <w:lvlJc w:val="left"/>
      <w:pPr>
        <w:ind w:left="4176" w:hanging="360"/>
      </w:pPr>
    </w:lvl>
    <w:lvl w:ilvl="4" w:tplc="04270019" w:tentative="1">
      <w:start w:val="1"/>
      <w:numFmt w:val="lowerLetter"/>
      <w:lvlText w:val="%5."/>
      <w:lvlJc w:val="left"/>
      <w:pPr>
        <w:ind w:left="4896" w:hanging="360"/>
      </w:pPr>
    </w:lvl>
    <w:lvl w:ilvl="5" w:tplc="0427001B" w:tentative="1">
      <w:start w:val="1"/>
      <w:numFmt w:val="lowerRoman"/>
      <w:lvlText w:val="%6."/>
      <w:lvlJc w:val="right"/>
      <w:pPr>
        <w:ind w:left="5616" w:hanging="180"/>
      </w:pPr>
    </w:lvl>
    <w:lvl w:ilvl="6" w:tplc="0427000F" w:tentative="1">
      <w:start w:val="1"/>
      <w:numFmt w:val="decimal"/>
      <w:lvlText w:val="%7."/>
      <w:lvlJc w:val="left"/>
      <w:pPr>
        <w:ind w:left="6336" w:hanging="360"/>
      </w:pPr>
    </w:lvl>
    <w:lvl w:ilvl="7" w:tplc="04270019" w:tentative="1">
      <w:start w:val="1"/>
      <w:numFmt w:val="lowerLetter"/>
      <w:lvlText w:val="%8."/>
      <w:lvlJc w:val="left"/>
      <w:pPr>
        <w:ind w:left="7056" w:hanging="360"/>
      </w:pPr>
    </w:lvl>
    <w:lvl w:ilvl="8" w:tplc="0427001B" w:tentative="1">
      <w:start w:val="1"/>
      <w:numFmt w:val="lowerRoman"/>
      <w:lvlText w:val="%9."/>
      <w:lvlJc w:val="right"/>
      <w:pPr>
        <w:ind w:left="7776" w:hanging="180"/>
      </w:pPr>
    </w:lvl>
  </w:abstractNum>
  <w:abstractNum w:abstractNumId="36" w15:restartNumberingAfterBreak="0">
    <w:nsid w:val="60B4324F"/>
    <w:multiLevelType w:val="multilevel"/>
    <w:tmpl w:val="B262E168"/>
    <w:lvl w:ilvl="0">
      <w:start w:val="1"/>
      <w:numFmt w:val="decimal"/>
      <w:lvlText w:val="3.%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7" w15:restartNumberingAfterBreak="0">
    <w:nsid w:val="63E817F2"/>
    <w:multiLevelType w:val="hybridMultilevel"/>
    <w:tmpl w:val="53AA07E4"/>
    <w:lvl w:ilvl="0" w:tplc="5D1C6F9C">
      <w:start w:val="1"/>
      <w:numFmt w:val="decimal"/>
      <w:lvlText w:val="%1"/>
      <w:lvlJc w:val="left"/>
      <w:pPr>
        <w:ind w:left="1980" w:hanging="360"/>
      </w:pPr>
      <w:rPr>
        <w:rFonts w:hint="default"/>
      </w:rPr>
    </w:lvl>
    <w:lvl w:ilvl="1" w:tplc="04270019" w:tentative="1">
      <w:start w:val="1"/>
      <w:numFmt w:val="lowerLetter"/>
      <w:lvlText w:val="%2."/>
      <w:lvlJc w:val="left"/>
      <w:pPr>
        <w:ind w:left="2700" w:hanging="360"/>
      </w:pPr>
    </w:lvl>
    <w:lvl w:ilvl="2" w:tplc="0427001B" w:tentative="1">
      <w:start w:val="1"/>
      <w:numFmt w:val="lowerRoman"/>
      <w:lvlText w:val="%3."/>
      <w:lvlJc w:val="right"/>
      <w:pPr>
        <w:ind w:left="3420" w:hanging="180"/>
      </w:pPr>
    </w:lvl>
    <w:lvl w:ilvl="3" w:tplc="0427000F" w:tentative="1">
      <w:start w:val="1"/>
      <w:numFmt w:val="decimal"/>
      <w:lvlText w:val="%4."/>
      <w:lvlJc w:val="left"/>
      <w:pPr>
        <w:ind w:left="4140" w:hanging="360"/>
      </w:pPr>
    </w:lvl>
    <w:lvl w:ilvl="4" w:tplc="04270019" w:tentative="1">
      <w:start w:val="1"/>
      <w:numFmt w:val="lowerLetter"/>
      <w:lvlText w:val="%5."/>
      <w:lvlJc w:val="left"/>
      <w:pPr>
        <w:ind w:left="4860" w:hanging="360"/>
      </w:pPr>
    </w:lvl>
    <w:lvl w:ilvl="5" w:tplc="0427001B" w:tentative="1">
      <w:start w:val="1"/>
      <w:numFmt w:val="lowerRoman"/>
      <w:lvlText w:val="%6."/>
      <w:lvlJc w:val="right"/>
      <w:pPr>
        <w:ind w:left="5580" w:hanging="180"/>
      </w:pPr>
    </w:lvl>
    <w:lvl w:ilvl="6" w:tplc="0427000F" w:tentative="1">
      <w:start w:val="1"/>
      <w:numFmt w:val="decimal"/>
      <w:lvlText w:val="%7."/>
      <w:lvlJc w:val="left"/>
      <w:pPr>
        <w:ind w:left="6300" w:hanging="360"/>
      </w:pPr>
    </w:lvl>
    <w:lvl w:ilvl="7" w:tplc="04270019" w:tentative="1">
      <w:start w:val="1"/>
      <w:numFmt w:val="lowerLetter"/>
      <w:lvlText w:val="%8."/>
      <w:lvlJc w:val="left"/>
      <w:pPr>
        <w:ind w:left="7020" w:hanging="360"/>
      </w:pPr>
    </w:lvl>
    <w:lvl w:ilvl="8" w:tplc="0427001B" w:tentative="1">
      <w:start w:val="1"/>
      <w:numFmt w:val="lowerRoman"/>
      <w:lvlText w:val="%9."/>
      <w:lvlJc w:val="right"/>
      <w:pPr>
        <w:ind w:left="7740" w:hanging="180"/>
      </w:pPr>
    </w:lvl>
  </w:abstractNum>
  <w:abstractNum w:abstractNumId="38" w15:restartNumberingAfterBreak="0">
    <w:nsid w:val="6860681A"/>
    <w:multiLevelType w:val="hybridMultilevel"/>
    <w:tmpl w:val="A2AC34D2"/>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15:restartNumberingAfterBreak="0">
    <w:nsid w:val="68C938BA"/>
    <w:multiLevelType w:val="hybridMultilevel"/>
    <w:tmpl w:val="3D820A88"/>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0" w15:restartNumberingAfterBreak="0">
    <w:nsid w:val="6A587861"/>
    <w:multiLevelType w:val="hybridMultilevel"/>
    <w:tmpl w:val="5A584F10"/>
    <w:lvl w:ilvl="0" w:tplc="416C61EE">
      <w:start w:val="1"/>
      <w:numFmt w:val="decimal"/>
      <w:lvlText w:val="%1."/>
      <w:lvlJc w:val="left"/>
      <w:pPr>
        <w:ind w:left="1656" w:hanging="360"/>
      </w:pPr>
      <w:rPr>
        <w:rFonts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41" w15:restartNumberingAfterBreak="0">
    <w:nsid w:val="6D1626EA"/>
    <w:multiLevelType w:val="hybridMultilevel"/>
    <w:tmpl w:val="F1A024BA"/>
    <w:lvl w:ilvl="0" w:tplc="E2F2DC74">
      <w:start w:val="2"/>
      <w:numFmt w:val="decimal"/>
      <w:lvlText w:val="%1"/>
      <w:lvlJc w:val="left"/>
      <w:pPr>
        <w:ind w:left="825" w:hanging="360"/>
      </w:pPr>
      <w:rPr>
        <w:rFonts w:hint="default"/>
      </w:rPr>
    </w:lvl>
    <w:lvl w:ilvl="1" w:tplc="04270019" w:tentative="1">
      <w:start w:val="1"/>
      <w:numFmt w:val="lowerLetter"/>
      <w:lvlText w:val="%2."/>
      <w:lvlJc w:val="left"/>
      <w:pPr>
        <w:ind w:left="1545" w:hanging="360"/>
      </w:pPr>
    </w:lvl>
    <w:lvl w:ilvl="2" w:tplc="0427001B" w:tentative="1">
      <w:start w:val="1"/>
      <w:numFmt w:val="lowerRoman"/>
      <w:lvlText w:val="%3."/>
      <w:lvlJc w:val="right"/>
      <w:pPr>
        <w:ind w:left="2265" w:hanging="180"/>
      </w:pPr>
    </w:lvl>
    <w:lvl w:ilvl="3" w:tplc="0427000F" w:tentative="1">
      <w:start w:val="1"/>
      <w:numFmt w:val="decimal"/>
      <w:lvlText w:val="%4."/>
      <w:lvlJc w:val="left"/>
      <w:pPr>
        <w:ind w:left="2985" w:hanging="360"/>
      </w:pPr>
    </w:lvl>
    <w:lvl w:ilvl="4" w:tplc="04270019" w:tentative="1">
      <w:start w:val="1"/>
      <w:numFmt w:val="lowerLetter"/>
      <w:lvlText w:val="%5."/>
      <w:lvlJc w:val="left"/>
      <w:pPr>
        <w:ind w:left="3705" w:hanging="360"/>
      </w:pPr>
    </w:lvl>
    <w:lvl w:ilvl="5" w:tplc="0427001B" w:tentative="1">
      <w:start w:val="1"/>
      <w:numFmt w:val="lowerRoman"/>
      <w:lvlText w:val="%6."/>
      <w:lvlJc w:val="right"/>
      <w:pPr>
        <w:ind w:left="4425" w:hanging="180"/>
      </w:pPr>
    </w:lvl>
    <w:lvl w:ilvl="6" w:tplc="0427000F" w:tentative="1">
      <w:start w:val="1"/>
      <w:numFmt w:val="decimal"/>
      <w:lvlText w:val="%7."/>
      <w:lvlJc w:val="left"/>
      <w:pPr>
        <w:ind w:left="5145" w:hanging="360"/>
      </w:pPr>
    </w:lvl>
    <w:lvl w:ilvl="7" w:tplc="04270019" w:tentative="1">
      <w:start w:val="1"/>
      <w:numFmt w:val="lowerLetter"/>
      <w:lvlText w:val="%8."/>
      <w:lvlJc w:val="left"/>
      <w:pPr>
        <w:ind w:left="5865" w:hanging="360"/>
      </w:pPr>
    </w:lvl>
    <w:lvl w:ilvl="8" w:tplc="0427001B" w:tentative="1">
      <w:start w:val="1"/>
      <w:numFmt w:val="lowerRoman"/>
      <w:lvlText w:val="%9."/>
      <w:lvlJc w:val="right"/>
      <w:pPr>
        <w:ind w:left="6585" w:hanging="180"/>
      </w:pPr>
    </w:lvl>
  </w:abstractNum>
  <w:abstractNum w:abstractNumId="42" w15:restartNumberingAfterBreak="0">
    <w:nsid w:val="6D7B6501"/>
    <w:multiLevelType w:val="multilevel"/>
    <w:tmpl w:val="E3FAABBC"/>
    <w:lvl w:ilvl="0">
      <w:start w:val="2"/>
      <w:numFmt w:val="decimal"/>
      <w:lvlText w:val="%1."/>
      <w:lvlJc w:val="left"/>
      <w:pPr>
        <w:tabs>
          <w:tab w:val="num" w:pos="540"/>
        </w:tabs>
        <w:ind w:left="540" w:hanging="540"/>
      </w:pPr>
      <w:rPr>
        <w:rFonts w:hint="default"/>
      </w:rPr>
    </w:lvl>
    <w:lvl w:ilvl="1">
      <w:start w:val="1"/>
      <w:numFmt w:val="decimal"/>
      <w:lvlText w:val="%1.%2."/>
      <w:lvlJc w:val="left"/>
      <w:pPr>
        <w:tabs>
          <w:tab w:val="num" w:pos="1260"/>
        </w:tabs>
        <w:ind w:left="1260" w:hanging="540"/>
      </w:pPr>
      <w:rPr>
        <w:rFonts w:hint="default"/>
      </w:rPr>
    </w:lvl>
    <w:lvl w:ilvl="2">
      <w:start w:val="7"/>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43" w15:restartNumberingAfterBreak="0">
    <w:nsid w:val="704E2AD2"/>
    <w:multiLevelType w:val="hybridMultilevel"/>
    <w:tmpl w:val="B262E168"/>
    <w:lvl w:ilvl="0" w:tplc="667C040C">
      <w:start w:val="1"/>
      <w:numFmt w:val="decimal"/>
      <w:lvlText w:val="3.%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44" w15:restartNumberingAfterBreak="0">
    <w:nsid w:val="768808AD"/>
    <w:multiLevelType w:val="multilevel"/>
    <w:tmpl w:val="D6284580"/>
    <w:lvl w:ilvl="0">
      <w:start w:val="1"/>
      <w:numFmt w:val="decimal"/>
      <w:lvlText w:val="%1."/>
      <w:lvlJc w:val="left"/>
      <w:pPr>
        <w:tabs>
          <w:tab w:val="num" w:pos="4188"/>
        </w:tabs>
        <w:ind w:left="4188" w:hanging="360"/>
      </w:pPr>
      <w:rPr>
        <w:i w:val="0"/>
        <w:color w:val="auto"/>
      </w:rPr>
    </w:lvl>
    <w:lvl w:ilvl="1">
      <w:start w:val="1"/>
      <w:numFmt w:val="decimal"/>
      <w:lvlText w:val="%1.%2."/>
      <w:lvlJc w:val="left"/>
      <w:pPr>
        <w:tabs>
          <w:tab w:val="num" w:pos="972"/>
        </w:tabs>
        <w:ind w:left="972" w:hanging="432"/>
      </w:pPr>
      <w:rPr>
        <w:i w:val="0"/>
        <w:strike w:val="0"/>
      </w:rPr>
    </w:lvl>
    <w:lvl w:ilvl="2">
      <w:start w:val="1"/>
      <w:numFmt w:val="decimal"/>
      <w:lvlText w:val="%1.%2.%3."/>
      <w:lvlJc w:val="left"/>
      <w:pPr>
        <w:tabs>
          <w:tab w:val="num" w:pos="1620"/>
        </w:tabs>
        <w:ind w:left="1404" w:hanging="504"/>
      </w:pPr>
      <w:rPr>
        <w:i w:val="0"/>
      </w:rPr>
    </w:lvl>
    <w:lvl w:ilvl="3">
      <w:start w:val="1"/>
      <w:numFmt w:val="decimal"/>
      <w:lvlText w:val="%1.%2.%3.%4."/>
      <w:lvlJc w:val="left"/>
      <w:pPr>
        <w:tabs>
          <w:tab w:val="num" w:pos="900"/>
        </w:tabs>
        <w:ind w:left="828" w:hanging="648"/>
      </w:pPr>
      <w:rPr>
        <w:i w:val="0"/>
      </w:rPr>
    </w:lvl>
    <w:lvl w:ilvl="4">
      <w:start w:val="1"/>
      <w:numFmt w:val="decimal"/>
      <w:lvlText w:val="%1.%2.%3.%4.%5."/>
      <w:lvlJc w:val="left"/>
      <w:pPr>
        <w:tabs>
          <w:tab w:val="num" w:pos="1620"/>
        </w:tabs>
        <w:ind w:left="1332" w:hanging="792"/>
      </w:pPr>
    </w:lvl>
    <w:lvl w:ilvl="5">
      <w:start w:val="1"/>
      <w:numFmt w:val="decimal"/>
      <w:lvlText w:val="%1.%2.%3.%4.%5.%6."/>
      <w:lvlJc w:val="left"/>
      <w:pPr>
        <w:tabs>
          <w:tab w:val="num" w:pos="1980"/>
        </w:tabs>
        <w:ind w:left="1836" w:hanging="936"/>
      </w:pPr>
    </w:lvl>
    <w:lvl w:ilvl="6">
      <w:start w:val="1"/>
      <w:numFmt w:val="decimal"/>
      <w:lvlText w:val="%1.%2.%3.%4.%5.%6.%7."/>
      <w:lvlJc w:val="left"/>
      <w:pPr>
        <w:tabs>
          <w:tab w:val="num" w:pos="2700"/>
        </w:tabs>
        <w:ind w:left="2340" w:hanging="1080"/>
      </w:pPr>
    </w:lvl>
    <w:lvl w:ilvl="7">
      <w:start w:val="1"/>
      <w:numFmt w:val="decimal"/>
      <w:lvlText w:val="%1.%2.%3.%4.%5.%6.%7.%8."/>
      <w:lvlJc w:val="left"/>
      <w:pPr>
        <w:tabs>
          <w:tab w:val="num" w:pos="3060"/>
        </w:tabs>
        <w:ind w:left="2844" w:hanging="1224"/>
      </w:pPr>
    </w:lvl>
    <w:lvl w:ilvl="8">
      <w:start w:val="1"/>
      <w:numFmt w:val="decimal"/>
      <w:lvlText w:val="%1.%2.%3.%4.%5.%6.%7.%8.%9."/>
      <w:lvlJc w:val="left"/>
      <w:pPr>
        <w:tabs>
          <w:tab w:val="num" w:pos="3780"/>
        </w:tabs>
        <w:ind w:left="3420" w:hanging="1440"/>
      </w:pPr>
    </w:lvl>
  </w:abstractNum>
  <w:abstractNum w:abstractNumId="45" w15:restartNumberingAfterBreak="0">
    <w:nsid w:val="7BE13153"/>
    <w:multiLevelType w:val="hybridMultilevel"/>
    <w:tmpl w:val="188E8302"/>
    <w:lvl w:ilvl="0" w:tplc="92042B0C">
      <w:start w:val="1"/>
      <w:numFmt w:val="decimal"/>
      <w:lvlText w:val="6.%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46" w15:restartNumberingAfterBreak="0">
    <w:nsid w:val="7C7E4FE5"/>
    <w:multiLevelType w:val="hybridMultilevel"/>
    <w:tmpl w:val="4280ACBE"/>
    <w:lvl w:ilvl="0" w:tplc="D1124ADC">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num w:numId="1">
    <w:abstractNumId w:val="27"/>
  </w:num>
  <w:num w:numId="2">
    <w:abstractNumId w:val="44"/>
  </w:num>
  <w:num w:numId="3">
    <w:abstractNumId w:val="28"/>
  </w:num>
  <w:num w:numId="4">
    <w:abstractNumId w:val="22"/>
  </w:num>
  <w:num w:numId="5">
    <w:abstractNumId w:val="43"/>
  </w:num>
  <w:num w:numId="6">
    <w:abstractNumId w:val="17"/>
  </w:num>
  <w:num w:numId="7">
    <w:abstractNumId w:val="0"/>
  </w:num>
  <w:num w:numId="8">
    <w:abstractNumId w:val="19"/>
  </w:num>
  <w:num w:numId="9">
    <w:abstractNumId w:val="11"/>
  </w:num>
  <w:num w:numId="10">
    <w:abstractNumId w:val="4"/>
  </w:num>
  <w:num w:numId="11">
    <w:abstractNumId w:val="14"/>
  </w:num>
  <w:num w:numId="12">
    <w:abstractNumId w:val="36"/>
  </w:num>
  <w:num w:numId="13">
    <w:abstractNumId w:val="21"/>
  </w:num>
  <w:num w:numId="14">
    <w:abstractNumId w:val="10"/>
  </w:num>
  <w:num w:numId="15">
    <w:abstractNumId w:val="34"/>
  </w:num>
  <w:num w:numId="16">
    <w:abstractNumId w:val="45"/>
  </w:num>
  <w:num w:numId="17">
    <w:abstractNumId w:val="33"/>
  </w:num>
  <w:num w:numId="18">
    <w:abstractNumId w:val="18"/>
  </w:num>
  <w:num w:numId="19">
    <w:abstractNumId w:val="32"/>
  </w:num>
  <w:num w:numId="20">
    <w:abstractNumId w:val="20"/>
  </w:num>
  <w:num w:numId="21">
    <w:abstractNumId w:val="42"/>
  </w:num>
  <w:num w:numId="22">
    <w:abstractNumId w:val="1"/>
  </w:num>
  <w:num w:numId="23">
    <w:abstractNumId w:val="39"/>
  </w:num>
  <w:num w:numId="24">
    <w:abstractNumId w:val="6"/>
  </w:num>
  <w:num w:numId="25">
    <w:abstractNumId w:val="37"/>
  </w:num>
  <w:num w:numId="26">
    <w:abstractNumId w:val="5"/>
  </w:num>
  <w:num w:numId="27">
    <w:abstractNumId w:val="7"/>
  </w:num>
  <w:num w:numId="28">
    <w:abstractNumId w:val="24"/>
  </w:num>
  <w:num w:numId="29">
    <w:abstractNumId w:val="41"/>
  </w:num>
  <w:num w:numId="30">
    <w:abstractNumId w:val="26"/>
  </w:num>
  <w:num w:numId="31">
    <w:abstractNumId w:val="15"/>
  </w:num>
  <w:num w:numId="32">
    <w:abstractNumId w:val="30"/>
  </w:num>
  <w:num w:numId="33">
    <w:abstractNumId w:val="38"/>
  </w:num>
  <w:num w:numId="34">
    <w:abstractNumId w:val="16"/>
  </w:num>
  <w:num w:numId="35">
    <w:abstractNumId w:val="13"/>
  </w:num>
  <w:num w:numId="36">
    <w:abstractNumId w:val="40"/>
  </w:num>
  <w:num w:numId="37">
    <w:abstractNumId w:val="46"/>
  </w:num>
  <w:num w:numId="38">
    <w:abstractNumId w:val="3"/>
  </w:num>
  <w:num w:numId="39">
    <w:abstractNumId w:val="35"/>
  </w:num>
  <w:num w:numId="40">
    <w:abstractNumId w:val="31"/>
  </w:num>
  <w:num w:numId="41">
    <w:abstractNumId w:val="23"/>
  </w:num>
  <w:num w:numId="42">
    <w:abstractNumId w:val="25"/>
  </w:num>
  <w:num w:numId="43">
    <w:abstractNumId w:val="29"/>
  </w:num>
  <w:num w:numId="44">
    <w:abstractNumId w:val="8"/>
  </w:num>
  <w:num w:numId="45">
    <w:abstractNumId w:val="12"/>
  </w:num>
  <w:num w:numId="46">
    <w:abstractNumId w:val="2"/>
  </w:num>
  <w:num w:numId="4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120"/>
  <w:displayHorizontalDrawingGridEvery w:val="2"/>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09AF"/>
    <w:rsid w:val="00000AF6"/>
    <w:rsid w:val="00001326"/>
    <w:rsid w:val="000022ED"/>
    <w:rsid w:val="0000380D"/>
    <w:rsid w:val="00003AAC"/>
    <w:rsid w:val="00004A18"/>
    <w:rsid w:val="00010779"/>
    <w:rsid w:val="00012BC5"/>
    <w:rsid w:val="000134D8"/>
    <w:rsid w:val="00013D87"/>
    <w:rsid w:val="00013DF1"/>
    <w:rsid w:val="000167CD"/>
    <w:rsid w:val="00016A89"/>
    <w:rsid w:val="00017607"/>
    <w:rsid w:val="000204ED"/>
    <w:rsid w:val="00025AEA"/>
    <w:rsid w:val="0002642C"/>
    <w:rsid w:val="000275F0"/>
    <w:rsid w:val="0003049A"/>
    <w:rsid w:val="0003293B"/>
    <w:rsid w:val="00033195"/>
    <w:rsid w:val="00034B04"/>
    <w:rsid w:val="00037AFA"/>
    <w:rsid w:val="0004144A"/>
    <w:rsid w:val="00043D94"/>
    <w:rsid w:val="000456E4"/>
    <w:rsid w:val="00046904"/>
    <w:rsid w:val="00047229"/>
    <w:rsid w:val="0004731A"/>
    <w:rsid w:val="00050A54"/>
    <w:rsid w:val="00050AE2"/>
    <w:rsid w:val="00051B15"/>
    <w:rsid w:val="000530EE"/>
    <w:rsid w:val="00053405"/>
    <w:rsid w:val="00064116"/>
    <w:rsid w:val="000645EA"/>
    <w:rsid w:val="00064B34"/>
    <w:rsid w:val="000663C3"/>
    <w:rsid w:val="000664E5"/>
    <w:rsid w:val="00067AEC"/>
    <w:rsid w:val="0007132A"/>
    <w:rsid w:val="00071DE2"/>
    <w:rsid w:val="000735B7"/>
    <w:rsid w:val="00074EC9"/>
    <w:rsid w:val="000756B5"/>
    <w:rsid w:val="00075945"/>
    <w:rsid w:val="00077E66"/>
    <w:rsid w:val="00077FD5"/>
    <w:rsid w:val="00082C7F"/>
    <w:rsid w:val="000864E7"/>
    <w:rsid w:val="000876FB"/>
    <w:rsid w:val="00094ED2"/>
    <w:rsid w:val="000951CB"/>
    <w:rsid w:val="00095E68"/>
    <w:rsid w:val="000978E4"/>
    <w:rsid w:val="000A00AF"/>
    <w:rsid w:val="000A0A26"/>
    <w:rsid w:val="000A29B9"/>
    <w:rsid w:val="000A425A"/>
    <w:rsid w:val="000A56F8"/>
    <w:rsid w:val="000A64F4"/>
    <w:rsid w:val="000A6CBF"/>
    <w:rsid w:val="000B0387"/>
    <w:rsid w:val="000B16DD"/>
    <w:rsid w:val="000B4F9C"/>
    <w:rsid w:val="000B57AB"/>
    <w:rsid w:val="000B5B44"/>
    <w:rsid w:val="000B5D76"/>
    <w:rsid w:val="000B7617"/>
    <w:rsid w:val="000C2716"/>
    <w:rsid w:val="000C423D"/>
    <w:rsid w:val="000D081F"/>
    <w:rsid w:val="000D08A4"/>
    <w:rsid w:val="000D2FF0"/>
    <w:rsid w:val="000D5153"/>
    <w:rsid w:val="000D5462"/>
    <w:rsid w:val="000D7969"/>
    <w:rsid w:val="000E1257"/>
    <w:rsid w:val="000E52D1"/>
    <w:rsid w:val="000E63C4"/>
    <w:rsid w:val="000F7579"/>
    <w:rsid w:val="0010113F"/>
    <w:rsid w:val="00101339"/>
    <w:rsid w:val="001022A9"/>
    <w:rsid w:val="001025AB"/>
    <w:rsid w:val="001026B0"/>
    <w:rsid w:val="00106895"/>
    <w:rsid w:val="00106D54"/>
    <w:rsid w:val="00110755"/>
    <w:rsid w:val="00114C10"/>
    <w:rsid w:val="001239EB"/>
    <w:rsid w:val="0012657C"/>
    <w:rsid w:val="0013238B"/>
    <w:rsid w:val="0013391E"/>
    <w:rsid w:val="00134260"/>
    <w:rsid w:val="00134321"/>
    <w:rsid w:val="00134584"/>
    <w:rsid w:val="001400EB"/>
    <w:rsid w:val="00141249"/>
    <w:rsid w:val="00141E70"/>
    <w:rsid w:val="001426E0"/>
    <w:rsid w:val="00142AD2"/>
    <w:rsid w:val="001437B4"/>
    <w:rsid w:val="001443AF"/>
    <w:rsid w:val="00147CD6"/>
    <w:rsid w:val="00152372"/>
    <w:rsid w:val="00154771"/>
    <w:rsid w:val="00156589"/>
    <w:rsid w:val="00163A90"/>
    <w:rsid w:val="0016464D"/>
    <w:rsid w:val="00164D10"/>
    <w:rsid w:val="0017619D"/>
    <w:rsid w:val="0017717E"/>
    <w:rsid w:val="001801E8"/>
    <w:rsid w:val="00183604"/>
    <w:rsid w:val="00183B81"/>
    <w:rsid w:val="00185B0F"/>
    <w:rsid w:val="00186B38"/>
    <w:rsid w:val="00186CA5"/>
    <w:rsid w:val="00186FD5"/>
    <w:rsid w:val="00187530"/>
    <w:rsid w:val="00194749"/>
    <w:rsid w:val="001A27A7"/>
    <w:rsid w:val="001A2ADA"/>
    <w:rsid w:val="001A33DA"/>
    <w:rsid w:val="001A4115"/>
    <w:rsid w:val="001A4622"/>
    <w:rsid w:val="001A53D0"/>
    <w:rsid w:val="001B1B5F"/>
    <w:rsid w:val="001B34B1"/>
    <w:rsid w:val="001B3FC6"/>
    <w:rsid w:val="001B41FF"/>
    <w:rsid w:val="001B58B8"/>
    <w:rsid w:val="001B6D96"/>
    <w:rsid w:val="001B7CF4"/>
    <w:rsid w:val="001C1B87"/>
    <w:rsid w:val="001C2338"/>
    <w:rsid w:val="001C3AE8"/>
    <w:rsid w:val="001D36E6"/>
    <w:rsid w:val="001D3A03"/>
    <w:rsid w:val="001D49DB"/>
    <w:rsid w:val="001D5631"/>
    <w:rsid w:val="001D610B"/>
    <w:rsid w:val="001D7D89"/>
    <w:rsid w:val="001E13C0"/>
    <w:rsid w:val="001E1B5C"/>
    <w:rsid w:val="001E2FF1"/>
    <w:rsid w:val="001F7EAB"/>
    <w:rsid w:val="00202C19"/>
    <w:rsid w:val="0021357D"/>
    <w:rsid w:val="00214356"/>
    <w:rsid w:val="00214C17"/>
    <w:rsid w:val="00220B81"/>
    <w:rsid w:val="00220FF6"/>
    <w:rsid w:val="00222FA0"/>
    <w:rsid w:val="002236E4"/>
    <w:rsid w:val="00224834"/>
    <w:rsid w:val="0022531E"/>
    <w:rsid w:val="00231A08"/>
    <w:rsid w:val="002433F2"/>
    <w:rsid w:val="002456EC"/>
    <w:rsid w:val="002471A0"/>
    <w:rsid w:val="002471E0"/>
    <w:rsid w:val="00247C3C"/>
    <w:rsid w:val="002505AC"/>
    <w:rsid w:val="002515C2"/>
    <w:rsid w:val="0025226E"/>
    <w:rsid w:val="002544C9"/>
    <w:rsid w:val="002602F3"/>
    <w:rsid w:val="00261367"/>
    <w:rsid w:val="00263ED2"/>
    <w:rsid w:val="00265538"/>
    <w:rsid w:val="00266889"/>
    <w:rsid w:val="00273C46"/>
    <w:rsid w:val="00274A79"/>
    <w:rsid w:val="00274F6E"/>
    <w:rsid w:val="00282708"/>
    <w:rsid w:val="002828E8"/>
    <w:rsid w:val="0028476A"/>
    <w:rsid w:val="0028600C"/>
    <w:rsid w:val="002874F1"/>
    <w:rsid w:val="00293142"/>
    <w:rsid w:val="00296CCC"/>
    <w:rsid w:val="00296EBF"/>
    <w:rsid w:val="002A145F"/>
    <w:rsid w:val="002A289F"/>
    <w:rsid w:val="002A55AA"/>
    <w:rsid w:val="002A71FC"/>
    <w:rsid w:val="002B2087"/>
    <w:rsid w:val="002B563C"/>
    <w:rsid w:val="002B5677"/>
    <w:rsid w:val="002B56BC"/>
    <w:rsid w:val="002B6EA9"/>
    <w:rsid w:val="002C0AB9"/>
    <w:rsid w:val="002C3990"/>
    <w:rsid w:val="002D087E"/>
    <w:rsid w:val="002D2D56"/>
    <w:rsid w:val="002D5858"/>
    <w:rsid w:val="002D7D97"/>
    <w:rsid w:val="002E00A5"/>
    <w:rsid w:val="002E2631"/>
    <w:rsid w:val="002E2666"/>
    <w:rsid w:val="002E69AC"/>
    <w:rsid w:val="002E712D"/>
    <w:rsid w:val="002F01C7"/>
    <w:rsid w:val="002F5A52"/>
    <w:rsid w:val="002F7219"/>
    <w:rsid w:val="0030358A"/>
    <w:rsid w:val="00303959"/>
    <w:rsid w:val="0030611A"/>
    <w:rsid w:val="003069DE"/>
    <w:rsid w:val="00310892"/>
    <w:rsid w:val="00315F83"/>
    <w:rsid w:val="0031731B"/>
    <w:rsid w:val="00317474"/>
    <w:rsid w:val="0032055A"/>
    <w:rsid w:val="0033381D"/>
    <w:rsid w:val="00335EC8"/>
    <w:rsid w:val="00336609"/>
    <w:rsid w:val="00336686"/>
    <w:rsid w:val="00336D6B"/>
    <w:rsid w:val="00343428"/>
    <w:rsid w:val="0034757F"/>
    <w:rsid w:val="0035015D"/>
    <w:rsid w:val="00350F83"/>
    <w:rsid w:val="00351173"/>
    <w:rsid w:val="00355ED2"/>
    <w:rsid w:val="0035694C"/>
    <w:rsid w:val="00357C2E"/>
    <w:rsid w:val="00360A84"/>
    <w:rsid w:val="003626C4"/>
    <w:rsid w:val="00362753"/>
    <w:rsid w:val="00363358"/>
    <w:rsid w:val="00367AEE"/>
    <w:rsid w:val="00371F53"/>
    <w:rsid w:val="0037495D"/>
    <w:rsid w:val="00380E64"/>
    <w:rsid w:val="003820E1"/>
    <w:rsid w:val="0038471E"/>
    <w:rsid w:val="003847CB"/>
    <w:rsid w:val="00385329"/>
    <w:rsid w:val="00385D50"/>
    <w:rsid w:val="00387B9D"/>
    <w:rsid w:val="0039577D"/>
    <w:rsid w:val="00395AC6"/>
    <w:rsid w:val="00396ECD"/>
    <w:rsid w:val="003A01B6"/>
    <w:rsid w:val="003B4356"/>
    <w:rsid w:val="003B495E"/>
    <w:rsid w:val="003B652F"/>
    <w:rsid w:val="003B7BA1"/>
    <w:rsid w:val="003C0D6D"/>
    <w:rsid w:val="003C180F"/>
    <w:rsid w:val="003C18DB"/>
    <w:rsid w:val="003C1A8C"/>
    <w:rsid w:val="003C3487"/>
    <w:rsid w:val="003C3917"/>
    <w:rsid w:val="003D2B51"/>
    <w:rsid w:val="003D57DA"/>
    <w:rsid w:val="003D6580"/>
    <w:rsid w:val="003D72E1"/>
    <w:rsid w:val="003E08A5"/>
    <w:rsid w:val="003E1835"/>
    <w:rsid w:val="003F2B35"/>
    <w:rsid w:val="003F5579"/>
    <w:rsid w:val="003F6C24"/>
    <w:rsid w:val="003F6D01"/>
    <w:rsid w:val="004016D3"/>
    <w:rsid w:val="0040343E"/>
    <w:rsid w:val="004038F5"/>
    <w:rsid w:val="0040415B"/>
    <w:rsid w:val="00410C08"/>
    <w:rsid w:val="00412D34"/>
    <w:rsid w:val="00413345"/>
    <w:rsid w:val="00415A95"/>
    <w:rsid w:val="00420612"/>
    <w:rsid w:val="004218A7"/>
    <w:rsid w:val="0042226B"/>
    <w:rsid w:val="004247FC"/>
    <w:rsid w:val="00424D1C"/>
    <w:rsid w:val="0043260E"/>
    <w:rsid w:val="00432C66"/>
    <w:rsid w:val="00434EBA"/>
    <w:rsid w:val="004373EE"/>
    <w:rsid w:val="00443348"/>
    <w:rsid w:val="00443933"/>
    <w:rsid w:val="0044418C"/>
    <w:rsid w:val="0044516F"/>
    <w:rsid w:val="0044539C"/>
    <w:rsid w:val="0044635D"/>
    <w:rsid w:val="00451956"/>
    <w:rsid w:val="0045433D"/>
    <w:rsid w:val="0045453F"/>
    <w:rsid w:val="00464C63"/>
    <w:rsid w:val="004656DD"/>
    <w:rsid w:val="00467BC1"/>
    <w:rsid w:val="00470A17"/>
    <w:rsid w:val="00471FF6"/>
    <w:rsid w:val="004721E9"/>
    <w:rsid w:val="0047546C"/>
    <w:rsid w:val="00475B7F"/>
    <w:rsid w:val="0047763B"/>
    <w:rsid w:val="00485177"/>
    <w:rsid w:val="00490B2E"/>
    <w:rsid w:val="004919D7"/>
    <w:rsid w:val="004926C1"/>
    <w:rsid w:val="004927A6"/>
    <w:rsid w:val="00493027"/>
    <w:rsid w:val="004946DE"/>
    <w:rsid w:val="00494E61"/>
    <w:rsid w:val="004A0951"/>
    <w:rsid w:val="004A0F1C"/>
    <w:rsid w:val="004A11F4"/>
    <w:rsid w:val="004A291E"/>
    <w:rsid w:val="004A2BBF"/>
    <w:rsid w:val="004A7279"/>
    <w:rsid w:val="004A733E"/>
    <w:rsid w:val="004B0875"/>
    <w:rsid w:val="004B3C74"/>
    <w:rsid w:val="004B4046"/>
    <w:rsid w:val="004B40C3"/>
    <w:rsid w:val="004C3D16"/>
    <w:rsid w:val="004C4551"/>
    <w:rsid w:val="004C6580"/>
    <w:rsid w:val="004C6ACB"/>
    <w:rsid w:val="004C797E"/>
    <w:rsid w:val="004D09EC"/>
    <w:rsid w:val="004D0A0E"/>
    <w:rsid w:val="004D259C"/>
    <w:rsid w:val="004D379E"/>
    <w:rsid w:val="004D3BEA"/>
    <w:rsid w:val="004D4433"/>
    <w:rsid w:val="004D62F4"/>
    <w:rsid w:val="004E0295"/>
    <w:rsid w:val="004E35C3"/>
    <w:rsid w:val="004E394D"/>
    <w:rsid w:val="004E402D"/>
    <w:rsid w:val="004E5440"/>
    <w:rsid w:val="004E546C"/>
    <w:rsid w:val="004E5C1A"/>
    <w:rsid w:val="004F489E"/>
    <w:rsid w:val="005017C8"/>
    <w:rsid w:val="005025EF"/>
    <w:rsid w:val="00504254"/>
    <w:rsid w:val="00504261"/>
    <w:rsid w:val="0050448E"/>
    <w:rsid w:val="00510EFF"/>
    <w:rsid w:val="00512F1A"/>
    <w:rsid w:val="005156B6"/>
    <w:rsid w:val="00516B35"/>
    <w:rsid w:val="00520798"/>
    <w:rsid w:val="00521E0A"/>
    <w:rsid w:val="00526251"/>
    <w:rsid w:val="00526C6F"/>
    <w:rsid w:val="00526E1A"/>
    <w:rsid w:val="00527696"/>
    <w:rsid w:val="005311C3"/>
    <w:rsid w:val="005354FF"/>
    <w:rsid w:val="00535F62"/>
    <w:rsid w:val="0054141D"/>
    <w:rsid w:val="005415F7"/>
    <w:rsid w:val="005422D8"/>
    <w:rsid w:val="00542993"/>
    <w:rsid w:val="005431A3"/>
    <w:rsid w:val="005443CD"/>
    <w:rsid w:val="00546077"/>
    <w:rsid w:val="005516D0"/>
    <w:rsid w:val="00553880"/>
    <w:rsid w:val="00556571"/>
    <w:rsid w:val="00556DEF"/>
    <w:rsid w:val="0056057C"/>
    <w:rsid w:val="005632BA"/>
    <w:rsid w:val="005715CC"/>
    <w:rsid w:val="00572391"/>
    <w:rsid w:val="00572E51"/>
    <w:rsid w:val="00574C52"/>
    <w:rsid w:val="005756D5"/>
    <w:rsid w:val="00575831"/>
    <w:rsid w:val="00575F05"/>
    <w:rsid w:val="005902FB"/>
    <w:rsid w:val="00591050"/>
    <w:rsid w:val="00591EED"/>
    <w:rsid w:val="0059256C"/>
    <w:rsid w:val="0059611E"/>
    <w:rsid w:val="005969FE"/>
    <w:rsid w:val="005A0F92"/>
    <w:rsid w:val="005A2247"/>
    <w:rsid w:val="005A47B9"/>
    <w:rsid w:val="005A4F57"/>
    <w:rsid w:val="005A6358"/>
    <w:rsid w:val="005A64A7"/>
    <w:rsid w:val="005A7894"/>
    <w:rsid w:val="005B3D84"/>
    <w:rsid w:val="005B47A3"/>
    <w:rsid w:val="005B61FA"/>
    <w:rsid w:val="005B64E7"/>
    <w:rsid w:val="005B6C53"/>
    <w:rsid w:val="005C6DA8"/>
    <w:rsid w:val="005C7266"/>
    <w:rsid w:val="005C7A6E"/>
    <w:rsid w:val="005D0BB1"/>
    <w:rsid w:val="005D31A0"/>
    <w:rsid w:val="005D4302"/>
    <w:rsid w:val="005D64A6"/>
    <w:rsid w:val="005D7598"/>
    <w:rsid w:val="005E1DFD"/>
    <w:rsid w:val="005E3A52"/>
    <w:rsid w:val="005E742A"/>
    <w:rsid w:val="005F400E"/>
    <w:rsid w:val="005F6011"/>
    <w:rsid w:val="00600DE1"/>
    <w:rsid w:val="0060519B"/>
    <w:rsid w:val="00616FE6"/>
    <w:rsid w:val="006216FB"/>
    <w:rsid w:val="00621ED1"/>
    <w:rsid w:val="00622E72"/>
    <w:rsid w:val="006244CB"/>
    <w:rsid w:val="00624B1D"/>
    <w:rsid w:val="00625BF5"/>
    <w:rsid w:val="0062710C"/>
    <w:rsid w:val="006315E2"/>
    <w:rsid w:val="0063163D"/>
    <w:rsid w:val="00633ED8"/>
    <w:rsid w:val="00634BE2"/>
    <w:rsid w:val="0063521C"/>
    <w:rsid w:val="006369AC"/>
    <w:rsid w:val="00644A53"/>
    <w:rsid w:val="00645141"/>
    <w:rsid w:val="00646231"/>
    <w:rsid w:val="0065089D"/>
    <w:rsid w:val="00651772"/>
    <w:rsid w:val="00651A08"/>
    <w:rsid w:val="00654279"/>
    <w:rsid w:val="00654714"/>
    <w:rsid w:val="00655BCE"/>
    <w:rsid w:val="006611EC"/>
    <w:rsid w:val="006626BB"/>
    <w:rsid w:val="006629C7"/>
    <w:rsid w:val="00663EA8"/>
    <w:rsid w:val="00663FFA"/>
    <w:rsid w:val="00667DC7"/>
    <w:rsid w:val="00671664"/>
    <w:rsid w:val="006724A0"/>
    <w:rsid w:val="00682271"/>
    <w:rsid w:val="00685925"/>
    <w:rsid w:val="00686248"/>
    <w:rsid w:val="006929EB"/>
    <w:rsid w:val="006A1007"/>
    <w:rsid w:val="006A1CC9"/>
    <w:rsid w:val="006A2175"/>
    <w:rsid w:val="006A42D6"/>
    <w:rsid w:val="006A5CB4"/>
    <w:rsid w:val="006A7B35"/>
    <w:rsid w:val="006B0959"/>
    <w:rsid w:val="006B22DF"/>
    <w:rsid w:val="006B3BFC"/>
    <w:rsid w:val="006B46C1"/>
    <w:rsid w:val="006B6E4D"/>
    <w:rsid w:val="006B7002"/>
    <w:rsid w:val="006C1F73"/>
    <w:rsid w:val="006C20FF"/>
    <w:rsid w:val="006C293D"/>
    <w:rsid w:val="006C609B"/>
    <w:rsid w:val="006C6343"/>
    <w:rsid w:val="006D0154"/>
    <w:rsid w:val="006D06A0"/>
    <w:rsid w:val="006D119C"/>
    <w:rsid w:val="006D3E1B"/>
    <w:rsid w:val="006D52C6"/>
    <w:rsid w:val="006D62DD"/>
    <w:rsid w:val="006D6769"/>
    <w:rsid w:val="006D6776"/>
    <w:rsid w:val="006E1D62"/>
    <w:rsid w:val="006E37B9"/>
    <w:rsid w:val="006E4D63"/>
    <w:rsid w:val="006E5A13"/>
    <w:rsid w:val="006E6CB7"/>
    <w:rsid w:val="006F0545"/>
    <w:rsid w:val="006F09AF"/>
    <w:rsid w:val="006F37DC"/>
    <w:rsid w:val="006F3D70"/>
    <w:rsid w:val="006F410D"/>
    <w:rsid w:val="0070044E"/>
    <w:rsid w:val="0071067C"/>
    <w:rsid w:val="007115B7"/>
    <w:rsid w:val="007115BD"/>
    <w:rsid w:val="007127EC"/>
    <w:rsid w:val="00715BB6"/>
    <w:rsid w:val="00721C0E"/>
    <w:rsid w:val="00723AEB"/>
    <w:rsid w:val="007245C4"/>
    <w:rsid w:val="007274E6"/>
    <w:rsid w:val="00732999"/>
    <w:rsid w:val="00733476"/>
    <w:rsid w:val="00735968"/>
    <w:rsid w:val="007369C2"/>
    <w:rsid w:val="0074165B"/>
    <w:rsid w:val="00742E85"/>
    <w:rsid w:val="00743DEE"/>
    <w:rsid w:val="00747098"/>
    <w:rsid w:val="0075667D"/>
    <w:rsid w:val="0076014B"/>
    <w:rsid w:val="007705B5"/>
    <w:rsid w:val="007708D6"/>
    <w:rsid w:val="007759AF"/>
    <w:rsid w:val="00776322"/>
    <w:rsid w:val="007842DD"/>
    <w:rsid w:val="00784585"/>
    <w:rsid w:val="00784EC8"/>
    <w:rsid w:val="00786ECA"/>
    <w:rsid w:val="0079282F"/>
    <w:rsid w:val="007944E0"/>
    <w:rsid w:val="00796A2B"/>
    <w:rsid w:val="00796C95"/>
    <w:rsid w:val="007A07B8"/>
    <w:rsid w:val="007A0827"/>
    <w:rsid w:val="007A77FF"/>
    <w:rsid w:val="007B0C94"/>
    <w:rsid w:val="007B566B"/>
    <w:rsid w:val="007C5155"/>
    <w:rsid w:val="007C6FA1"/>
    <w:rsid w:val="007D06D4"/>
    <w:rsid w:val="007D0D16"/>
    <w:rsid w:val="007D16E2"/>
    <w:rsid w:val="007D560B"/>
    <w:rsid w:val="007E06B6"/>
    <w:rsid w:val="007E2CAC"/>
    <w:rsid w:val="007E444B"/>
    <w:rsid w:val="007E6A93"/>
    <w:rsid w:val="007F045F"/>
    <w:rsid w:val="007F14E4"/>
    <w:rsid w:val="007F24B1"/>
    <w:rsid w:val="007F3059"/>
    <w:rsid w:val="007F446C"/>
    <w:rsid w:val="007F4B23"/>
    <w:rsid w:val="007F6E73"/>
    <w:rsid w:val="008016C3"/>
    <w:rsid w:val="00807300"/>
    <w:rsid w:val="0081043D"/>
    <w:rsid w:val="008143B7"/>
    <w:rsid w:val="00814742"/>
    <w:rsid w:val="00817196"/>
    <w:rsid w:val="00817FA4"/>
    <w:rsid w:val="00820564"/>
    <w:rsid w:val="00824EAD"/>
    <w:rsid w:val="00830898"/>
    <w:rsid w:val="00840F21"/>
    <w:rsid w:val="00850C8B"/>
    <w:rsid w:val="00851E69"/>
    <w:rsid w:val="008539BC"/>
    <w:rsid w:val="0086084C"/>
    <w:rsid w:val="00860C96"/>
    <w:rsid w:val="0086196C"/>
    <w:rsid w:val="008630E9"/>
    <w:rsid w:val="0086440D"/>
    <w:rsid w:val="008645B9"/>
    <w:rsid w:val="00864B28"/>
    <w:rsid w:val="00864E1D"/>
    <w:rsid w:val="00866929"/>
    <w:rsid w:val="00870C13"/>
    <w:rsid w:val="0087351B"/>
    <w:rsid w:val="00874662"/>
    <w:rsid w:val="00874BBC"/>
    <w:rsid w:val="00876404"/>
    <w:rsid w:val="0088047B"/>
    <w:rsid w:val="008811BB"/>
    <w:rsid w:val="008818C8"/>
    <w:rsid w:val="00882481"/>
    <w:rsid w:val="008842B0"/>
    <w:rsid w:val="00884DE0"/>
    <w:rsid w:val="00891F5D"/>
    <w:rsid w:val="008922E9"/>
    <w:rsid w:val="00894A00"/>
    <w:rsid w:val="00895B6A"/>
    <w:rsid w:val="0089608B"/>
    <w:rsid w:val="00896F3B"/>
    <w:rsid w:val="008A1E97"/>
    <w:rsid w:val="008A5474"/>
    <w:rsid w:val="008A6122"/>
    <w:rsid w:val="008B071B"/>
    <w:rsid w:val="008B1E2B"/>
    <w:rsid w:val="008B3E31"/>
    <w:rsid w:val="008B574D"/>
    <w:rsid w:val="008B6699"/>
    <w:rsid w:val="008D78C8"/>
    <w:rsid w:val="008E084A"/>
    <w:rsid w:val="008E08F0"/>
    <w:rsid w:val="008E098E"/>
    <w:rsid w:val="008E167E"/>
    <w:rsid w:val="008E2201"/>
    <w:rsid w:val="008E2BC0"/>
    <w:rsid w:val="008E4151"/>
    <w:rsid w:val="008F06A9"/>
    <w:rsid w:val="008F0A1C"/>
    <w:rsid w:val="008F58DF"/>
    <w:rsid w:val="008F5F26"/>
    <w:rsid w:val="008F68CA"/>
    <w:rsid w:val="008F772B"/>
    <w:rsid w:val="0090018B"/>
    <w:rsid w:val="0090224F"/>
    <w:rsid w:val="00906101"/>
    <w:rsid w:val="00907804"/>
    <w:rsid w:val="00911A61"/>
    <w:rsid w:val="00915C58"/>
    <w:rsid w:val="00916CFA"/>
    <w:rsid w:val="0092115B"/>
    <w:rsid w:val="00923B31"/>
    <w:rsid w:val="009245E9"/>
    <w:rsid w:val="009262C3"/>
    <w:rsid w:val="00933E1E"/>
    <w:rsid w:val="00935760"/>
    <w:rsid w:val="00941706"/>
    <w:rsid w:val="00941903"/>
    <w:rsid w:val="009429CE"/>
    <w:rsid w:val="0095466F"/>
    <w:rsid w:val="0095507B"/>
    <w:rsid w:val="00957608"/>
    <w:rsid w:val="00960883"/>
    <w:rsid w:val="00961C4F"/>
    <w:rsid w:val="0096265E"/>
    <w:rsid w:val="00963449"/>
    <w:rsid w:val="00965343"/>
    <w:rsid w:val="00966E67"/>
    <w:rsid w:val="009708F9"/>
    <w:rsid w:val="00970E6B"/>
    <w:rsid w:val="0097369A"/>
    <w:rsid w:val="009738F9"/>
    <w:rsid w:val="00973BF4"/>
    <w:rsid w:val="00975942"/>
    <w:rsid w:val="00980FEF"/>
    <w:rsid w:val="00983647"/>
    <w:rsid w:val="00986134"/>
    <w:rsid w:val="00990477"/>
    <w:rsid w:val="00992A53"/>
    <w:rsid w:val="0099354C"/>
    <w:rsid w:val="0099397D"/>
    <w:rsid w:val="00995C70"/>
    <w:rsid w:val="00995D1D"/>
    <w:rsid w:val="009979D3"/>
    <w:rsid w:val="009A4470"/>
    <w:rsid w:val="009A4AC8"/>
    <w:rsid w:val="009A5AC9"/>
    <w:rsid w:val="009A6EA2"/>
    <w:rsid w:val="009B487B"/>
    <w:rsid w:val="009B5AAA"/>
    <w:rsid w:val="009C26FF"/>
    <w:rsid w:val="009C43C3"/>
    <w:rsid w:val="009C5D65"/>
    <w:rsid w:val="009C7851"/>
    <w:rsid w:val="009C79DD"/>
    <w:rsid w:val="009D0046"/>
    <w:rsid w:val="009D03A3"/>
    <w:rsid w:val="009D1B5C"/>
    <w:rsid w:val="009D27B8"/>
    <w:rsid w:val="009D2CE4"/>
    <w:rsid w:val="009D3EC5"/>
    <w:rsid w:val="009D7BC5"/>
    <w:rsid w:val="009E1BFA"/>
    <w:rsid w:val="009E2040"/>
    <w:rsid w:val="009E46FA"/>
    <w:rsid w:val="009E6F9D"/>
    <w:rsid w:val="009F0274"/>
    <w:rsid w:val="009F1363"/>
    <w:rsid w:val="009F33EF"/>
    <w:rsid w:val="009F4A13"/>
    <w:rsid w:val="009F5E84"/>
    <w:rsid w:val="00A01ACB"/>
    <w:rsid w:val="00A02FC4"/>
    <w:rsid w:val="00A03723"/>
    <w:rsid w:val="00A05A60"/>
    <w:rsid w:val="00A12D25"/>
    <w:rsid w:val="00A131C4"/>
    <w:rsid w:val="00A15F2F"/>
    <w:rsid w:val="00A16FDD"/>
    <w:rsid w:val="00A20EFB"/>
    <w:rsid w:val="00A219D8"/>
    <w:rsid w:val="00A23350"/>
    <w:rsid w:val="00A23ABF"/>
    <w:rsid w:val="00A24F80"/>
    <w:rsid w:val="00A2683D"/>
    <w:rsid w:val="00A27280"/>
    <w:rsid w:val="00A27460"/>
    <w:rsid w:val="00A30EC1"/>
    <w:rsid w:val="00A348F1"/>
    <w:rsid w:val="00A34F81"/>
    <w:rsid w:val="00A354EA"/>
    <w:rsid w:val="00A3751B"/>
    <w:rsid w:val="00A40665"/>
    <w:rsid w:val="00A41E0E"/>
    <w:rsid w:val="00A43633"/>
    <w:rsid w:val="00A44B2E"/>
    <w:rsid w:val="00A4612C"/>
    <w:rsid w:val="00A50DBF"/>
    <w:rsid w:val="00A510A9"/>
    <w:rsid w:val="00A5276A"/>
    <w:rsid w:val="00A52D49"/>
    <w:rsid w:val="00A53350"/>
    <w:rsid w:val="00A54CCC"/>
    <w:rsid w:val="00A55D28"/>
    <w:rsid w:val="00A57923"/>
    <w:rsid w:val="00A65927"/>
    <w:rsid w:val="00A70C7B"/>
    <w:rsid w:val="00A73C05"/>
    <w:rsid w:val="00A73D9A"/>
    <w:rsid w:val="00A77E24"/>
    <w:rsid w:val="00A80E12"/>
    <w:rsid w:val="00A82413"/>
    <w:rsid w:val="00A83FDA"/>
    <w:rsid w:val="00A84B6A"/>
    <w:rsid w:val="00A85E67"/>
    <w:rsid w:val="00A865B1"/>
    <w:rsid w:val="00A8785A"/>
    <w:rsid w:val="00A91096"/>
    <w:rsid w:val="00A91696"/>
    <w:rsid w:val="00A924F4"/>
    <w:rsid w:val="00A92522"/>
    <w:rsid w:val="00A968A3"/>
    <w:rsid w:val="00A9708C"/>
    <w:rsid w:val="00AA0C15"/>
    <w:rsid w:val="00AA0E20"/>
    <w:rsid w:val="00AA6921"/>
    <w:rsid w:val="00AB05C1"/>
    <w:rsid w:val="00AB36D2"/>
    <w:rsid w:val="00AB3BA9"/>
    <w:rsid w:val="00AB4827"/>
    <w:rsid w:val="00AC3ED6"/>
    <w:rsid w:val="00AC6C4B"/>
    <w:rsid w:val="00AC76DE"/>
    <w:rsid w:val="00AD0EF4"/>
    <w:rsid w:val="00AD25FE"/>
    <w:rsid w:val="00AD2B1E"/>
    <w:rsid w:val="00AD5C6E"/>
    <w:rsid w:val="00AD71B3"/>
    <w:rsid w:val="00AE11D5"/>
    <w:rsid w:val="00AE1CFB"/>
    <w:rsid w:val="00AE2806"/>
    <w:rsid w:val="00AE594B"/>
    <w:rsid w:val="00AE768E"/>
    <w:rsid w:val="00AF3D39"/>
    <w:rsid w:val="00AF6CEF"/>
    <w:rsid w:val="00B01E6D"/>
    <w:rsid w:val="00B1296F"/>
    <w:rsid w:val="00B154A1"/>
    <w:rsid w:val="00B17C82"/>
    <w:rsid w:val="00B20A85"/>
    <w:rsid w:val="00B21EBF"/>
    <w:rsid w:val="00B22F4F"/>
    <w:rsid w:val="00B232A5"/>
    <w:rsid w:val="00B237B6"/>
    <w:rsid w:val="00B25C43"/>
    <w:rsid w:val="00B26F77"/>
    <w:rsid w:val="00B27277"/>
    <w:rsid w:val="00B27EC5"/>
    <w:rsid w:val="00B32F76"/>
    <w:rsid w:val="00B33D26"/>
    <w:rsid w:val="00B34711"/>
    <w:rsid w:val="00B37CC8"/>
    <w:rsid w:val="00B41BD9"/>
    <w:rsid w:val="00B429BE"/>
    <w:rsid w:val="00B44534"/>
    <w:rsid w:val="00B46219"/>
    <w:rsid w:val="00B524FE"/>
    <w:rsid w:val="00B545D4"/>
    <w:rsid w:val="00B54A52"/>
    <w:rsid w:val="00B6028A"/>
    <w:rsid w:val="00B64EFE"/>
    <w:rsid w:val="00B71BC8"/>
    <w:rsid w:val="00B71D7C"/>
    <w:rsid w:val="00B72344"/>
    <w:rsid w:val="00B749B4"/>
    <w:rsid w:val="00B77C37"/>
    <w:rsid w:val="00B8238F"/>
    <w:rsid w:val="00B83426"/>
    <w:rsid w:val="00B842A5"/>
    <w:rsid w:val="00B853A4"/>
    <w:rsid w:val="00B8731E"/>
    <w:rsid w:val="00B92028"/>
    <w:rsid w:val="00B93BBC"/>
    <w:rsid w:val="00B96E5B"/>
    <w:rsid w:val="00B97478"/>
    <w:rsid w:val="00BA0AE8"/>
    <w:rsid w:val="00BA378D"/>
    <w:rsid w:val="00BA7707"/>
    <w:rsid w:val="00BB1A4C"/>
    <w:rsid w:val="00BB2238"/>
    <w:rsid w:val="00BB2AEC"/>
    <w:rsid w:val="00BB31AE"/>
    <w:rsid w:val="00BC2E01"/>
    <w:rsid w:val="00BC490D"/>
    <w:rsid w:val="00BC55B1"/>
    <w:rsid w:val="00BD1492"/>
    <w:rsid w:val="00BD167B"/>
    <w:rsid w:val="00BD175C"/>
    <w:rsid w:val="00BD2150"/>
    <w:rsid w:val="00BD62FC"/>
    <w:rsid w:val="00BD6407"/>
    <w:rsid w:val="00BE2FAA"/>
    <w:rsid w:val="00BE4273"/>
    <w:rsid w:val="00BE4BE7"/>
    <w:rsid w:val="00BF3528"/>
    <w:rsid w:val="00BF7EC5"/>
    <w:rsid w:val="00C0101C"/>
    <w:rsid w:val="00C0203E"/>
    <w:rsid w:val="00C02586"/>
    <w:rsid w:val="00C050CD"/>
    <w:rsid w:val="00C0681E"/>
    <w:rsid w:val="00C0717B"/>
    <w:rsid w:val="00C10B20"/>
    <w:rsid w:val="00C11A35"/>
    <w:rsid w:val="00C14FB0"/>
    <w:rsid w:val="00C16CED"/>
    <w:rsid w:val="00C1729B"/>
    <w:rsid w:val="00C1760B"/>
    <w:rsid w:val="00C21310"/>
    <w:rsid w:val="00C24B3D"/>
    <w:rsid w:val="00C30CD6"/>
    <w:rsid w:val="00C35EF0"/>
    <w:rsid w:val="00C365EE"/>
    <w:rsid w:val="00C37FAB"/>
    <w:rsid w:val="00C4351A"/>
    <w:rsid w:val="00C45BEB"/>
    <w:rsid w:val="00C53056"/>
    <w:rsid w:val="00C539F1"/>
    <w:rsid w:val="00C54BA2"/>
    <w:rsid w:val="00C55A55"/>
    <w:rsid w:val="00C55FA3"/>
    <w:rsid w:val="00C56615"/>
    <w:rsid w:val="00C615B8"/>
    <w:rsid w:val="00C638A5"/>
    <w:rsid w:val="00C64E77"/>
    <w:rsid w:val="00C7007D"/>
    <w:rsid w:val="00C7012C"/>
    <w:rsid w:val="00C72DBD"/>
    <w:rsid w:val="00C761CF"/>
    <w:rsid w:val="00C81E56"/>
    <w:rsid w:val="00C82D5E"/>
    <w:rsid w:val="00C82EE3"/>
    <w:rsid w:val="00C83CEC"/>
    <w:rsid w:val="00C857F5"/>
    <w:rsid w:val="00C90C33"/>
    <w:rsid w:val="00C90C5D"/>
    <w:rsid w:val="00C92366"/>
    <w:rsid w:val="00C935B5"/>
    <w:rsid w:val="00C967A4"/>
    <w:rsid w:val="00C973A7"/>
    <w:rsid w:val="00CA0C45"/>
    <w:rsid w:val="00CA2D0E"/>
    <w:rsid w:val="00CA341D"/>
    <w:rsid w:val="00CA4688"/>
    <w:rsid w:val="00CA49AF"/>
    <w:rsid w:val="00CA543E"/>
    <w:rsid w:val="00CB0ABD"/>
    <w:rsid w:val="00CB23DD"/>
    <w:rsid w:val="00CB2FD2"/>
    <w:rsid w:val="00CB4800"/>
    <w:rsid w:val="00CB784A"/>
    <w:rsid w:val="00CC0D41"/>
    <w:rsid w:val="00CC1D07"/>
    <w:rsid w:val="00CC2745"/>
    <w:rsid w:val="00CC4C9A"/>
    <w:rsid w:val="00CC6F7A"/>
    <w:rsid w:val="00CC7E69"/>
    <w:rsid w:val="00CD05A0"/>
    <w:rsid w:val="00CD0A33"/>
    <w:rsid w:val="00CD0F55"/>
    <w:rsid w:val="00CD220B"/>
    <w:rsid w:val="00CD3133"/>
    <w:rsid w:val="00CD4BD9"/>
    <w:rsid w:val="00CE7BCE"/>
    <w:rsid w:val="00CF22B2"/>
    <w:rsid w:val="00CF23E3"/>
    <w:rsid w:val="00CF5AF8"/>
    <w:rsid w:val="00D001DF"/>
    <w:rsid w:val="00D00F24"/>
    <w:rsid w:val="00D01472"/>
    <w:rsid w:val="00D01547"/>
    <w:rsid w:val="00D02B0F"/>
    <w:rsid w:val="00D02CB4"/>
    <w:rsid w:val="00D03094"/>
    <w:rsid w:val="00D04CCA"/>
    <w:rsid w:val="00D057B7"/>
    <w:rsid w:val="00D0748D"/>
    <w:rsid w:val="00D11414"/>
    <w:rsid w:val="00D13419"/>
    <w:rsid w:val="00D159AB"/>
    <w:rsid w:val="00D21C16"/>
    <w:rsid w:val="00D22683"/>
    <w:rsid w:val="00D255E7"/>
    <w:rsid w:val="00D25A67"/>
    <w:rsid w:val="00D25C66"/>
    <w:rsid w:val="00D31CFA"/>
    <w:rsid w:val="00D32ABB"/>
    <w:rsid w:val="00D32AF2"/>
    <w:rsid w:val="00D33CD7"/>
    <w:rsid w:val="00D34232"/>
    <w:rsid w:val="00D43965"/>
    <w:rsid w:val="00D475D7"/>
    <w:rsid w:val="00D539C8"/>
    <w:rsid w:val="00D54E1E"/>
    <w:rsid w:val="00D56AAE"/>
    <w:rsid w:val="00D61ADF"/>
    <w:rsid w:val="00D62467"/>
    <w:rsid w:val="00D6284A"/>
    <w:rsid w:val="00D649B2"/>
    <w:rsid w:val="00D67E99"/>
    <w:rsid w:val="00D71BC1"/>
    <w:rsid w:val="00D72100"/>
    <w:rsid w:val="00D757B3"/>
    <w:rsid w:val="00D75D7D"/>
    <w:rsid w:val="00D76511"/>
    <w:rsid w:val="00D812CA"/>
    <w:rsid w:val="00D815A0"/>
    <w:rsid w:val="00D818A6"/>
    <w:rsid w:val="00D83265"/>
    <w:rsid w:val="00D83D71"/>
    <w:rsid w:val="00D84333"/>
    <w:rsid w:val="00D856BF"/>
    <w:rsid w:val="00D86A0F"/>
    <w:rsid w:val="00D879B8"/>
    <w:rsid w:val="00D93A96"/>
    <w:rsid w:val="00D9483D"/>
    <w:rsid w:val="00D95CB1"/>
    <w:rsid w:val="00D962EC"/>
    <w:rsid w:val="00DA770A"/>
    <w:rsid w:val="00DB2423"/>
    <w:rsid w:val="00DB2A8A"/>
    <w:rsid w:val="00DB6A79"/>
    <w:rsid w:val="00DC26C9"/>
    <w:rsid w:val="00DC3B74"/>
    <w:rsid w:val="00DD0472"/>
    <w:rsid w:val="00DD118A"/>
    <w:rsid w:val="00DD4256"/>
    <w:rsid w:val="00DE2FE3"/>
    <w:rsid w:val="00DE6EAE"/>
    <w:rsid w:val="00DF05CC"/>
    <w:rsid w:val="00DF1BE4"/>
    <w:rsid w:val="00DF5ECD"/>
    <w:rsid w:val="00DF7960"/>
    <w:rsid w:val="00E0337B"/>
    <w:rsid w:val="00E0501F"/>
    <w:rsid w:val="00E051C8"/>
    <w:rsid w:val="00E07937"/>
    <w:rsid w:val="00E110B4"/>
    <w:rsid w:val="00E11AC9"/>
    <w:rsid w:val="00E12956"/>
    <w:rsid w:val="00E1315B"/>
    <w:rsid w:val="00E1358C"/>
    <w:rsid w:val="00E14176"/>
    <w:rsid w:val="00E20361"/>
    <w:rsid w:val="00E20BA3"/>
    <w:rsid w:val="00E21FFC"/>
    <w:rsid w:val="00E22DFC"/>
    <w:rsid w:val="00E232DD"/>
    <w:rsid w:val="00E2506D"/>
    <w:rsid w:val="00E2545F"/>
    <w:rsid w:val="00E274B0"/>
    <w:rsid w:val="00E302B4"/>
    <w:rsid w:val="00E30D05"/>
    <w:rsid w:val="00E31EB2"/>
    <w:rsid w:val="00E33500"/>
    <w:rsid w:val="00E344A2"/>
    <w:rsid w:val="00E36112"/>
    <w:rsid w:val="00E361E3"/>
    <w:rsid w:val="00E36AF9"/>
    <w:rsid w:val="00E414C1"/>
    <w:rsid w:val="00E41AF0"/>
    <w:rsid w:val="00E42E7F"/>
    <w:rsid w:val="00E4344D"/>
    <w:rsid w:val="00E4470B"/>
    <w:rsid w:val="00E45594"/>
    <w:rsid w:val="00E55340"/>
    <w:rsid w:val="00E567BA"/>
    <w:rsid w:val="00E570A3"/>
    <w:rsid w:val="00E5764B"/>
    <w:rsid w:val="00E61331"/>
    <w:rsid w:val="00E637FA"/>
    <w:rsid w:val="00E70E2A"/>
    <w:rsid w:val="00E739AB"/>
    <w:rsid w:val="00E74A95"/>
    <w:rsid w:val="00E8124F"/>
    <w:rsid w:val="00E82F3B"/>
    <w:rsid w:val="00E85095"/>
    <w:rsid w:val="00E858D8"/>
    <w:rsid w:val="00E86A59"/>
    <w:rsid w:val="00E87DB8"/>
    <w:rsid w:val="00E9045F"/>
    <w:rsid w:val="00E9185C"/>
    <w:rsid w:val="00E949B1"/>
    <w:rsid w:val="00E95C21"/>
    <w:rsid w:val="00EA1F98"/>
    <w:rsid w:val="00EA2FB9"/>
    <w:rsid w:val="00EA43B0"/>
    <w:rsid w:val="00EA6ED6"/>
    <w:rsid w:val="00EB2EF0"/>
    <w:rsid w:val="00EB32E3"/>
    <w:rsid w:val="00EB403F"/>
    <w:rsid w:val="00EB4535"/>
    <w:rsid w:val="00EB474B"/>
    <w:rsid w:val="00EB5B9A"/>
    <w:rsid w:val="00EC2A0B"/>
    <w:rsid w:val="00EC2D51"/>
    <w:rsid w:val="00EC65F2"/>
    <w:rsid w:val="00EC69BD"/>
    <w:rsid w:val="00ED1C84"/>
    <w:rsid w:val="00ED35DC"/>
    <w:rsid w:val="00ED59F3"/>
    <w:rsid w:val="00ED7748"/>
    <w:rsid w:val="00ED7749"/>
    <w:rsid w:val="00EE039E"/>
    <w:rsid w:val="00EE221F"/>
    <w:rsid w:val="00EE32AD"/>
    <w:rsid w:val="00EE5079"/>
    <w:rsid w:val="00EE57E2"/>
    <w:rsid w:val="00EE72B0"/>
    <w:rsid w:val="00EF0115"/>
    <w:rsid w:val="00EF347E"/>
    <w:rsid w:val="00EF3592"/>
    <w:rsid w:val="00EF51E3"/>
    <w:rsid w:val="00EF7276"/>
    <w:rsid w:val="00F01643"/>
    <w:rsid w:val="00F136A3"/>
    <w:rsid w:val="00F13F58"/>
    <w:rsid w:val="00F145C4"/>
    <w:rsid w:val="00F17326"/>
    <w:rsid w:val="00F241EE"/>
    <w:rsid w:val="00F30D22"/>
    <w:rsid w:val="00F31075"/>
    <w:rsid w:val="00F42D41"/>
    <w:rsid w:val="00F43260"/>
    <w:rsid w:val="00F47D0C"/>
    <w:rsid w:val="00F5026C"/>
    <w:rsid w:val="00F51A48"/>
    <w:rsid w:val="00F53049"/>
    <w:rsid w:val="00F5426C"/>
    <w:rsid w:val="00F56801"/>
    <w:rsid w:val="00F57F43"/>
    <w:rsid w:val="00F63C7D"/>
    <w:rsid w:val="00F673E3"/>
    <w:rsid w:val="00F67CFD"/>
    <w:rsid w:val="00F70308"/>
    <w:rsid w:val="00F71576"/>
    <w:rsid w:val="00F719F7"/>
    <w:rsid w:val="00F71DAB"/>
    <w:rsid w:val="00F72FF2"/>
    <w:rsid w:val="00F751DD"/>
    <w:rsid w:val="00F75240"/>
    <w:rsid w:val="00F76544"/>
    <w:rsid w:val="00F83E74"/>
    <w:rsid w:val="00F9216B"/>
    <w:rsid w:val="00F92504"/>
    <w:rsid w:val="00F92D5B"/>
    <w:rsid w:val="00F93FED"/>
    <w:rsid w:val="00F945D7"/>
    <w:rsid w:val="00F95A20"/>
    <w:rsid w:val="00FA2729"/>
    <w:rsid w:val="00FA4AF5"/>
    <w:rsid w:val="00FB0426"/>
    <w:rsid w:val="00FB2156"/>
    <w:rsid w:val="00FB4867"/>
    <w:rsid w:val="00FB6262"/>
    <w:rsid w:val="00FC1AF6"/>
    <w:rsid w:val="00FC3117"/>
    <w:rsid w:val="00FC37D8"/>
    <w:rsid w:val="00FC4972"/>
    <w:rsid w:val="00FC628B"/>
    <w:rsid w:val="00FD0922"/>
    <w:rsid w:val="00FD2356"/>
    <w:rsid w:val="00FD3BC1"/>
    <w:rsid w:val="00FD7606"/>
    <w:rsid w:val="00FE31B6"/>
    <w:rsid w:val="00FE3DBE"/>
    <w:rsid w:val="00FF1A58"/>
    <w:rsid w:val="00FF3588"/>
    <w:rsid w:val="00FF37E1"/>
    <w:rsid w:val="00FF3F02"/>
    <w:rsid w:val="00FF4DC7"/>
    <w:rsid w:val="00FF759D"/>
    <w:rsid w:val="00FF7FF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747160EE"/>
  <w15:chartTrackingRefBased/>
  <w15:docId w15:val="{B02F8C04-8EB5-47E8-A0EF-5D0BE86E50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in Text"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cs="Arial"/>
      <w:sz w:val="24"/>
      <w:szCs w:val="16"/>
    </w:rPr>
  </w:style>
  <w:style w:type="paragraph" w:styleId="Heading1">
    <w:name w:val="heading 1"/>
    <w:aliases w:val="1"/>
    <w:basedOn w:val="Normal"/>
    <w:next w:val="Normal"/>
    <w:link w:val="Heading1Char"/>
    <w:qFormat/>
    <w:pPr>
      <w:keepNext/>
      <w:spacing w:before="240" w:after="60"/>
      <w:outlineLvl w:val="0"/>
    </w:pPr>
    <w:rPr>
      <w:rFonts w:ascii="Arial" w:hAnsi="Arial"/>
      <w:b/>
      <w:bCs/>
      <w:kern w:val="32"/>
      <w:sz w:val="32"/>
      <w:szCs w:val="32"/>
    </w:rPr>
  </w:style>
  <w:style w:type="paragraph" w:styleId="Heading2">
    <w:name w:val="heading 2"/>
    <w:basedOn w:val="Normal"/>
    <w:next w:val="Normal"/>
    <w:link w:val="Heading2Char"/>
    <w:qFormat/>
    <w:pPr>
      <w:keepNext/>
      <w:spacing w:before="240" w:after="60"/>
      <w:outlineLvl w:val="1"/>
    </w:pPr>
    <w:rPr>
      <w:rFonts w:ascii="Arial" w:hAnsi="Arial"/>
      <w:b/>
      <w:bCs/>
      <w:i/>
      <w:iCs/>
      <w:sz w:val="28"/>
      <w:szCs w:val="28"/>
    </w:rPr>
  </w:style>
  <w:style w:type="paragraph" w:styleId="Heading3">
    <w:name w:val="heading 3"/>
    <w:basedOn w:val="Normal"/>
    <w:next w:val="Normal"/>
    <w:link w:val="Heading3Char"/>
    <w:qFormat/>
    <w:pPr>
      <w:keepNext/>
      <w:spacing w:before="240" w:after="60"/>
      <w:outlineLvl w:val="2"/>
    </w:pPr>
    <w:rPr>
      <w:rFonts w:ascii="Arial" w:hAnsi="Arial"/>
      <w:b/>
      <w:bCs/>
      <w:sz w:val="26"/>
      <w:szCs w:val="26"/>
    </w:rPr>
  </w:style>
  <w:style w:type="paragraph" w:styleId="Heading6">
    <w:name w:val="heading 6"/>
    <w:basedOn w:val="Normal"/>
    <w:next w:val="Normal"/>
    <w:link w:val="Heading6Char"/>
    <w:qFormat/>
    <w:pPr>
      <w:keepNext/>
      <w:autoSpaceDE w:val="0"/>
      <w:autoSpaceDN w:val="0"/>
      <w:adjustRightInd w:val="0"/>
      <w:ind w:hanging="180"/>
      <w:outlineLvl w:val="5"/>
    </w:pPr>
    <w:rPr>
      <w:rFonts w:ascii="Arial" w:hAnsi="Arial"/>
      <w:b/>
      <w:bCs/>
      <w:sz w:val="20"/>
      <w:szCs w:val="20"/>
      <w:lang w:val="en-US" w:eastAsia="en-US"/>
    </w:rPr>
  </w:style>
  <w:style w:type="paragraph" w:styleId="Heading7">
    <w:name w:val="heading 7"/>
    <w:basedOn w:val="Normal"/>
    <w:next w:val="Normal"/>
    <w:link w:val="Heading7Char"/>
    <w:qFormat/>
    <w:pPr>
      <w:keepNext/>
      <w:autoSpaceDE w:val="0"/>
      <w:autoSpaceDN w:val="0"/>
      <w:adjustRightInd w:val="0"/>
      <w:ind w:hanging="360"/>
      <w:outlineLvl w:val="6"/>
    </w:pPr>
    <w:rPr>
      <w:rFonts w:ascii="Arial" w:hAnsi="Arial"/>
      <w:b/>
      <w:bCs/>
      <w:sz w:val="20"/>
      <w:szCs w:val="20"/>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pPr>
      <w:autoSpaceDE w:val="0"/>
      <w:autoSpaceDN w:val="0"/>
      <w:adjustRightInd w:val="0"/>
    </w:pPr>
    <w:rPr>
      <w:rFonts w:ascii="Arial" w:hAnsi="Arial"/>
      <w:sz w:val="20"/>
      <w:szCs w:val="20"/>
      <w:lang w:val="en-US" w:eastAsia="en-US"/>
    </w:rPr>
  </w:style>
  <w:style w:type="paragraph" w:styleId="BodyText3">
    <w:name w:val="Body Text 3"/>
    <w:basedOn w:val="Normal"/>
    <w:link w:val="BodyText3Char"/>
    <w:pPr>
      <w:autoSpaceDE w:val="0"/>
      <w:autoSpaceDN w:val="0"/>
      <w:adjustRightInd w:val="0"/>
    </w:pPr>
    <w:rPr>
      <w:rFonts w:ascii="Arial" w:hAnsi="Arial"/>
      <w:sz w:val="18"/>
      <w:szCs w:val="20"/>
      <w:lang w:val="en-GB" w:eastAsia="en-US"/>
    </w:rPr>
  </w:style>
  <w:style w:type="paragraph" w:customStyle="1" w:styleId="aatitraukt">
    <w:name w:val="a) atitraukt"/>
    <w:pPr>
      <w:widowControl w:val="0"/>
      <w:tabs>
        <w:tab w:val="left" w:pos="737"/>
      </w:tabs>
      <w:ind w:left="737" w:hanging="340"/>
      <w:jc w:val="both"/>
    </w:pPr>
    <w:rPr>
      <w:lang w:val="en-US" w:eastAsia="en-US"/>
    </w:rPr>
  </w:style>
  <w:style w:type="paragraph" w:customStyle="1" w:styleId="1ai">
    <w:name w:val="1)  a)  (i)"/>
    <w:pPr>
      <w:widowControl w:val="0"/>
      <w:tabs>
        <w:tab w:val="left" w:pos="340"/>
        <w:tab w:val="left" w:pos="737"/>
        <w:tab w:val="left" w:pos="1106"/>
      </w:tabs>
      <w:ind w:left="1128" w:hanging="1128"/>
      <w:jc w:val="both"/>
    </w:pPr>
    <w:rPr>
      <w:lang w:val="en-US" w:eastAsia="en-US"/>
    </w:rPr>
  </w:style>
  <w:style w:type="paragraph" w:styleId="TOC1">
    <w:name w:val="toc 1"/>
    <w:basedOn w:val="Normal"/>
    <w:next w:val="Normal"/>
    <w:autoRedefine/>
    <w:semiHidden/>
    <w:pPr>
      <w:tabs>
        <w:tab w:val="left" w:pos="360"/>
        <w:tab w:val="right" w:leader="dot" w:pos="9628"/>
      </w:tabs>
    </w:pPr>
    <w:rPr>
      <w:b/>
      <w:sz w:val="28"/>
    </w:rPr>
  </w:style>
  <w:style w:type="paragraph" w:styleId="TOC2">
    <w:name w:val="toc 2"/>
    <w:basedOn w:val="Normal"/>
    <w:next w:val="Normal"/>
    <w:autoRedefine/>
    <w:semiHidden/>
    <w:pPr>
      <w:tabs>
        <w:tab w:val="left" w:pos="0"/>
        <w:tab w:val="left" w:pos="720"/>
        <w:tab w:val="right" w:leader="dot" w:pos="9628"/>
      </w:tabs>
      <w:ind w:left="540"/>
    </w:pPr>
    <w:rPr>
      <w:b/>
    </w:rPr>
  </w:style>
  <w:style w:type="paragraph" w:styleId="TOC3">
    <w:name w:val="toc 3"/>
    <w:basedOn w:val="Normal"/>
    <w:next w:val="Normal"/>
    <w:autoRedefine/>
    <w:semiHidden/>
    <w:pPr>
      <w:tabs>
        <w:tab w:val="left" w:pos="0"/>
        <w:tab w:val="right" w:leader="dot" w:pos="9628"/>
      </w:tabs>
      <w:ind w:left="360" w:firstLine="180"/>
    </w:pPr>
  </w:style>
  <w:style w:type="character" w:styleId="Hyperlink">
    <w:name w:val="Hyperlink"/>
    <w:rPr>
      <w:color w:val="0000FF"/>
      <w:u w:val="single"/>
    </w:rPr>
  </w:style>
  <w:style w:type="paragraph" w:styleId="Footer">
    <w:name w:val="footer"/>
    <w:basedOn w:val="Normal"/>
    <w:link w:val="FooterChar"/>
    <w:pPr>
      <w:tabs>
        <w:tab w:val="center" w:pos="4819"/>
        <w:tab w:val="right" w:pos="9638"/>
      </w:tabs>
    </w:pPr>
  </w:style>
  <w:style w:type="character" w:styleId="PageNumber">
    <w:name w:val="page number"/>
    <w:basedOn w:val="DefaultParagraphFont"/>
  </w:style>
  <w:style w:type="paragraph" w:styleId="BalloonText">
    <w:name w:val="Balloon Text"/>
    <w:basedOn w:val="Normal"/>
    <w:link w:val="BalloonTextChar"/>
    <w:semiHidden/>
    <w:rPr>
      <w:rFonts w:ascii="Tahoma" w:hAnsi="Tahoma" w:cs="Tahoma"/>
    </w:rPr>
  </w:style>
  <w:style w:type="paragraph" w:customStyle="1" w:styleId="finmingeneral">
    <w:name w:val="finmin general"/>
    <w:basedOn w:val="Normal"/>
    <w:pPr>
      <w:widowControl w:val="0"/>
      <w:numPr>
        <w:numId w:val="1"/>
      </w:numPr>
      <w:tabs>
        <w:tab w:val="left" w:pos="360"/>
      </w:tabs>
      <w:autoSpaceDE w:val="0"/>
      <w:autoSpaceDN w:val="0"/>
      <w:adjustRightInd w:val="0"/>
      <w:spacing w:before="240" w:line="320" w:lineRule="atLeast"/>
      <w:jc w:val="both"/>
    </w:pPr>
    <w:rPr>
      <w:rFonts w:cs="Times New Roman"/>
      <w:szCs w:val="24"/>
      <w:lang w:eastAsia="en-US"/>
    </w:rPr>
  </w:style>
  <w:style w:type="paragraph" w:customStyle="1" w:styleId="finminsub1">
    <w:name w:val="finmin sub 1"/>
    <w:basedOn w:val="finmingeneral"/>
    <w:pPr>
      <w:numPr>
        <w:ilvl w:val="1"/>
      </w:numPr>
      <w:tabs>
        <w:tab w:val="clear" w:pos="360"/>
      </w:tabs>
    </w:pPr>
  </w:style>
  <w:style w:type="character" w:styleId="CommentReference">
    <w:name w:val="annotation reference"/>
    <w:semiHidden/>
    <w:rPr>
      <w:sz w:val="16"/>
      <w:szCs w:val="16"/>
    </w:rPr>
  </w:style>
  <w:style w:type="paragraph" w:styleId="CommentText">
    <w:name w:val="annotation text"/>
    <w:basedOn w:val="Normal"/>
    <w:link w:val="CommentTextChar"/>
    <w:semiHidden/>
    <w:rPr>
      <w:sz w:val="20"/>
      <w:szCs w:val="20"/>
    </w:rPr>
  </w:style>
  <w:style w:type="paragraph" w:styleId="CommentSubject">
    <w:name w:val="annotation subject"/>
    <w:basedOn w:val="CommentText"/>
    <w:next w:val="CommentText"/>
    <w:link w:val="CommentSubjectChar"/>
    <w:semiHidden/>
    <w:rPr>
      <w:b/>
      <w:bCs/>
    </w:rPr>
  </w:style>
  <w:style w:type="character" w:styleId="FollowedHyperlink">
    <w:name w:val="FollowedHyperlink"/>
    <w:rPr>
      <w:color w:val="606420"/>
      <w:u w:val="single"/>
    </w:rPr>
  </w:style>
  <w:style w:type="character" w:customStyle="1" w:styleId="BoldItalic">
    <w:name w:val="Bold Italic"/>
    <w:rPr>
      <w:b/>
      <w:bCs/>
      <w:i/>
      <w:iCs/>
    </w:rPr>
  </w:style>
  <w:style w:type="paragraph" w:customStyle="1" w:styleId="CM16">
    <w:name w:val="CM16"/>
    <w:basedOn w:val="Normal"/>
    <w:next w:val="Normal"/>
    <w:pPr>
      <w:widowControl w:val="0"/>
      <w:autoSpaceDE w:val="0"/>
      <w:autoSpaceDN w:val="0"/>
      <w:adjustRightInd w:val="0"/>
      <w:spacing w:after="243"/>
    </w:pPr>
    <w:rPr>
      <w:rFonts w:cs="Times New Roman"/>
      <w:szCs w:val="24"/>
      <w:lang w:val="en-US" w:eastAsia="en-US"/>
    </w:rPr>
  </w:style>
  <w:style w:type="paragraph" w:customStyle="1" w:styleId="BodyText1">
    <w:name w:val="Body Text1"/>
    <w:pPr>
      <w:widowControl w:val="0"/>
      <w:tabs>
        <w:tab w:val="left" w:pos="397"/>
      </w:tabs>
      <w:ind w:left="397" w:hanging="397"/>
      <w:jc w:val="both"/>
    </w:pPr>
    <w:rPr>
      <w:color w:val="000000"/>
      <w:lang w:val="en-US" w:eastAsia="en-US"/>
    </w:rPr>
  </w:style>
  <w:style w:type="paragraph" w:styleId="BodyText">
    <w:name w:val="Body Text"/>
    <w:basedOn w:val="Normal"/>
    <w:link w:val="BodyTextChar"/>
    <w:pPr>
      <w:spacing w:after="120"/>
    </w:pPr>
    <w:rPr>
      <w:rFonts w:cs="Times New Roman"/>
      <w:sz w:val="20"/>
      <w:szCs w:val="20"/>
      <w:lang w:val="en-US" w:eastAsia="en-US"/>
    </w:rPr>
  </w:style>
  <w:style w:type="paragraph" w:customStyle="1" w:styleId="CM17">
    <w:name w:val="CM17"/>
    <w:basedOn w:val="Normal"/>
    <w:next w:val="Normal"/>
    <w:pPr>
      <w:widowControl w:val="0"/>
      <w:autoSpaceDE w:val="0"/>
      <w:autoSpaceDN w:val="0"/>
      <w:adjustRightInd w:val="0"/>
      <w:spacing w:after="348"/>
    </w:pPr>
    <w:rPr>
      <w:rFonts w:cs="Times New Roman"/>
      <w:szCs w:val="24"/>
      <w:lang w:val="en-US" w:eastAsia="en-US"/>
    </w:rPr>
  </w:style>
  <w:style w:type="paragraph" w:styleId="Header">
    <w:name w:val="header"/>
    <w:basedOn w:val="Normal"/>
    <w:link w:val="HeaderChar"/>
    <w:pPr>
      <w:tabs>
        <w:tab w:val="center" w:pos="4819"/>
        <w:tab w:val="right" w:pos="9638"/>
      </w:tabs>
    </w:pPr>
  </w:style>
  <w:style w:type="paragraph" w:customStyle="1" w:styleId="CharChar1DiagramaCharCharDiagrama">
    <w:name w:val="Char Char1 Diagrama Char Char Diagrama"/>
    <w:basedOn w:val="Normal"/>
    <w:pPr>
      <w:spacing w:after="160" w:line="240" w:lineRule="exact"/>
    </w:pPr>
    <w:rPr>
      <w:rFonts w:ascii="Tahoma" w:hAnsi="Tahoma" w:cs="Times New Roman"/>
      <w:sz w:val="20"/>
      <w:szCs w:val="20"/>
      <w:lang w:val="en-US" w:eastAsia="en-US"/>
    </w:rPr>
  </w:style>
  <w:style w:type="paragraph" w:customStyle="1" w:styleId="CharCharDiagrama">
    <w:name w:val="Char Char Diagrama"/>
    <w:basedOn w:val="Normal"/>
    <w:pPr>
      <w:spacing w:after="160" w:line="240" w:lineRule="exact"/>
    </w:pPr>
    <w:rPr>
      <w:rFonts w:ascii="Tahoma" w:hAnsi="Tahoma" w:cs="Times New Roman"/>
      <w:sz w:val="20"/>
      <w:szCs w:val="20"/>
      <w:lang w:val="en-US" w:eastAsia="en-US"/>
    </w:rPr>
  </w:style>
  <w:style w:type="paragraph" w:styleId="DocumentMap">
    <w:name w:val="Document Map"/>
    <w:basedOn w:val="Normal"/>
    <w:link w:val="DocumentMapChar"/>
    <w:semiHidden/>
    <w:pPr>
      <w:shd w:val="clear" w:color="auto" w:fill="000080"/>
    </w:pPr>
    <w:rPr>
      <w:rFonts w:ascii="Tahoma" w:hAnsi="Tahoma" w:cs="Tahoma"/>
      <w:sz w:val="20"/>
      <w:szCs w:val="20"/>
    </w:rPr>
  </w:style>
  <w:style w:type="paragraph" w:styleId="BlockText">
    <w:name w:val="Block Text"/>
    <w:basedOn w:val="Normal"/>
    <w:pPr>
      <w:ind w:left="1440" w:right="567" w:firstLine="720"/>
      <w:jc w:val="both"/>
    </w:pPr>
    <w:rPr>
      <w:rFonts w:ascii="TimesLT" w:hAnsi="TimesLT" w:cs="Times New Roman"/>
      <w:szCs w:val="20"/>
      <w:lang w:val="en-US" w:eastAsia="en-US"/>
    </w:rPr>
  </w:style>
  <w:style w:type="paragraph" w:styleId="BodyTextIndent">
    <w:name w:val="Body Text Indent"/>
    <w:basedOn w:val="Normal"/>
    <w:link w:val="BodyTextIndentChar"/>
    <w:pPr>
      <w:spacing w:after="120"/>
      <w:ind w:left="283"/>
    </w:pPr>
  </w:style>
  <w:style w:type="paragraph" w:styleId="BodyTextIndent2">
    <w:name w:val="Body Text Indent 2"/>
    <w:basedOn w:val="Normal"/>
    <w:link w:val="BodyTextIndent2Char"/>
    <w:pPr>
      <w:spacing w:after="120" w:line="480" w:lineRule="auto"/>
      <w:ind w:left="283"/>
    </w:pPr>
  </w:style>
  <w:style w:type="paragraph" w:customStyle="1" w:styleId="DiagramaCharCharCharDiagramaCharDiagramaCharCharDiagramaCharCharDiagrama">
    <w:name w:val="Diagrama Char Char Char Diagrama Char Diagrama Char Char Diagrama Char Char Diagrama"/>
    <w:basedOn w:val="Normal"/>
    <w:pPr>
      <w:spacing w:after="160" w:line="240" w:lineRule="exact"/>
    </w:pPr>
    <w:rPr>
      <w:rFonts w:ascii="Tahoma" w:hAnsi="Tahoma" w:cs="Times New Roman"/>
      <w:sz w:val="20"/>
      <w:szCs w:val="20"/>
      <w:lang w:val="en-US" w:eastAsia="en-US"/>
    </w:rPr>
  </w:style>
  <w:style w:type="paragraph" w:styleId="HTMLPreformatted">
    <w:name w:val="HTML Preformatted"/>
    <w:basedOn w:val="Normal"/>
    <w:link w:val="HTMLPreformattedChar"/>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ListBullet">
    <w:name w:val="List Bullet"/>
    <w:basedOn w:val="Normal"/>
    <w:rPr>
      <w:rFonts w:cs="Times New Roman"/>
      <w:sz w:val="22"/>
      <w:szCs w:val="20"/>
      <w:lang w:eastAsia="en-US"/>
    </w:rPr>
  </w:style>
  <w:style w:type="paragraph" w:styleId="FootnoteText">
    <w:name w:val="footnote text"/>
    <w:basedOn w:val="Normal"/>
    <w:link w:val="FootnoteTextChar"/>
    <w:semiHidden/>
    <w:rPr>
      <w:rFonts w:cs="Times New Roman"/>
      <w:sz w:val="20"/>
      <w:szCs w:val="20"/>
      <w:lang w:eastAsia="en-US"/>
    </w:rPr>
  </w:style>
  <w:style w:type="character" w:styleId="FootnoteReference">
    <w:name w:val="footnote reference"/>
    <w:semiHidden/>
    <w:rPr>
      <w:vertAlign w:val="superscript"/>
    </w:rPr>
  </w:style>
  <w:style w:type="table" w:styleId="TableGrid">
    <w:name w:val="Table Grid"/>
    <w:basedOn w:val="TableNormal"/>
    <w:rsid w:val="00FA27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ypewriter">
    <w:name w:val="Typewriter"/>
    <w:rsid w:val="00FA2729"/>
    <w:rPr>
      <w:rFonts w:ascii="Courier New" w:hAnsi="Courier New"/>
      <w:sz w:val="20"/>
    </w:rPr>
  </w:style>
  <w:style w:type="paragraph" w:customStyle="1" w:styleId="Patvirtinta">
    <w:name w:val="Patvirtinta"/>
    <w:rsid w:val="00975942"/>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styleId="PlainText">
    <w:name w:val="Plain Text"/>
    <w:basedOn w:val="Normal"/>
    <w:link w:val="PlainTextChar"/>
    <w:uiPriority w:val="99"/>
    <w:unhideWhenUsed/>
    <w:rsid w:val="004373EE"/>
    <w:pPr>
      <w:spacing w:before="100" w:beforeAutospacing="1" w:after="100" w:afterAutospacing="1"/>
    </w:pPr>
    <w:rPr>
      <w:rFonts w:cs="Times New Roman"/>
      <w:szCs w:val="24"/>
    </w:rPr>
  </w:style>
  <w:style w:type="character" w:customStyle="1" w:styleId="PlainTextChar">
    <w:name w:val="Plain Text Char"/>
    <w:link w:val="PlainText"/>
    <w:uiPriority w:val="99"/>
    <w:rsid w:val="004373EE"/>
    <w:rPr>
      <w:sz w:val="24"/>
      <w:szCs w:val="24"/>
    </w:rPr>
  </w:style>
  <w:style w:type="character" w:customStyle="1" w:styleId="Heading2Char">
    <w:name w:val="Heading 2 Char"/>
    <w:link w:val="Heading2"/>
    <w:rsid w:val="004A7279"/>
    <w:rPr>
      <w:rFonts w:ascii="Arial" w:hAnsi="Arial" w:cs="Arial"/>
      <w:b/>
      <w:bCs/>
      <w:i/>
      <w:iCs/>
      <w:sz w:val="28"/>
      <w:szCs w:val="28"/>
    </w:rPr>
  </w:style>
  <w:style w:type="paragraph" w:customStyle="1" w:styleId="bodytext0">
    <w:name w:val="bodytext"/>
    <w:basedOn w:val="Normal"/>
    <w:rsid w:val="009B487B"/>
    <w:pPr>
      <w:spacing w:before="100" w:beforeAutospacing="1" w:after="100" w:afterAutospacing="1"/>
    </w:pPr>
    <w:rPr>
      <w:rFonts w:cs="Times New Roman"/>
      <w:szCs w:val="24"/>
    </w:rPr>
  </w:style>
  <w:style w:type="character" w:customStyle="1" w:styleId="HTMLPreformattedChar">
    <w:name w:val="HTML Preformatted Char"/>
    <w:link w:val="HTMLPreformatted"/>
    <w:rsid w:val="00ED7748"/>
    <w:rPr>
      <w:rFonts w:ascii="Courier New" w:hAnsi="Courier New" w:cs="Courier New"/>
    </w:rPr>
  </w:style>
  <w:style w:type="character" w:styleId="Strong">
    <w:name w:val="Strong"/>
    <w:uiPriority w:val="22"/>
    <w:qFormat/>
    <w:rsid w:val="00164D10"/>
    <w:rPr>
      <w:b/>
      <w:bCs/>
    </w:rPr>
  </w:style>
  <w:style w:type="character" w:customStyle="1" w:styleId="HeaderChar">
    <w:name w:val="Header Char"/>
    <w:link w:val="Header"/>
    <w:rsid w:val="00D93A96"/>
    <w:rPr>
      <w:rFonts w:cs="Arial"/>
      <w:sz w:val="24"/>
      <w:szCs w:val="16"/>
    </w:rPr>
  </w:style>
  <w:style w:type="character" w:customStyle="1" w:styleId="FooterChar">
    <w:name w:val="Footer Char"/>
    <w:link w:val="Footer"/>
    <w:rsid w:val="002B563C"/>
    <w:rPr>
      <w:rFonts w:cs="Arial"/>
      <w:sz w:val="24"/>
      <w:szCs w:val="16"/>
    </w:rPr>
  </w:style>
  <w:style w:type="paragraph" w:styleId="Revision">
    <w:name w:val="Revision"/>
    <w:hidden/>
    <w:uiPriority w:val="99"/>
    <w:semiHidden/>
    <w:rsid w:val="001E2FF1"/>
    <w:rPr>
      <w:rFonts w:cs="Arial"/>
      <w:sz w:val="24"/>
      <w:szCs w:val="16"/>
    </w:rPr>
  </w:style>
  <w:style w:type="character" w:customStyle="1" w:styleId="Heading1Char">
    <w:name w:val="Heading 1 Char"/>
    <w:aliases w:val="1 Char"/>
    <w:link w:val="Heading1"/>
    <w:rsid w:val="00451956"/>
    <w:rPr>
      <w:rFonts w:ascii="Arial" w:hAnsi="Arial" w:cs="Arial"/>
      <w:b/>
      <w:bCs/>
      <w:kern w:val="32"/>
      <w:sz w:val="32"/>
      <w:szCs w:val="32"/>
    </w:rPr>
  </w:style>
  <w:style w:type="character" w:customStyle="1" w:styleId="Heading3Char">
    <w:name w:val="Heading 3 Char"/>
    <w:link w:val="Heading3"/>
    <w:rsid w:val="00451956"/>
    <w:rPr>
      <w:rFonts w:ascii="Arial" w:hAnsi="Arial" w:cs="Arial"/>
      <w:b/>
      <w:bCs/>
      <w:sz w:val="26"/>
      <w:szCs w:val="26"/>
    </w:rPr>
  </w:style>
  <w:style w:type="character" w:customStyle="1" w:styleId="Heading6Char">
    <w:name w:val="Heading 6 Char"/>
    <w:link w:val="Heading6"/>
    <w:rsid w:val="00451956"/>
    <w:rPr>
      <w:rFonts w:ascii="Arial" w:hAnsi="Arial" w:cs="Arial"/>
      <w:b/>
      <w:bCs/>
      <w:lang w:val="en-US" w:eastAsia="en-US"/>
    </w:rPr>
  </w:style>
  <w:style w:type="character" w:customStyle="1" w:styleId="Heading7Char">
    <w:name w:val="Heading 7 Char"/>
    <w:link w:val="Heading7"/>
    <w:rsid w:val="00451956"/>
    <w:rPr>
      <w:rFonts w:ascii="Arial" w:hAnsi="Arial" w:cs="Arial"/>
      <w:b/>
      <w:bCs/>
      <w:lang w:val="en-GB" w:eastAsia="en-US"/>
    </w:rPr>
  </w:style>
  <w:style w:type="character" w:customStyle="1" w:styleId="BodyText2Char">
    <w:name w:val="Body Text 2 Char"/>
    <w:link w:val="BodyText2"/>
    <w:rsid w:val="00451956"/>
    <w:rPr>
      <w:rFonts w:ascii="Arial" w:hAnsi="Arial" w:cs="Arial"/>
      <w:lang w:val="en-US" w:eastAsia="en-US"/>
    </w:rPr>
  </w:style>
  <w:style w:type="character" w:customStyle="1" w:styleId="BodyText3Char">
    <w:name w:val="Body Text 3 Char"/>
    <w:link w:val="BodyText3"/>
    <w:rsid w:val="00451956"/>
    <w:rPr>
      <w:rFonts w:ascii="Arial" w:hAnsi="Arial" w:cs="Arial"/>
      <w:sz w:val="18"/>
      <w:lang w:val="en-GB" w:eastAsia="en-US"/>
    </w:rPr>
  </w:style>
  <w:style w:type="character" w:customStyle="1" w:styleId="BalloonTextChar">
    <w:name w:val="Balloon Text Char"/>
    <w:link w:val="BalloonText"/>
    <w:semiHidden/>
    <w:rsid w:val="00451956"/>
    <w:rPr>
      <w:rFonts w:ascii="Tahoma" w:hAnsi="Tahoma" w:cs="Tahoma"/>
      <w:sz w:val="24"/>
      <w:szCs w:val="16"/>
    </w:rPr>
  </w:style>
  <w:style w:type="character" w:customStyle="1" w:styleId="CommentTextChar">
    <w:name w:val="Comment Text Char"/>
    <w:link w:val="CommentText"/>
    <w:semiHidden/>
    <w:rsid w:val="00451956"/>
    <w:rPr>
      <w:rFonts w:cs="Arial"/>
    </w:rPr>
  </w:style>
  <w:style w:type="character" w:customStyle="1" w:styleId="CommentSubjectChar">
    <w:name w:val="Comment Subject Char"/>
    <w:link w:val="CommentSubject"/>
    <w:semiHidden/>
    <w:rsid w:val="00451956"/>
    <w:rPr>
      <w:rFonts w:cs="Arial"/>
      <w:b/>
      <w:bCs/>
    </w:rPr>
  </w:style>
  <w:style w:type="character" w:customStyle="1" w:styleId="BodyTextChar">
    <w:name w:val="Body Text Char"/>
    <w:link w:val="BodyText"/>
    <w:rsid w:val="00451956"/>
    <w:rPr>
      <w:lang w:val="en-US" w:eastAsia="en-US"/>
    </w:rPr>
  </w:style>
  <w:style w:type="character" w:customStyle="1" w:styleId="DocumentMapChar">
    <w:name w:val="Document Map Char"/>
    <w:link w:val="DocumentMap"/>
    <w:semiHidden/>
    <w:rsid w:val="00451956"/>
    <w:rPr>
      <w:rFonts w:ascii="Tahoma" w:hAnsi="Tahoma" w:cs="Tahoma"/>
      <w:shd w:val="clear" w:color="auto" w:fill="000080"/>
    </w:rPr>
  </w:style>
  <w:style w:type="character" w:customStyle="1" w:styleId="BodyTextIndentChar">
    <w:name w:val="Body Text Indent Char"/>
    <w:link w:val="BodyTextIndent"/>
    <w:rsid w:val="00451956"/>
    <w:rPr>
      <w:rFonts w:cs="Arial"/>
      <w:sz w:val="24"/>
      <w:szCs w:val="16"/>
    </w:rPr>
  </w:style>
  <w:style w:type="character" w:customStyle="1" w:styleId="BodyTextIndent2Char">
    <w:name w:val="Body Text Indent 2 Char"/>
    <w:link w:val="BodyTextIndent2"/>
    <w:rsid w:val="00451956"/>
    <w:rPr>
      <w:rFonts w:cs="Arial"/>
      <w:sz w:val="24"/>
      <w:szCs w:val="16"/>
    </w:rPr>
  </w:style>
  <w:style w:type="character" w:customStyle="1" w:styleId="FootnoteTextChar">
    <w:name w:val="Footnote Text Char"/>
    <w:link w:val="FootnoteText"/>
    <w:semiHidden/>
    <w:rsid w:val="00451956"/>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545934">
      <w:bodyDiv w:val="1"/>
      <w:marLeft w:val="0"/>
      <w:marRight w:val="0"/>
      <w:marTop w:val="0"/>
      <w:marBottom w:val="0"/>
      <w:divBdr>
        <w:top w:val="none" w:sz="0" w:space="0" w:color="auto"/>
        <w:left w:val="none" w:sz="0" w:space="0" w:color="auto"/>
        <w:bottom w:val="none" w:sz="0" w:space="0" w:color="auto"/>
        <w:right w:val="none" w:sz="0" w:space="0" w:color="auto"/>
      </w:divBdr>
    </w:div>
    <w:div w:id="20782522">
      <w:bodyDiv w:val="1"/>
      <w:marLeft w:val="0"/>
      <w:marRight w:val="0"/>
      <w:marTop w:val="0"/>
      <w:marBottom w:val="0"/>
      <w:divBdr>
        <w:top w:val="none" w:sz="0" w:space="0" w:color="auto"/>
        <w:left w:val="none" w:sz="0" w:space="0" w:color="auto"/>
        <w:bottom w:val="none" w:sz="0" w:space="0" w:color="auto"/>
        <w:right w:val="none" w:sz="0" w:space="0" w:color="auto"/>
      </w:divBdr>
    </w:div>
    <w:div w:id="60759544">
      <w:bodyDiv w:val="1"/>
      <w:marLeft w:val="0"/>
      <w:marRight w:val="0"/>
      <w:marTop w:val="0"/>
      <w:marBottom w:val="0"/>
      <w:divBdr>
        <w:top w:val="none" w:sz="0" w:space="0" w:color="auto"/>
        <w:left w:val="none" w:sz="0" w:space="0" w:color="auto"/>
        <w:bottom w:val="none" w:sz="0" w:space="0" w:color="auto"/>
        <w:right w:val="none" w:sz="0" w:space="0" w:color="auto"/>
      </w:divBdr>
    </w:div>
    <w:div w:id="66852989">
      <w:bodyDiv w:val="1"/>
      <w:marLeft w:val="0"/>
      <w:marRight w:val="0"/>
      <w:marTop w:val="0"/>
      <w:marBottom w:val="0"/>
      <w:divBdr>
        <w:top w:val="none" w:sz="0" w:space="0" w:color="auto"/>
        <w:left w:val="none" w:sz="0" w:space="0" w:color="auto"/>
        <w:bottom w:val="none" w:sz="0" w:space="0" w:color="auto"/>
        <w:right w:val="none" w:sz="0" w:space="0" w:color="auto"/>
      </w:divBdr>
    </w:div>
    <w:div w:id="71126243">
      <w:bodyDiv w:val="1"/>
      <w:marLeft w:val="0"/>
      <w:marRight w:val="0"/>
      <w:marTop w:val="0"/>
      <w:marBottom w:val="0"/>
      <w:divBdr>
        <w:top w:val="none" w:sz="0" w:space="0" w:color="auto"/>
        <w:left w:val="none" w:sz="0" w:space="0" w:color="auto"/>
        <w:bottom w:val="none" w:sz="0" w:space="0" w:color="auto"/>
        <w:right w:val="none" w:sz="0" w:space="0" w:color="auto"/>
      </w:divBdr>
    </w:div>
    <w:div w:id="95255078">
      <w:bodyDiv w:val="1"/>
      <w:marLeft w:val="0"/>
      <w:marRight w:val="0"/>
      <w:marTop w:val="0"/>
      <w:marBottom w:val="0"/>
      <w:divBdr>
        <w:top w:val="none" w:sz="0" w:space="0" w:color="auto"/>
        <w:left w:val="none" w:sz="0" w:space="0" w:color="auto"/>
        <w:bottom w:val="none" w:sz="0" w:space="0" w:color="auto"/>
        <w:right w:val="none" w:sz="0" w:space="0" w:color="auto"/>
      </w:divBdr>
    </w:div>
    <w:div w:id="186451564">
      <w:bodyDiv w:val="1"/>
      <w:marLeft w:val="0"/>
      <w:marRight w:val="0"/>
      <w:marTop w:val="0"/>
      <w:marBottom w:val="0"/>
      <w:divBdr>
        <w:top w:val="none" w:sz="0" w:space="0" w:color="auto"/>
        <w:left w:val="none" w:sz="0" w:space="0" w:color="auto"/>
        <w:bottom w:val="none" w:sz="0" w:space="0" w:color="auto"/>
        <w:right w:val="none" w:sz="0" w:space="0" w:color="auto"/>
      </w:divBdr>
    </w:div>
    <w:div w:id="261962997">
      <w:bodyDiv w:val="1"/>
      <w:marLeft w:val="0"/>
      <w:marRight w:val="0"/>
      <w:marTop w:val="0"/>
      <w:marBottom w:val="0"/>
      <w:divBdr>
        <w:top w:val="none" w:sz="0" w:space="0" w:color="auto"/>
        <w:left w:val="none" w:sz="0" w:space="0" w:color="auto"/>
        <w:bottom w:val="none" w:sz="0" w:space="0" w:color="auto"/>
        <w:right w:val="none" w:sz="0" w:space="0" w:color="auto"/>
      </w:divBdr>
    </w:div>
    <w:div w:id="281763547">
      <w:bodyDiv w:val="1"/>
      <w:marLeft w:val="0"/>
      <w:marRight w:val="0"/>
      <w:marTop w:val="0"/>
      <w:marBottom w:val="0"/>
      <w:divBdr>
        <w:top w:val="none" w:sz="0" w:space="0" w:color="auto"/>
        <w:left w:val="none" w:sz="0" w:space="0" w:color="auto"/>
        <w:bottom w:val="none" w:sz="0" w:space="0" w:color="auto"/>
        <w:right w:val="none" w:sz="0" w:space="0" w:color="auto"/>
      </w:divBdr>
    </w:div>
    <w:div w:id="360472179">
      <w:bodyDiv w:val="1"/>
      <w:marLeft w:val="0"/>
      <w:marRight w:val="0"/>
      <w:marTop w:val="0"/>
      <w:marBottom w:val="0"/>
      <w:divBdr>
        <w:top w:val="none" w:sz="0" w:space="0" w:color="auto"/>
        <w:left w:val="none" w:sz="0" w:space="0" w:color="auto"/>
        <w:bottom w:val="none" w:sz="0" w:space="0" w:color="auto"/>
        <w:right w:val="none" w:sz="0" w:space="0" w:color="auto"/>
      </w:divBdr>
    </w:div>
    <w:div w:id="380985285">
      <w:bodyDiv w:val="1"/>
      <w:marLeft w:val="0"/>
      <w:marRight w:val="0"/>
      <w:marTop w:val="0"/>
      <w:marBottom w:val="0"/>
      <w:divBdr>
        <w:top w:val="none" w:sz="0" w:space="0" w:color="auto"/>
        <w:left w:val="none" w:sz="0" w:space="0" w:color="auto"/>
        <w:bottom w:val="none" w:sz="0" w:space="0" w:color="auto"/>
        <w:right w:val="none" w:sz="0" w:space="0" w:color="auto"/>
      </w:divBdr>
    </w:div>
    <w:div w:id="420838551">
      <w:bodyDiv w:val="1"/>
      <w:marLeft w:val="0"/>
      <w:marRight w:val="0"/>
      <w:marTop w:val="0"/>
      <w:marBottom w:val="0"/>
      <w:divBdr>
        <w:top w:val="none" w:sz="0" w:space="0" w:color="auto"/>
        <w:left w:val="none" w:sz="0" w:space="0" w:color="auto"/>
        <w:bottom w:val="none" w:sz="0" w:space="0" w:color="auto"/>
        <w:right w:val="none" w:sz="0" w:space="0" w:color="auto"/>
      </w:divBdr>
    </w:div>
    <w:div w:id="580716670">
      <w:bodyDiv w:val="1"/>
      <w:marLeft w:val="225"/>
      <w:marRight w:val="225"/>
      <w:marTop w:val="0"/>
      <w:marBottom w:val="0"/>
      <w:divBdr>
        <w:top w:val="none" w:sz="0" w:space="0" w:color="auto"/>
        <w:left w:val="none" w:sz="0" w:space="0" w:color="auto"/>
        <w:bottom w:val="none" w:sz="0" w:space="0" w:color="auto"/>
        <w:right w:val="none" w:sz="0" w:space="0" w:color="auto"/>
      </w:divBdr>
      <w:divsChild>
        <w:div w:id="22021458">
          <w:marLeft w:val="0"/>
          <w:marRight w:val="0"/>
          <w:marTop w:val="0"/>
          <w:marBottom w:val="0"/>
          <w:divBdr>
            <w:top w:val="none" w:sz="0" w:space="0" w:color="auto"/>
            <w:left w:val="none" w:sz="0" w:space="0" w:color="auto"/>
            <w:bottom w:val="none" w:sz="0" w:space="0" w:color="auto"/>
            <w:right w:val="none" w:sz="0" w:space="0" w:color="auto"/>
          </w:divBdr>
        </w:div>
      </w:divsChild>
    </w:div>
    <w:div w:id="796029436">
      <w:bodyDiv w:val="1"/>
      <w:marLeft w:val="225"/>
      <w:marRight w:val="225"/>
      <w:marTop w:val="0"/>
      <w:marBottom w:val="0"/>
      <w:divBdr>
        <w:top w:val="none" w:sz="0" w:space="0" w:color="auto"/>
        <w:left w:val="none" w:sz="0" w:space="0" w:color="auto"/>
        <w:bottom w:val="none" w:sz="0" w:space="0" w:color="auto"/>
        <w:right w:val="none" w:sz="0" w:space="0" w:color="auto"/>
      </w:divBdr>
      <w:divsChild>
        <w:div w:id="2101173045">
          <w:marLeft w:val="0"/>
          <w:marRight w:val="0"/>
          <w:marTop w:val="0"/>
          <w:marBottom w:val="0"/>
          <w:divBdr>
            <w:top w:val="none" w:sz="0" w:space="0" w:color="auto"/>
            <w:left w:val="none" w:sz="0" w:space="0" w:color="auto"/>
            <w:bottom w:val="none" w:sz="0" w:space="0" w:color="auto"/>
            <w:right w:val="none" w:sz="0" w:space="0" w:color="auto"/>
          </w:divBdr>
        </w:div>
      </w:divsChild>
    </w:div>
    <w:div w:id="826434934">
      <w:bodyDiv w:val="1"/>
      <w:marLeft w:val="0"/>
      <w:marRight w:val="0"/>
      <w:marTop w:val="0"/>
      <w:marBottom w:val="0"/>
      <w:divBdr>
        <w:top w:val="none" w:sz="0" w:space="0" w:color="auto"/>
        <w:left w:val="none" w:sz="0" w:space="0" w:color="auto"/>
        <w:bottom w:val="none" w:sz="0" w:space="0" w:color="auto"/>
        <w:right w:val="none" w:sz="0" w:space="0" w:color="auto"/>
      </w:divBdr>
    </w:div>
    <w:div w:id="868840628">
      <w:bodyDiv w:val="1"/>
      <w:marLeft w:val="0"/>
      <w:marRight w:val="0"/>
      <w:marTop w:val="0"/>
      <w:marBottom w:val="0"/>
      <w:divBdr>
        <w:top w:val="none" w:sz="0" w:space="0" w:color="auto"/>
        <w:left w:val="none" w:sz="0" w:space="0" w:color="auto"/>
        <w:bottom w:val="none" w:sz="0" w:space="0" w:color="auto"/>
        <w:right w:val="none" w:sz="0" w:space="0" w:color="auto"/>
      </w:divBdr>
    </w:div>
    <w:div w:id="912011217">
      <w:bodyDiv w:val="1"/>
      <w:marLeft w:val="0"/>
      <w:marRight w:val="0"/>
      <w:marTop w:val="0"/>
      <w:marBottom w:val="0"/>
      <w:divBdr>
        <w:top w:val="none" w:sz="0" w:space="0" w:color="auto"/>
        <w:left w:val="none" w:sz="0" w:space="0" w:color="auto"/>
        <w:bottom w:val="none" w:sz="0" w:space="0" w:color="auto"/>
        <w:right w:val="none" w:sz="0" w:space="0" w:color="auto"/>
      </w:divBdr>
    </w:div>
    <w:div w:id="1037655088">
      <w:bodyDiv w:val="1"/>
      <w:marLeft w:val="0"/>
      <w:marRight w:val="0"/>
      <w:marTop w:val="0"/>
      <w:marBottom w:val="0"/>
      <w:divBdr>
        <w:top w:val="none" w:sz="0" w:space="0" w:color="auto"/>
        <w:left w:val="none" w:sz="0" w:space="0" w:color="auto"/>
        <w:bottom w:val="none" w:sz="0" w:space="0" w:color="auto"/>
        <w:right w:val="none" w:sz="0" w:space="0" w:color="auto"/>
      </w:divBdr>
    </w:div>
    <w:div w:id="1069962346">
      <w:bodyDiv w:val="1"/>
      <w:marLeft w:val="225"/>
      <w:marRight w:val="225"/>
      <w:marTop w:val="0"/>
      <w:marBottom w:val="0"/>
      <w:divBdr>
        <w:top w:val="none" w:sz="0" w:space="0" w:color="auto"/>
        <w:left w:val="none" w:sz="0" w:space="0" w:color="auto"/>
        <w:bottom w:val="none" w:sz="0" w:space="0" w:color="auto"/>
        <w:right w:val="none" w:sz="0" w:space="0" w:color="auto"/>
      </w:divBdr>
      <w:divsChild>
        <w:div w:id="1206521845">
          <w:marLeft w:val="0"/>
          <w:marRight w:val="0"/>
          <w:marTop w:val="0"/>
          <w:marBottom w:val="0"/>
          <w:divBdr>
            <w:top w:val="none" w:sz="0" w:space="0" w:color="auto"/>
            <w:left w:val="none" w:sz="0" w:space="0" w:color="auto"/>
            <w:bottom w:val="none" w:sz="0" w:space="0" w:color="auto"/>
            <w:right w:val="none" w:sz="0" w:space="0" w:color="auto"/>
          </w:divBdr>
        </w:div>
      </w:divsChild>
    </w:div>
    <w:div w:id="1071541174">
      <w:bodyDiv w:val="1"/>
      <w:marLeft w:val="225"/>
      <w:marRight w:val="225"/>
      <w:marTop w:val="0"/>
      <w:marBottom w:val="0"/>
      <w:divBdr>
        <w:top w:val="none" w:sz="0" w:space="0" w:color="auto"/>
        <w:left w:val="none" w:sz="0" w:space="0" w:color="auto"/>
        <w:bottom w:val="none" w:sz="0" w:space="0" w:color="auto"/>
        <w:right w:val="none" w:sz="0" w:space="0" w:color="auto"/>
      </w:divBdr>
      <w:divsChild>
        <w:div w:id="1570119330">
          <w:marLeft w:val="0"/>
          <w:marRight w:val="0"/>
          <w:marTop w:val="0"/>
          <w:marBottom w:val="0"/>
          <w:divBdr>
            <w:top w:val="none" w:sz="0" w:space="0" w:color="auto"/>
            <w:left w:val="none" w:sz="0" w:space="0" w:color="auto"/>
            <w:bottom w:val="none" w:sz="0" w:space="0" w:color="auto"/>
            <w:right w:val="none" w:sz="0" w:space="0" w:color="auto"/>
          </w:divBdr>
        </w:div>
      </w:divsChild>
    </w:div>
    <w:div w:id="1093283260">
      <w:bodyDiv w:val="1"/>
      <w:marLeft w:val="0"/>
      <w:marRight w:val="0"/>
      <w:marTop w:val="0"/>
      <w:marBottom w:val="0"/>
      <w:divBdr>
        <w:top w:val="none" w:sz="0" w:space="0" w:color="auto"/>
        <w:left w:val="none" w:sz="0" w:space="0" w:color="auto"/>
        <w:bottom w:val="none" w:sz="0" w:space="0" w:color="auto"/>
        <w:right w:val="none" w:sz="0" w:space="0" w:color="auto"/>
      </w:divBdr>
    </w:div>
    <w:div w:id="1164393502">
      <w:bodyDiv w:val="1"/>
      <w:marLeft w:val="0"/>
      <w:marRight w:val="0"/>
      <w:marTop w:val="0"/>
      <w:marBottom w:val="0"/>
      <w:divBdr>
        <w:top w:val="none" w:sz="0" w:space="0" w:color="auto"/>
        <w:left w:val="none" w:sz="0" w:space="0" w:color="auto"/>
        <w:bottom w:val="none" w:sz="0" w:space="0" w:color="auto"/>
        <w:right w:val="none" w:sz="0" w:space="0" w:color="auto"/>
      </w:divBdr>
    </w:div>
    <w:div w:id="1165122298">
      <w:bodyDiv w:val="1"/>
      <w:marLeft w:val="0"/>
      <w:marRight w:val="0"/>
      <w:marTop w:val="0"/>
      <w:marBottom w:val="0"/>
      <w:divBdr>
        <w:top w:val="none" w:sz="0" w:space="0" w:color="auto"/>
        <w:left w:val="none" w:sz="0" w:space="0" w:color="auto"/>
        <w:bottom w:val="none" w:sz="0" w:space="0" w:color="auto"/>
        <w:right w:val="none" w:sz="0" w:space="0" w:color="auto"/>
      </w:divBdr>
    </w:div>
    <w:div w:id="1267227487">
      <w:bodyDiv w:val="1"/>
      <w:marLeft w:val="0"/>
      <w:marRight w:val="0"/>
      <w:marTop w:val="0"/>
      <w:marBottom w:val="0"/>
      <w:divBdr>
        <w:top w:val="none" w:sz="0" w:space="0" w:color="auto"/>
        <w:left w:val="none" w:sz="0" w:space="0" w:color="auto"/>
        <w:bottom w:val="none" w:sz="0" w:space="0" w:color="auto"/>
        <w:right w:val="none" w:sz="0" w:space="0" w:color="auto"/>
      </w:divBdr>
    </w:div>
    <w:div w:id="1304386986">
      <w:bodyDiv w:val="1"/>
      <w:marLeft w:val="225"/>
      <w:marRight w:val="225"/>
      <w:marTop w:val="0"/>
      <w:marBottom w:val="0"/>
      <w:divBdr>
        <w:top w:val="none" w:sz="0" w:space="0" w:color="auto"/>
        <w:left w:val="none" w:sz="0" w:space="0" w:color="auto"/>
        <w:bottom w:val="none" w:sz="0" w:space="0" w:color="auto"/>
        <w:right w:val="none" w:sz="0" w:space="0" w:color="auto"/>
      </w:divBdr>
      <w:divsChild>
        <w:div w:id="394402816">
          <w:marLeft w:val="0"/>
          <w:marRight w:val="0"/>
          <w:marTop w:val="0"/>
          <w:marBottom w:val="0"/>
          <w:divBdr>
            <w:top w:val="none" w:sz="0" w:space="0" w:color="auto"/>
            <w:left w:val="none" w:sz="0" w:space="0" w:color="auto"/>
            <w:bottom w:val="none" w:sz="0" w:space="0" w:color="auto"/>
            <w:right w:val="none" w:sz="0" w:space="0" w:color="auto"/>
          </w:divBdr>
        </w:div>
      </w:divsChild>
    </w:div>
    <w:div w:id="1328631234">
      <w:bodyDiv w:val="1"/>
      <w:marLeft w:val="0"/>
      <w:marRight w:val="0"/>
      <w:marTop w:val="0"/>
      <w:marBottom w:val="0"/>
      <w:divBdr>
        <w:top w:val="none" w:sz="0" w:space="0" w:color="auto"/>
        <w:left w:val="none" w:sz="0" w:space="0" w:color="auto"/>
        <w:bottom w:val="none" w:sz="0" w:space="0" w:color="auto"/>
        <w:right w:val="none" w:sz="0" w:space="0" w:color="auto"/>
      </w:divBdr>
    </w:div>
    <w:div w:id="1334256664">
      <w:bodyDiv w:val="1"/>
      <w:marLeft w:val="0"/>
      <w:marRight w:val="0"/>
      <w:marTop w:val="0"/>
      <w:marBottom w:val="0"/>
      <w:divBdr>
        <w:top w:val="none" w:sz="0" w:space="0" w:color="auto"/>
        <w:left w:val="none" w:sz="0" w:space="0" w:color="auto"/>
        <w:bottom w:val="none" w:sz="0" w:space="0" w:color="auto"/>
        <w:right w:val="none" w:sz="0" w:space="0" w:color="auto"/>
      </w:divBdr>
    </w:div>
    <w:div w:id="1360157438">
      <w:bodyDiv w:val="1"/>
      <w:marLeft w:val="0"/>
      <w:marRight w:val="0"/>
      <w:marTop w:val="0"/>
      <w:marBottom w:val="0"/>
      <w:divBdr>
        <w:top w:val="none" w:sz="0" w:space="0" w:color="auto"/>
        <w:left w:val="none" w:sz="0" w:space="0" w:color="auto"/>
        <w:bottom w:val="none" w:sz="0" w:space="0" w:color="auto"/>
        <w:right w:val="none" w:sz="0" w:space="0" w:color="auto"/>
      </w:divBdr>
    </w:div>
    <w:div w:id="1376925096">
      <w:bodyDiv w:val="1"/>
      <w:marLeft w:val="0"/>
      <w:marRight w:val="0"/>
      <w:marTop w:val="0"/>
      <w:marBottom w:val="0"/>
      <w:divBdr>
        <w:top w:val="none" w:sz="0" w:space="0" w:color="auto"/>
        <w:left w:val="none" w:sz="0" w:space="0" w:color="auto"/>
        <w:bottom w:val="none" w:sz="0" w:space="0" w:color="auto"/>
        <w:right w:val="none" w:sz="0" w:space="0" w:color="auto"/>
      </w:divBdr>
    </w:div>
    <w:div w:id="1396851442">
      <w:bodyDiv w:val="1"/>
      <w:marLeft w:val="0"/>
      <w:marRight w:val="0"/>
      <w:marTop w:val="0"/>
      <w:marBottom w:val="0"/>
      <w:divBdr>
        <w:top w:val="none" w:sz="0" w:space="0" w:color="auto"/>
        <w:left w:val="none" w:sz="0" w:space="0" w:color="auto"/>
        <w:bottom w:val="none" w:sz="0" w:space="0" w:color="auto"/>
        <w:right w:val="none" w:sz="0" w:space="0" w:color="auto"/>
      </w:divBdr>
    </w:div>
    <w:div w:id="1458789778">
      <w:bodyDiv w:val="1"/>
      <w:marLeft w:val="0"/>
      <w:marRight w:val="0"/>
      <w:marTop w:val="0"/>
      <w:marBottom w:val="0"/>
      <w:divBdr>
        <w:top w:val="none" w:sz="0" w:space="0" w:color="auto"/>
        <w:left w:val="none" w:sz="0" w:space="0" w:color="auto"/>
        <w:bottom w:val="none" w:sz="0" w:space="0" w:color="auto"/>
        <w:right w:val="none" w:sz="0" w:space="0" w:color="auto"/>
      </w:divBdr>
    </w:div>
    <w:div w:id="1674523958">
      <w:bodyDiv w:val="1"/>
      <w:marLeft w:val="225"/>
      <w:marRight w:val="225"/>
      <w:marTop w:val="0"/>
      <w:marBottom w:val="0"/>
      <w:divBdr>
        <w:top w:val="none" w:sz="0" w:space="0" w:color="auto"/>
        <w:left w:val="none" w:sz="0" w:space="0" w:color="auto"/>
        <w:bottom w:val="none" w:sz="0" w:space="0" w:color="auto"/>
        <w:right w:val="none" w:sz="0" w:space="0" w:color="auto"/>
      </w:divBdr>
      <w:divsChild>
        <w:div w:id="1448309070">
          <w:marLeft w:val="0"/>
          <w:marRight w:val="0"/>
          <w:marTop w:val="0"/>
          <w:marBottom w:val="0"/>
          <w:divBdr>
            <w:top w:val="none" w:sz="0" w:space="0" w:color="auto"/>
            <w:left w:val="none" w:sz="0" w:space="0" w:color="auto"/>
            <w:bottom w:val="none" w:sz="0" w:space="0" w:color="auto"/>
            <w:right w:val="none" w:sz="0" w:space="0" w:color="auto"/>
          </w:divBdr>
        </w:div>
      </w:divsChild>
    </w:div>
    <w:div w:id="1720008854">
      <w:bodyDiv w:val="1"/>
      <w:marLeft w:val="0"/>
      <w:marRight w:val="0"/>
      <w:marTop w:val="0"/>
      <w:marBottom w:val="0"/>
      <w:divBdr>
        <w:top w:val="none" w:sz="0" w:space="0" w:color="auto"/>
        <w:left w:val="none" w:sz="0" w:space="0" w:color="auto"/>
        <w:bottom w:val="none" w:sz="0" w:space="0" w:color="auto"/>
        <w:right w:val="none" w:sz="0" w:space="0" w:color="auto"/>
      </w:divBdr>
    </w:div>
    <w:div w:id="1759522782">
      <w:bodyDiv w:val="1"/>
      <w:marLeft w:val="0"/>
      <w:marRight w:val="0"/>
      <w:marTop w:val="0"/>
      <w:marBottom w:val="0"/>
      <w:divBdr>
        <w:top w:val="none" w:sz="0" w:space="0" w:color="auto"/>
        <w:left w:val="none" w:sz="0" w:space="0" w:color="auto"/>
        <w:bottom w:val="none" w:sz="0" w:space="0" w:color="auto"/>
        <w:right w:val="none" w:sz="0" w:space="0" w:color="auto"/>
      </w:divBdr>
    </w:div>
    <w:div w:id="1780417658">
      <w:bodyDiv w:val="1"/>
      <w:marLeft w:val="0"/>
      <w:marRight w:val="0"/>
      <w:marTop w:val="0"/>
      <w:marBottom w:val="0"/>
      <w:divBdr>
        <w:top w:val="none" w:sz="0" w:space="0" w:color="auto"/>
        <w:left w:val="none" w:sz="0" w:space="0" w:color="auto"/>
        <w:bottom w:val="none" w:sz="0" w:space="0" w:color="auto"/>
        <w:right w:val="none" w:sz="0" w:space="0" w:color="auto"/>
      </w:divBdr>
    </w:div>
    <w:div w:id="1938755413">
      <w:bodyDiv w:val="1"/>
      <w:marLeft w:val="0"/>
      <w:marRight w:val="0"/>
      <w:marTop w:val="0"/>
      <w:marBottom w:val="0"/>
      <w:divBdr>
        <w:top w:val="none" w:sz="0" w:space="0" w:color="auto"/>
        <w:left w:val="none" w:sz="0" w:space="0" w:color="auto"/>
        <w:bottom w:val="none" w:sz="0" w:space="0" w:color="auto"/>
        <w:right w:val="none" w:sz="0" w:space="0" w:color="auto"/>
      </w:divBdr>
      <w:divsChild>
        <w:div w:id="350382090">
          <w:marLeft w:val="0"/>
          <w:marRight w:val="0"/>
          <w:marTop w:val="0"/>
          <w:marBottom w:val="0"/>
          <w:divBdr>
            <w:top w:val="none" w:sz="0" w:space="0" w:color="auto"/>
            <w:left w:val="none" w:sz="0" w:space="0" w:color="auto"/>
            <w:bottom w:val="none" w:sz="0" w:space="0" w:color="auto"/>
            <w:right w:val="none" w:sz="0" w:space="0" w:color="auto"/>
          </w:divBdr>
          <w:divsChild>
            <w:div w:id="1733655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8805060">
      <w:bodyDiv w:val="1"/>
      <w:marLeft w:val="0"/>
      <w:marRight w:val="0"/>
      <w:marTop w:val="0"/>
      <w:marBottom w:val="0"/>
      <w:divBdr>
        <w:top w:val="none" w:sz="0" w:space="0" w:color="auto"/>
        <w:left w:val="none" w:sz="0" w:space="0" w:color="auto"/>
        <w:bottom w:val="none" w:sz="0" w:space="0" w:color="auto"/>
        <w:right w:val="none" w:sz="0" w:space="0" w:color="auto"/>
      </w:divBdr>
    </w:div>
    <w:div w:id="2036230612">
      <w:bodyDiv w:val="1"/>
      <w:marLeft w:val="0"/>
      <w:marRight w:val="0"/>
      <w:marTop w:val="0"/>
      <w:marBottom w:val="0"/>
      <w:divBdr>
        <w:top w:val="none" w:sz="0" w:space="0" w:color="auto"/>
        <w:left w:val="none" w:sz="0" w:space="0" w:color="auto"/>
        <w:bottom w:val="none" w:sz="0" w:space="0" w:color="auto"/>
        <w:right w:val="none" w:sz="0" w:space="0" w:color="auto"/>
      </w:divBdr>
    </w:div>
    <w:div w:id="2088770052">
      <w:bodyDiv w:val="1"/>
      <w:marLeft w:val="0"/>
      <w:marRight w:val="0"/>
      <w:marTop w:val="0"/>
      <w:marBottom w:val="0"/>
      <w:divBdr>
        <w:top w:val="none" w:sz="0" w:space="0" w:color="auto"/>
        <w:left w:val="none" w:sz="0" w:space="0" w:color="auto"/>
        <w:bottom w:val="none" w:sz="0" w:space="0" w:color="auto"/>
        <w:right w:val="none" w:sz="0" w:space="0" w:color="auto"/>
      </w:divBdr>
    </w:div>
    <w:div w:id="2091342058">
      <w:bodyDiv w:val="1"/>
      <w:marLeft w:val="225"/>
      <w:marRight w:val="225"/>
      <w:marTop w:val="0"/>
      <w:marBottom w:val="0"/>
      <w:divBdr>
        <w:top w:val="none" w:sz="0" w:space="0" w:color="auto"/>
        <w:left w:val="none" w:sz="0" w:space="0" w:color="auto"/>
        <w:bottom w:val="none" w:sz="0" w:space="0" w:color="auto"/>
        <w:right w:val="none" w:sz="0" w:space="0" w:color="auto"/>
      </w:divBdr>
      <w:divsChild>
        <w:div w:id="54548597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endnotes.xml"
                 Type="http://schemas.openxmlformats.org/officeDocument/2006/relationships/endnotes"/>
   <Relationship Id="rId11"
                 Target="http://www.litlex.lt/scripts/sarasas2.dll?Tekstas=1&amp;Id=48635&amp;Zd=IGNALINOS%2BIR%2BFONDO%2BIR%2B%C1STATYMAS&amp;Vr=5"
                 TargetMode="External"
                 Type="http://schemas.openxmlformats.org/officeDocument/2006/relationships/hyperlink"/>
   <Relationship Id="rId12" Target="header1.xml"
                 Type="http://schemas.openxmlformats.org/officeDocument/2006/relationships/header"/>
   <Relationship Id="rId13" Target="header2.xml"
                 Type="http://schemas.openxmlformats.org/officeDocument/2006/relationships/header"/>
   <Relationship Id="rId14" Target="footer1.xml"
                 Type="http://schemas.openxmlformats.org/officeDocument/2006/relationships/footer"/>
   <Relationship Id="rId15" Target="fontTable.xml"
                 Type="http://schemas.openxmlformats.org/officeDocument/2006/relationships/fontTable"/>
   <Relationship Id="rId16" Target="theme/theme1.xml"
                 Type="http://schemas.openxmlformats.org/officeDocument/2006/relationships/theme"/>
   <Relationship Id="rId2" Target="../customXml/item2.xml"
                 Type="http://schemas.openxmlformats.org/officeDocument/2006/relationships/customXml"/>
   <Relationship Id="rId3" Target="../customXml/item3.xml"
                 Type="http://schemas.openxmlformats.org/officeDocument/2006/relationships/customXml"/>
   <Relationship Id="rId4" Target="../customXml/item4.xml"
                 Type="http://schemas.openxmlformats.org/officeDocument/2006/relationships/customXml"/>
   <Relationship Id="rId5" Target="numbering.xml"
                 Type="http://schemas.openxmlformats.org/officeDocument/2006/relationships/numbering"/>
   <Relationship Id="rId6" Target="styles.xml"
                 Type="http://schemas.openxmlformats.org/officeDocument/2006/relationships/styles"/>
   <Relationship Id="rId7" Target="settings.xml"
                 Type="http://schemas.openxmlformats.org/officeDocument/2006/relationships/settings"/>
   <Relationship Id="rId8" Target="webSettings.xml"
                 Type="http://schemas.openxmlformats.org/officeDocument/2006/relationships/webSettings"/>
   <Relationship Id="rId9" Target="footnotes.xml"
                 Type="http://schemas.openxmlformats.org/officeDocument/2006/relationships/footnotes"/>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yes"?>
<Relationships xmlns="http://schemas.openxmlformats.org/package/2006/relationships">
   <Relationship Id="rId1" Target="itemProps3.xml"
                 Type="http://schemas.openxmlformats.org/officeDocument/2006/relationships/customXmlProps"/>
</Relationships>
</file>

<file path=customXml/_rels/item4.xml.rels><?xml version="1.0" encoding="UTF-8" standalone="yes"?>
<Relationships xmlns="http://schemas.openxmlformats.org/package/2006/relationships">
   <Relationship Id="rId1" Target="itemProps4.xml"
                 Type="http://schemas.openxmlformats.org/officeDocument/2006/relationships/customXmlProps"/>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CEEC09998B21144E8648D4F5A3350EFB" ma:contentTypeVersion="13" ma:contentTypeDescription="Kurkite naują dokumentą." ma:contentTypeScope="" ma:versionID="efb27ba6320c66fe1eb3cffd70a9d631">
  <xsd:schema xmlns:xsd="http://www.w3.org/2001/XMLSchema" xmlns:xs="http://www.w3.org/2001/XMLSchema" xmlns:p="http://schemas.microsoft.com/office/2006/metadata/properties" xmlns:ns3="7e1cde7d-1d3d-42a6-b142-3e8b75033348" xmlns:ns4="d2426d7b-0fc7-434c-bfb8-842f1e3498f8" targetNamespace="http://schemas.microsoft.com/office/2006/metadata/properties" ma:root="true" ma:fieldsID="d48fe9cb2918ef626f275774b60d79d9" ns3:_="" ns4:_="">
    <xsd:import namespace="7e1cde7d-1d3d-42a6-b142-3e8b75033348"/>
    <xsd:import namespace="d2426d7b-0fc7-434c-bfb8-842f1e3498f8"/>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GenerationTime" minOccurs="0"/>
                <xsd:element ref="ns4:MediaServiceEventHashCode" minOccurs="0"/>
                <xsd:element ref="ns4:MediaServiceDateTaken" minOccurs="0"/>
                <xsd:element ref="ns4:MediaServiceOCR"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1cde7d-1d3d-42a6-b142-3e8b75033348" elementFormDefault="qualified">
    <xsd:import namespace="http://schemas.microsoft.com/office/2006/documentManagement/types"/>
    <xsd:import namespace="http://schemas.microsoft.com/office/infopath/2007/PartnerControls"/>
    <xsd:element name="SharedWithUsers" ma:index="8" nillable="true" ma:displayName="Bendrinama su"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description="" ma:internalName="SharedWithDetails" ma:readOnly="true">
      <xsd:simpleType>
        <xsd:restriction base="dms:Note">
          <xsd:maxLength value="255"/>
        </xsd:restriction>
      </xsd:simpleType>
    </xsd:element>
    <xsd:element name="SharingHintHash" ma:index="10" nillable="true" ma:displayName="Bendrinimo užuominos maiša"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2426d7b-0fc7-434c-bfb8-842f1e3498f8"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B80F3DA-90DC-4825-90EB-3E52CFD6902C}">
  <ds:schemaRefs>
    <ds:schemaRef ds:uri="http://schemas.microsoft.com/sharepoint/v3/contenttype/forms"/>
  </ds:schemaRefs>
</ds:datastoreItem>
</file>

<file path=customXml/itemProps2.xml><?xml version="1.0" encoding="utf-8"?>
<ds:datastoreItem xmlns:ds="http://schemas.openxmlformats.org/officeDocument/2006/customXml" ds:itemID="{6FEEC4EB-76A5-438B-B85E-A97AE07AC3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1cde7d-1d3d-42a6-b142-3e8b75033348"/>
    <ds:schemaRef ds:uri="d2426d7b-0fc7-434c-bfb8-842f1e3498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169E977-5D4A-4353-9CF6-79AA20A5EC76}">
  <ds:schemaRefs>
    <ds:schemaRef ds:uri="http://schemas.openxmlformats.org/officeDocument/2006/bibliography"/>
  </ds:schemaRefs>
</ds:datastoreItem>
</file>

<file path=customXml/itemProps4.xml><?xml version="1.0" encoding="utf-8"?>
<ds:datastoreItem xmlns:ds="http://schemas.openxmlformats.org/officeDocument/2006/customXml" ds:itemID="{837C1462-D8DE-4C06-8F99-0596291594D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24</Pages>
  <Words>41916</Words>
  <Characters>23893</Characters>
  <Application>Microsoft Office Word</Application>
  <DocSecurity>0</DocSecurity>
  <Lines>199</Lines>
  <Paragraphs>131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Išteklių fondų apskaitos vadovas</vt:lpstr>
      <vt:lpstr>Išteklių fondų apskaitos vadovas</vt:lpstr>
    </vt:vector>
  </TitlesOfParts>
  <Company>Finansų ministerija</Company>
  <LinksUpToDate>false</LinksUpToDate>
  <CharactersWithSpaces>65678</CharactersWithSpaces>
  <SharedDoc>false</SharedDoc>
  <HLinks>
    <vt:vector size="12" baseType="variant">
      <vt:variant>
        <vt:i4>4718656</vt:i4>
      </vt:variant>
      <vt:variant>
        <vt:i4>3</vt:i4>
      </vt:variant>
      <vt:variant>
        <vt:i4>0</vt:i4>
      </vt:variant>
      <vt:variant>
        <vt:i4>5</vt:i4>
      </vt:variant>
      <vt:variant>
        <vt:lpwstr>http://www.litlex.lt/scripts/sarasas2.dll?Tekstas=1&amp;Id=48635&amp;Zd=IGNALINOS%2BIR%2BFONDO%2BIR%2B%C1STATYMAS&amp;Vr=5</vt:lpwstr>
      </vt:variant>
      <vt:variant>
        <vt:lpwstr>76z</vt:lpwstr>
      </vt:variant>
      <vt:variant>
        <vt:i4>4915264</vt:i4>
      </vt:variant>
      <vt:variant>
        <vt:i4>0</vt:i4>
      </vt:variant>
      <vt:variant>
        <vt:i4>0</vt:i4>
      </vt:variant>
      <vt:variant>
        <vt:i4>5</vt:i4>
      </vt:variant>
      <vt:variant>
        <vt:lpwstr>http://www.litlex.lt/scripts/sarasas2.dll?Tekstas=1&amp;Id=48635&amp;Zd=IGNALINOS%2BIR%2BFONDO%2BIR%2B%C1STATYMAS&amp;Vr=5</vt:lpwstr>
      </vt:variant>
      <vt:variant>
        <vt:lpwstr>75z</vt:lpwstr>
      </vt:variant>
    </vt:vector>
  </HLinks>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2020-07-31T08:21:00Z</dcterms:created>
  <dc:creator>Ingrida Muckutė</dc:creator>
  <cp:lastModifiedBy>Patricija Ceiko</cp:lastModifiedBy>
  <cp:lastPrinted>2020-03-23T10:30:00Z</cp:lastPrinted>
  <dcterms:modified xsi:type="dcterms:W3CDTF">2020-07-31T08:21:00Z</dcterms:modified>
  <cp:revision>2</cp:revision>
  <dc:title>Išteklių fondų apskaitos vadovas</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0x010100CEEC09998B21144E8648D4F5A3350EFB</vt:lpwstr>
  </property>
</Properties>
</file>