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FD615" w14:textId="68EF0C70" w:rsidR="005807FB" w:rsidRPr="0042797B" w:rsidRDefault="6A0E237D" w:rsidP="6A0E237D">
      <w:pPr>
        <w:jc w:val="center"/>
        <w:rPr>
          <w:rFonts w:ascii="Times New Roman" w:hAnsi="Times New Roman" w:cs="Times New Roman"/>
          <w:b/>
          <w:bCs/>
          <w:caps/>
          <w:color w:val="000000" w:themeColor="text1"/>
          <w:sz w:val="24"/>
          <w:szCs w:val="24"/>
          <w:lang w:val="lt-LT"/>
        </w:rPr>
      </w:pPr>
      <w:r w:rsidRPr="6A0E237D">
        <w:rPr>
          <w:rFonts w:ascii="Times New Roman" w:hAnsi="Times New Roman" w:cs="Times New Roman"/>
          <w:b/>
          <w:bCs/>
          <w:sz w:val="24"/>
          <w:szCs w:val="24"/>
          <w:lang w:val="lt-LT" w:eastAsia="lt-LT"/>
        </w:rPr>
        <w:t>LIETUVOS RESPUBLIKOS VYRIAUSYBĖS NUTARIMO „</w:t>
      </w:r>
      <w:r w:rsidRPr="6A0E237D">
        <w:rPr>
          <w:rFonts w:ascii="Times New Roman" w:hAnsi="Times New Roman" w:cs="Times New Roman"/>
          <w:b/>
          <w:bCs/>
          <w:caps/>
          <w:sz w:val="24"/>
          <w:szCs w:val="24"/>
          <w:lang w:val="lt-LT"/>
        </w:rPr>
        <w:t xml:space="preserve">dėl </w:t>
      </w:r>
      <w:r w:rsidRPr="6A0E237D">
        <w:rPr>
          <w:rFonts w:ascii="Times New Roman" w:hAnsi="Times New Roman" w:cs="Times New Roman"/>
          <w:b/>
          <w:bCs/>
          <w:sz w:val="24"/>
          <w:szCs w:val="24"/>
          <w:lang w:val="lt-LT"/>
        </w:rPr>
        <w:t xml:space="preserve">LIETUVOS RESPUBLIKOS ŠVIETIMO ĮSTATYMO NR. I-1489 5, 14, 21, 29, 30, 34 IR 36 </w:t>
      </w:r>
      <w:r w:rsidRPr="6A0E237D">
        <w:rPr>
          <w:rFonts w:ascii="Times New Roman" w:hAnsi="Times New Roman" w:cs="Times New Roman"/>
          <w:b/>
          <w:bCs/>
          <w:caps/>
          <w:sz w:val="24"/>
          <w:szCs w:val="24"/>
          <w:lang w:val="lt-LT"/>
        </w:rPr>
        <w:t>STRAIPSNIŲ PAKEITIMO IR ĮSTATYMO PAPILDYMO 45</w:t>
      </w:r>
      <w:r w:rsidRPr="6A0E237D">
        <w:rPr>
          <w:rFonts w:ascii="Times New Roman" w:hAnsi="Times New Roman" w:cs="Times New Roman"/>
          <w:b/>
          <w:bCs/>
          <w:caps/>
          <w:sz w:val="24"/>
          <w:szCs w:val="24"/>
          <w:vertAlign w:val="superscript"/>
          <w:lang w:val="lt-LT"/>
        </w:rPr>
        <w:t xml:space="preserve">1 </w:t>
      </w:r>
      <w:r w:rsidRPr="6A0E237D">
        <w:rPr>
          <w:rFonts w:ascii="Times New Roman" w:hAnsi="Times New Roman" w:cs="Times New Roman"/>
          <w:b/>
          <w:bCs/>
          <w:caps/>
          <w:sz w:val="24"/>
          <w:szCs w:val="24"/>
          <w:lang w:val="lt-LT"/>
        </w:rPr>
        <w:t>straipsniu ĮSTATYMO</w:t>
      </w:r>
      <w:r w:rsidRPr="6A0E237D">
        <w:rPr>
          <w:rFonts w:ascii="Times New Roman" w:hAnsi="Times New Roman" w:cs="Times New Roman"/>
          <w:b/>
          <w:bCs/>
          <w:sz w:val="24"/>
          <w:szCs w:val="24"/>
          <w:lang w:val="lt-LT"/>
        </w:rPr>
        <w:t xml:space="preserve"> PROJEKTO</w:t>
      </w:r>
      <w:r w:rsidRPr="6A0E237D">
        <w:rPr>
          <w:rFonts w:ascii="Times New Roman" w:hAnsi="Times New Roman" w:cs="Times New Roman"/>
          <w:b/>
          <w:bCs/>
          <w:caps/>
          <w:color w:val="000000" w:themeColor="text1"/>
          <w:sz w:val="24"/>
          <w:szCs w:val="24"/>
          <w:lang w:val="lt-LT"/>
        </w:rPr>
        <w:t>“  PROJEKTO</w:t>
      </w:r>
    </w:p>
    <w:p w14:paraId="2864C988" w14:textId="77777777" w:rsidR="005807FB" w:rsidRPr="0042797B" w:rsidRDefault="6A0E237D" w:rsidP="6A0E237D">
      <w:pPr>
        <w:jc w:val="center"/>
        <w:rPr>
          <w:rFonts w:ascii="Times New Roman" w:hAnsi="Times New Roman" w:cs="Times New Roman"/>
          <w:caps/>
          <w:sz w:val="24"/>
          <w:szCs w:val="24"/>
          <w:lang w:val="lt-LT"/>
        </w:rPr>
      </w:pPr>
      <w:r w:rsidRPr="6A0E237D">
        <w:rPr>
          <w:rFonts w:ascii="Times New Roman" w:hAnsi="Times New Roman" w:cs="Times New Roman"/>
          <w:caps/>
          <w:sz w:val="24"/>
          <w:szCs w:val="24"/>
          <w:lang w:val="lt-LT"/>
        </w:rPr>
        <w:t>Derinimo pažyma</w:t>
      </w:r>
    </w:p>
    <w:p w14:paraId="3D944172" w14:textId="77777777" w:rsidR="005807FB" w:rsidRPr="0042797B" w:rsidRDefault="005807FB" w:rsidP="6A0E237D">
      <w:pPr>
        <w:rPr>
          <w:rFonts w:ascii="Times New Roman" w:hAnsi="Times New Roman" w:cs="Times New Roman"/>
          <w:sz w:val="24"/>
          <w:szCs w:val="24"/>
          <w:lang w:val="lt-LT"/>
        </w:rPr>
      </w:pPr>
    </w:p>
    <w:tbl>
      <w:tblPr>
        <w:tblStyle w:val="Lentelstinklelis"/>
        <w:tblW w:w="10774" w:type="dxa"/>
        <w:tblInd w:w="-998" w:type="dxa"/>
        <w:tblLayout w:type="fixed"/>
        <w:tblLook w:val="04A0" w:firstRow="1" w:lastRow="0" w:firstColumn="1" w:lastColumn="0" w:noHBand="0" w:noVBand="1"/>
      </w:tblPr>
      <w:tblGrid>
        <w:gridCol w:w="1770"/>
        <w:gridCol w:w="4326"/>
        <w:gridCol w:w="4678"/>
      </w:tblGrid>
      <w:tr w:rsidR="005807FB" w:rsidRPr="0042797B" w14:paraId="5D464BB9" w14:textId="77777777" w:rsidTr="00B62347">
        <w:tc>
          <w:tcPr>
            <w:tcW w:w="1770" w:type="dxa"/>
          </w:tcPr>
          <w:p w14:paraId="7B9F807C" w14:textId="77777777" w:rsidR="005807FB" w:rsidRPr="0042797B" w:rsidRDefault="6A0E237D" w:rsidP="6A0E237D">
            <w:pPr>
              <w:jc w:val="center"/>
              <w:rPr>
                <w:rFonts w:ascii="Times New Roman" w:hAnsi="Times New Roman" w:cs="Times New Roman"/>
                <w:b/>
                <w:bCs/>
                <w:sz w:val="24"/>
                <w:szCs w:val="24"/>
                <w:lang w:val="lt-LT"/>
              </w:rPr>
            </w:pPr>
            <w:r w:rsidRPr="6A0E237D">
              <w:rPr>
                <w:rFonts w:ascii="Times New Roman" w:hAnsi="Times New Roman" w:cs="Times New Roman"/>
                <w:b/>
                <w:bCs/>
                <w:sz w:val="24"/>
                <w:szCs w:val="24"/>
                <w:lang w:val="lt-LT"/>
              </w:rPr>
              <w:t>Institucijos pavadinimas, rašto data ir numeris</w:t>
            </w:r>
          </w:p>
        </w:tc>
        <w:tc>
          <w:tcPr>
            <w:tcW w:w="4326" w:type="dxa"/>
          </w:tcPr>
          <w:p w14:paraId="31111F97" w14:textId="77777777" w:rsidR="005807FB" w:rsidRPr="0042797B" w:rsidRDefault="6A0E237D" w:rsidP="6A0E237D">
            <w:pPr>
              <w:ind w:right="69"/>
              <w:jc w:val="center"/>
              <w:rPr>
                <w:rFonts w:ascii="Times New Roman" w:hAnsi="Times New Roman" w:cs="Times New Roman"/>
                <w:b/>
                <w:bCs/>
                <w:sz w:val="24"/>
                <w:szCs w:val="24"/>
                <w:lang w:val="lt-LT"/>
              </w:rPr>
            </w:pPr>
            <w:r w:rsidRPr="6A0E237D">
              <w:rPr>
                <w:rFonts w:ascii="Times New Roman" w:hAnsi="Times New Roman" w:cs="Times New Roman"/>
                <w:b/>
                <w:bCs/>
                <w:sz w:val="24"/>
                <w:szCs w:val="24"/>
                <w:lang w:val="lt-LT"/>
              </w:rPr>
              <w:t>Pastabos ir pasiūlymai</w:t>
            </w:r>
          </w:p>
        </w:tc>
        <w:tc>
          <w:tcPr>
            <w:tcW w:w="4678" w:type="dxa"/>
          </w:tcPr>
          <w:p w14:paraId="78F5B826" w14:textId="77777777" w:rsidR="005807FB" w:rsidRPr="0042797B" w:rsidRDefault="6A0E237D" w:rsidP="6A0E237D">
            <w:pPr>
              <w:ind w:firstLine="119"/>
              <w:jc w:val="center"/>
              <w:rPr>
                <w:rFonts w:ascii="Times New Roman" w:hAnsi="Times New Roman" w:cs="Times New Roman"/>
                <w:b/>
                <w:bCs/>
                <w:sz w:val="24"/>
                <w:szCs w:val="24"/>
                <w:lang w:val="lt-LT"/>
              </w:rPr>
            </w:pPr>
            <w:r w:rsidRPr="6A0E237D">
              <w:rPr>
                <w:rFonts w:ascii="Times New Roman" w:hAnsi="Times New Roman" w:cs="Times New Roman"/>
                <w:b/>
                <w:bCs/>
                <w:sz w:val="24"/>
                <w:szCs w:val="24"/>
                <w:lang w:val="lt-LT"/>
              </w:rPr>
              <w:t>Žyma apie priimtas ar nepriimtas (nurodyti motyvus) pastabas ir pasiūlymus</w:t>
            </w:r>
          </w:p>
          <w:p w14:paraId="05A670E9" w14:textId="77777777" w:rsidR="005807FB" w:rsidRPr="0042797B" w:rsidRDefault="6A0E237D" w:rsidP="6A0E237D">
            <w:pPr>
              <w:jc w:val="center"/>
              <w:rPr>
                <w:rFonts w:ascii="Times New Roman" w:hAnsi="Times New Roman" w:cs="Times New Roman"/>
                <w:b/>
                <w:bCs/>
                <w:sz w:val="24"/>
                <w:szCs w:val="24"/>
                <w:lang w:val="lt-LT"/>
              </w:rPr>
            </w:pPr>
            <w:r w:rsidRPr="6A0E237D">
              <w:rPr>
                <w:rFonts w:ascii="Times New Roman" w:hAnsi="Times New Roman" w:cs="Times New Roman"/>
                <w:b/>
                <w:bCs/>
                <w:sz w:val="24"/>
                <w:szCs w:val="24"/>
                <w:lang w:val="lt-LT"/>
              </w:rPr>
              <w:t>(pildo projekto pateikėjas)</w:t>
            </w:r>
          </w:p>
        </w:tc>
      </w:tr>
      <w:tr w:rsidR="000F159E" w:rsidRPr="0042797B" w14:paraId="51F9249B" w14:textId="77777777" w:rsidTr="00B62347">
        <w:tc>
          <w:tcPr>
            <w:tcW w:w="1770" w:type="dxa"/>
            <w:vMerge w:val="restart"/>
          </w:tcPr>
          <w:p w14:paraId="6CD3D112" w14:textId="77777777" w:rsidR="000F159E" w:rsidRPr="0042797B" w:rsidRDefault="6A0E237D" w:rsidP="6A0E237D">
            <w:pPr>
              <w:jc w:val="center"/>
              <w:rPr>
                <w:rFonts w:ascii="Times New Roman" w:hAnsi="Times New Roman" w:cs="Times New Roman"/>
                <w:b/>
                <w:bCs/>
                <w:sz w:val="24"/>
                <w:szCs w:val="24"/>
                <w:lang w:val="lt-LT"/>
              </w:rPr>
            </w:pPr>
            <w:r w:rsidRPr="6A0E237D">
              <w:rPr>
                <w:rFonts w:ascii="Times New Roman" w:hAnsi="Times New Roman" w:cs="Times New Roman"/>
                <w:b/>
                <w:bCs/>
                <w:sz w:val="24"/>
                <w:szCs w:val="24"/>
                <w:lang w:val="lt-LT"/>
              </w:rPr>
              <w:t>Lietuvos Respublikos teisingumo ministerija,</w:t>
            </w:r>
          </w:p>
          <w:p w14:paraId="150889B7" w14:textId="77777777" w:rsidR="000F159E" w:rsidRPr="0042797B" w:rsidRDefault="6A0E237D" w:rsidP="6A0E237D">
            <w:pPr>
              <w:jc w:val="center"/>
              <w:rPr>
                <w:rFonts w:ascii="Times New Roman" w:hAnsi="Times New Roman" w:cs="Times New Roman"/>
                <w:b/>
                <w:bCs/>
                <w:sz w:val="24"/>
                <w:szCs w:val="24"/>
                <w:lang w:val="lt-LT"/>
              </w:rPr>
            </w:pPr>
            <w:r w:rsidRPr="6A0E237D">
              <w:rPr>
                <w:rFonts w:ascii="Times New Roman" w:hAnsi="Times New Roman" w:cs="Times New Roman"/>
                <w:sz w:val="24"/>
                <w:szCs w:val="24"/>
                <w:lang w:val="lt-LT"/>
              </w:rPr>
              <w:t>2020-03-25 raštas Nr. (1.6E)2T-382</w:t>
            </w:r>
          </w:p>
        </w:tc>
        <w:tc>
          <w:tcPr>
            <w:tcW w:w="4326" w:type="dxa"/>
          </w:tcPr>
          <w:p w14:paraId="0397F3CC" w14:textId="7BD2F36D" w:rsidR="000F159E" w:rsidRPr="000A5477" w:rsidRDefault="6A0E237D" w:rsidP="6A0E237D">
            <w:pPr>
              <w:suppressAutoHyphens/>
              <w:jc w:val="both"/>
              <w:textAlignment w:val="top"/>
              <w:rPr>
                <w:rFonts w:ascii="Times New Roman" w:hAnsi="Times New Roman" w:cs="Times New Roman"/>
                <w:sz w:val="24"/>
                <w:szCs w:val="24"/>
                <w:lang w:val="lt-LT"/>
              </w:rPr>
            </w:pPr>
            <w:r w:rsidRPr="6A0E237D">
              <w:rPr>
                <w:rFonts w:ascii="Times New Roman" w:hAnsi="Times New Roman" w:cs="Times New Roman"/>
                <w:sz w:val="24"/>
                <w:szCs w:val="24"/>
                <w:lang w:val="lt-LT"/>
              </w:rPr>
              <w:t>1. Vertinant Švietimo įstatymo 14 str. 7 d. nuostatas, pastebėtina, kad Švietimo įstatymas nereglamentuoja pamokoje esančių mokytojų ar kitų specialistų skaičiaus ar naudojamų priemonių. Tai paliekama įstatymo įgyvendinamųjų teisės aktų reguliavimui (pvz., Švietimo įstatymo 14 str. 1 d. pagrindu tvirtinamoje tvarkoje). Atsižvelgdami į tai, siūlome įvertinti galimybę šia apimtimi siekiamą reguliavimą nustatyti įgyvendinamaisiais teisės aktais arba pagrįsti tokio reguliavimo nepakankamumą ir poreikį reguliuoti įstatymo lygmeniu, taip įgyvendinant Teisėkūros pagrindų įstatymo 3 str. 2 d. 5 p. įtvirtintą teisėkūros efektyvumo principą.</w:t>
            </w:r>
          </w:p>
          <w:p w14:paraId="77708311" w14:textId="306D2C6D" w:rsidR="000F159E" w:rsidRPr="0042797B" w:rsidRDefault="000F159E" w:rsidP="6A0E237D">
            <w:pPr>
              <w:pStyle w:val="Sraopastraipa"/>
              <w:spacing w:line="276" w:lineRule="auto"/>
              <w:ind w:left="13" w:firstLineChars="408" w:firstLine="979"/>
              <w:jc w:val="both"/>
              <w:textAlignment w:val="top"/>
              <w:rPr>
                <w:rFonts w:ascii="Times New Roman" w:hAnsi="Times New Roman" w:cs="Times New Roman"/>
                <w:b/>
                <w:bCs/>
                <w:sz w:val="24"/>
                <w:szCs w:val="24"/>
              </w:rPr>
            </w:pPr>
          </w:p>
        </w:tc>
        <w:tc>
          <w:tcPr>
            <w:tcW w:w="4678" w:type="dxa"/>
          </w:tcPr>
          <w:p w14:paraId="32611897" w14:textId="08179B24" w:rsidR="000F159E" w:rsidRPr="0042797B" w:rsidRDefault="6A0E237D" w:rsidP="6A0E237D">
            <w:pPr>
              <w:jc w:val="both"/>
              <w:rPr>
                <w:rFonts w:ascii="Times New Roman" w:hAnsi="Times New Roman" w:cs="Times New Roman"/>
                <w:b/>
                <w:bCs/>
                <w:sz w:val="24"/>
                <w:szCs w:val="24"/>
                <w:lang w:val="lt-LT"/>
              </w:rPr>
            </w:pPr>
            <w:r w:rsidRPr="6A0E237D">
              <w:rPr>
                <w:rFonts w:ascii="Times New Roman" w:hAnsi="Times New Roman" w:cs="Times New Roman"/>
                <w:b/>
                <w:bCs/>
                <w:sz w:val="24"/>
                <w:szCs w:val="24"/>
                <w:lang w:val="lt-LT"/>
              </w:rPr>
              <w:t>Neatsižvelgta</w:t>
            </w:r>
            <w:r w:rsidRPr="6A0E237D">
              <w:rPr>
                <w:rFonts w:ascii="Times New Roman" w:hAnsi="Times New Roman" w:cs="Times New Roman"/>
                <w:sz w:val="24"/>
                <w:szCs w:val="24"/>
                <w:lang w:val="lt-LT"/>
              </w:rPr>
              <w:t xml:space="preserve">, nes esamas teisinis reguliavimas neužtikrina dviejų mokytojų ir pagalbos mokiniui specialistų teikiamos pagalbos pamokoje. Tai stebime nuo 2011 m. nors įstatymo įgyvendinamojo teisės akto </w:t>
            </w:r>
            <w:r w:rsidRPr="6A0E237D">
              <w:rPr>
                <w:rFonts w:ascii="Times New Roman" w:hAnsi="Times New Roman" w:cs="Times New Roman"/>
                <w:color w:val="000000" w:themeColor="text1"/>
                <w:sz w:val="24"/>
                <w:szCs w:val="24"/>
                <w:lang w:val="lt-LT"/>
              </w:rPr>
              <w:t xml:space="preserve">Mokinių, turinčių specialiųjų ugdymosi poreikių, ugdymo organizavimo tvarkos aprašo, patvirtinto švietimo ir mokslo ministro 2011 m. rugsėjo 30 d. įsakymu Nr. V-1795, 17 punktas </w:t>
            </w:r>
            <w:r w:rsidRPr="6A0E237D">
              <w:rPr>
                <w:rFonts w:ascii="Times New Roman" w:hAnsi="Times New Roman" w:cs="Times New Roman"/>
                <w:sz w:val="24"/>
                <w:szCs w:val="24"/>
                <w:lang w:val="lt-LT"/>
              </w:rPr>
              <w:t>nustato, kad o</w:t>
            </w:r>
            <w:r w:rsidRPr="6A0E237D">
              <w:rPr>
                <w:rFonts w:ascii="Times New Roman" w:hAnsi="Times New Roman" w:cs="Times New Roman"/>
                <w:color w:val="000000" w:themeColor="text1"/>
                <w:sz w:val="24"/>
                <w:szCs w:val="24"/>
                <w:lang w:val="lt-LT"/>
              </w:rPr>
              <w:t>rganizuojant mokinių ugdymą pamokoje, veiklose gali dalyvauti du mokytojai, švietimo pagalbos specialistai. Šio punkto nuostatos nebuvo perkeltos į savivaldybių sprendimus, nustatančius pareigybių skaičių ugdymo įstaigose. Todėl nebuvo skiriamos lėšos pagalbų pamokoje plėtrai. Atkreiptinas dėmesys, kad šiai nuostatai įgyvendinti nebuvo skiriamos papildomos mokymosi lėšos pagal  Lietuvos Respublikos Vyriausybės nutarimą. Todėl siūloma</w:t>
            </w:r>
            <w:r w:rsidRPr="6A0E237D">
              <w:rPr>
                <w:rFonts w:ascii="Times New Roman" w:hAnsi="Times New Roman" w:cs="Times New Roman"/>
                <w:sz w:val="24"/>
                <w:szCs w:val="24"/>
                <w:lang w:val="lt-LT"/>
              </w:rPr>
              <w:t xml:space="preserve"> reguliuoti įstatymo lygmeniu.</w:t>
            </w:r>
          </w:p>
        </w:tc>
      </w:tr>
      <w:tr w:rsidR="000F159E" w:rsidRPr="0042797B" w14:paraId="3D24856E" w14:textId="77777777" w:rsidTr="00B62347">
        <w:tc>
          <w:tcPr>
            <w:tcW w:w="1770" w:type="dxa"/>
            <w:vMerge/>
          </w:tcPr>
          <w:p w14:paraId="71967E96" w14:textId="77777777" w:rsidR="000F159E" w:rsidRPr="0042797B" w:rsidRDefault="000F159E" w:rsidP="00A36764">
            <w:pPr>
              <w:jc w:val="center"/>
              <w:rPr>
                <w:rFonts w:ascii="Times New Roman" w:hAnsi="Times New Roman" w:cs="Times New Roman"/>
                <w:sz w:val="24"/>
                <w:szCs w:val="24"/>
                <w:lang w:val="lt-LT"/>
              </w:rPr>
            </w:pPr>
          </w:p>
        </w:tc>
        <w:tc>
          <w:tcPr>
            <w:tcW w:w="4326" w:type="dxa"/>
          </w:tcPr>
          <w:p w14:paraId="35834677" w14:textId="21089451" w:rsidR="000F159E" w:rsidRPr="0042797B" w:rsidRDefault="6A0E237D" w:rsidP="6A0E237D">
            <w:pPr>
              <w:suppressAutoHyphens/>
              <w:jc w:val="both"/>
              <w:textAlignment w:val="top"/>
              <w:rPr>
                <w:rFonts w:ascii="Times New Roman" w:hAnsi="Times New Roman" w:cs="Times New Roman"/>
                <w:sz w:val="24"/>
                <w:szCs w:val="24"/>
                <w:lang w:val="lt-LT"/>
              </w:rPr>
            </w:pPr>
            <w:r w:rsidRPr="6A0E237D">
              <w:rPr>
                <w:rFonts w:ascii="Times New Roman" w:hAnsi="Times New Roman" w:cs="Times New Roman"/>
                <w:sz w:val="24"/>
                <w:szCs w:val="24"/>
                <w:lang w:val="lt-LT"/>
              </w:rPr>
              <w:t xml:space="preserve">3. Švietimo įstatymo 29 str. 10 d. nuostatos pačios savaime nesudarė sąlygų ir neleido atsisakyti priimti mokinius, turinčius specialiųjų poreikių, į jų norimą mokyklą. Toks atsisakymas būtų Švietimo įstatymo 5 str. 1 p. ir Lygių galimybių įstatymo 6 str. pažeidimas. Neigiamas pasekmes galėjo kelti piktnaudžiavimas teise siūlyti kitą ugdymo įstaigą dėl įstatyminio </w:t>
            </w:r>
            <w:r w:rsidRPr="6A0E237D">
              <w:rPr>
                <w:rFonts w:ascii="Times New Roman" w:hAnsi="Times New Roman" w:cs="Times New Roman"/>
                <w:sz w:val="24"/>
                <w:szCs w:val="24"/>
                <w:lang w:val="lt-LT"/>
              </w:rPr>
              <w:lastRenderedPageBreak/>
              <w:t xml:space="preserve">reguliavimo nekonkretumo ir neišbaigtumo. Taigi, siūlytume įvertinti šios nuostatos visiško atsisakymo neigiamus aspektus ir įvertinti reguliavimo detalizavimo galimybę, paliekant šią nuostatą kaip kraštutinę priemonę. Pastebėtina, kad visais atvejais turėtų būti laikomasi vaiko, mokinio interesų viršenybės principo, todėl turėtų būti įvertinamos ir situacijos, kai ne dėl mokyklos kaltės ar jos neveiklumo, bet dėl objektyvių aplinkybių (pvz., specialistų trūkumas darbo rinkoje, kuris nuo mokyklos valios nepriklauso) susidarytų situacija, kai vaiko interesus labiau atitiktų mokymasis kitoje mokykloje. </w:t>
            </w:r>
          </w:p>
        </w:tc>
        <w:tc>
          <w:tcPr>
            <w:tcW w:w="4678" w:type="dxa"/>
          </w:tcPr>
          <w:p w14:paraId="43607EF4" w14:textId="612EA1F1" w:rsidR="000F159E" w:rsidRPr="0042797B" w:rsidRDefault="6A0E237D" w:rsidP="6A0E237D">
            <w:pPr>
              <w:spacing w:after="0"/>
              <w:ind w:firstLine="119"/>
              <w:jc w:val="both"/>
              <w:rPr>
                <w:rFonts w:ascii="Times New Roman" w:hAnsi="Times New Roman" w:cs="Times New Roman"/>
                <w:sz w:val="24"/>
                <w:szCs w:val="24"/>
                <w:lang w:val="lt-LT"/>
              </w:rPr>
            </w:pPr>
            <w:r w:rsidRPr="6A0E237D">
              <w:rPr>
                <w:rFonts w:ascii="Times New Roman" w:hAnsi="Times New Roman" w:cs="Times New Roman"/>
                <w:b/>
                <w:bCs/>
                <w:sz w:val="24"/>
                <w:szCs w:val="24"/>
                <w:lang w:val="lt-LT"/>
              </w:rPr>
              <w:lastRenderedPageBreak/>
              <w:t>Neatsižvelgta</w:t>
            </w:r>
            <w:r w:rsidRPr="6A0E237D">
              <w:rPr>
                <w:rFonts w:ascii="Times New Roman" w:hAnsi="Times New Roman" w:cs="Times New Roman"/>
                <w:sz w:val="24"/>
                <w:szCs w:val="24"/>
                <w:lang w:val="lt-LT"/>
              </w:rPr>
              <w:t>, nes:</w:t>
            </w:r>
          </w:p>
          <w:p w14:paraId="08331462" w14:textId="5507956F" w:rsidR="000F159E" w:rsidRPr="0042797B" w:rsidRDefault="6A0E237D" w:rsidP="6A0E237D">
            <w:pPr>
              <w:pStyle w:val="Sraopastraipa"/>
              <w:numPr>
                <w:ilvl w:val="3"/>
                <w:numId w:val="3"/>
              </w:numPr>
              <w:tabs>
                <w:tab w:val="left" w:pos="744"/>
              </w:tabs>
              <w:spacing w:after="0"/>
              <w:ind w:left="35" w:right="31" w:firstLine="425"/>
              <w:jc w:val="both"/>
              <w:rPr>
                <w:rFonts w:ascii="Times New Roman" w:hAnsi="Times New Roman" w:cs="Times New Roman"/>
                <w:sz w:val="24"/>
                <w:szCs w:val="24"/>
              </w:rPr>
            </w:pPr>
            <w:r w:rsidRPr="6A0E237D">
              <w:rPr>
                <w:rFonts w:ascii="Times New Roman" w:hAnsi="Times New Roman" w:cs="Times New Roman"/>
                <w:sz w:val="24"/>
                <w:szCs w:val="24"/>
              </w:rPr>
              <w:t xml:space="preserve">Visada turėtų būti laikomasi vaiko, mokinio interesų viršenybės principo, o Švietimo įstatymo 29 str. 10 d. įtvirtina atvejus, kai šis principas ignoruojamas ir pažeidžiamas, aukščiau vaiko interesų iškeliant švietimo įstaigų ir jų steigėjų neveiklumą, pritraukiant specialistus į savo įstaigą, administruojant mokymosi išteklius ir </w:t>
            </w:r>
            <w:r w:rsidRPr="6A0E237D">
              <w:rPr>
                <w:rFonts w:ascii="Times New Roman" w:hAnsi="Times New Roman" w:cs="Times New Roman"/>
                <w:sz w:val="24"/>
                <w:szCs w:val="24"/>
              </w:rPr>
              <w:lastRenderedPageBreak/>
              <w:t xml:space="preserve">išlaikant pagalbos mokiniui specialistų pareigybes. </w:t>
            </w:r>
          </w:p>
          <w:p w14:paraId="78B0F740" w14:textId="55631440" w:rsidR="000F159E" w:rsidRPr="0042797B" w:rsidRDefault="6A0E237D" w:rsidP="6A0E237D">
            <w:pPr>
              <w:pStyle w:val="Sraopastraipa"/>
              <w:numPr>
                <w:ilvl w:val="3"/>
                <w:numId w:val="3"/>
              </w:numPr>
              <w:tabs>
                <w:tab w:val="left" w:pos="602"/>
              </w:tabs>
              <w:spacing w:after="0"/>
              <w:ind w:left="35" w:firstLine="142"/>
              <w:jc w:val="both"/>
              <w:rPr>
                <w:rFonts w:ascii="Times New Roman" w:hAnsi="Times New Roman" w:cs="Times New Roman"/>
                <w:sz w:val="24"/>
                <w:szCs w:val="24"/>
              </w:rPr>
            </w:pPr>
            <w:r w:rsidRPr="6A0E237D">
              <w:rPr>
                <w:rFonts w:ascii="Times New Roman" w:hAnsi="Times New Roman" w:cs="Times New Roman"/>
                <w:sz w:val="24"/>
                <w:szCs w:val="24"/>
              </w:rPr>
              <w:t>Švietimo įstatymo 29 str. 10 d. pažeidžia Jungtinių Tautų  neįgaliųjų teisių konvencijos 2 str. pateiktą apibrėžtį  –  </w:t>
            </w:r>
            <w:r w:rsidRPr="6A0E237D">
              <w:rPr>
                <w:rFonts w:ascii="Times New Roman" w:hAnsi="Times New Roman" w:cs="Times New Roman"/>
                <w:b/>
                <w:bCs/>
                <w:sz w:val="24"/>
                <w:szCs w:val="24"/>
              </w:rPr>
              <w:t>diskriminacija dėl neįgalumo.</w:t>
            </w:r>
            <w:r w:rsidRPr="6A0E237D">
              <w:rPr>
                <w:rFonts w:ascii="Times New Roman" w:hAnsi="Times New Roman" w:cs="Times New Roman"/>
                <w:sz w:val="24"/>
                <w:szCs w:val="24"/>
              </w:rPr>
              <w:t xml:space="preserve"> Tai pažymima 2016 m. balandžio 20 d. Lietuvai pateiktose JT Neįgaliųjų teisių komiteto baigiamosiose pastabose (B. Specialiosios teisės) (5–30 straipsniai) dėl JT neįgaliųjų teisių konvencijos įgyvendinimo, kur atsisakymas teisinėmis ir administracinėmis priemonėmis neužtikrinti tinkamų sąlygų sudarymą yra traktuojamas kaip asmens diskriminacija. </w:t>
            </w:r>
          </w:p>
          <w:p w14:paraId="50F69BD2" w14:textId="3E1F3274" w:rsidR="000F159E" w:rsidRPr="0042797B" w:rsidRDefault="6A0E237D" w:rsidP="6A0E237D">
            <w:pPr>
              <w:pStyle w:val="Sraopastraipa"/>
              <w:numPr>
                <w:ilvl w:val="3"/>
                <w:numId w:val="3"/>
              </w:numPr>
              <w:tabs>
                <w:tab w:val="left" w:pos="744"/>
              </w:tabs>
              <w:spacing w:after="0"/>
              <w:ind w:left="0" w:firstLine="319"/>
              <w:jc w:val="both"/>
              <w:rPr>
                <w:rFonts w:ascii="Times New Roman" w:hAnsi="Times New Roman" w:cs="Times New Roman"/>
                <w:color w:val="000000" w:themeColor="text1"/>
                <w:sz w:val="24"/>
                <w:szCs w:val="24"/>
              </w:rPr>
            </w:pPr>
            <w:r w:rsidRPr="6A0E237D">
              <w:rPr>
                <w:rFonts w:ascii="Times New Roman" w:hAnsi="Times New Roman" w:cs="Times New Roman"/>
                <w:sz w:val="24"/>
                <w:szCs w:val="24"/>
              </w:rPr>
              <w:t xml:space="preserve">Bendri priėmimo kriterijai į ugdymo įstaigas prisidės prie kliūčių šalinimo, eliminuos galimybę vaikus atrinkti / skirstyti sveikatos, negalios ir / ar gebėjimų pagrindu. </w:t>
            </w:r>
          </w:p>
          <w:p w14:paraId="14F2AEB1" w14:textId="01F3568B" w:rsidR="000F159E" w:rsidRPr="0042797B" w:rsidRDefault="6A0E237D" w:rsidP="00FB6F54">
            <w:pPr>
              <w:pStyle w:val="Sraopastraipa"/>
              <w:numPr>
                <w:ilvl w:val="3"/>
                <w:numId w:val="3"/>
              </w:numPr>
              <w:tabs>
                <w:tab w:val="left" w:pos="744"/>
              </w:tabs>
              <w:spacing w:after="0"/>
              <w:ind w:left="0" w:firstLine="319"/>
              <w:jc w:val="both"/>
              <w:rPr>
                <w:rFonts w:ascii="Times New Roman" w:hAnsi="Times New Roman" w:cs="Times New Roman"/>
                <w:b/>
                <w:bCs/>
                <w:sz w:val="24"/>
                <w:szCs w:val="24"/>
              </w:rPr>
            </w:pPr>
            <w:r w:rsidRPr="6A0E237D">
              <w:rPr>
                <w:rFonts w:ascii="Times New Roman" w:hAnsi="Times New Roman" w:cs="Times New Roman"/>
                <w:sz w:val="24"/>
                <w:szCs w:val="24"/>
              </w:rPr>
              <w:t>Nepateisinamos aplinkybės, dėl kurių mokykla negali teikti mokiniui psichologinės, specialiosios pedagoginės, specialiosios ar socialinės pedagoginės pagalbos ir dar besimokančiam pagal privalomojo švietimo</w:t>
            </w:r>
            <w:r w:rsidRPr="6A0E237D">
              <w:rPr>
                <w:rFonts w:ascii="Times New Roman" w:hAnsi="Times New Roman" w:cs="Times New Roman"/>
                <w:b/>
                <w:bCs/>
                <w:sz w:val="24"/>
                <w:szCs w:val="24"/>
              </w:rPr>
              <w:t xml:space="preserve"> </w:t>
            </w:r>
            <w:r w:rsidRPr="6A0E237D">
              <w:rPr>
                <w:rFonts w:ascii="Times New Roman" w:hAnsi="Times New Roman" w:cs="Times New Roman"/>
                <w:sz w:val="24"/>
                <w:szCs w:val="24"/>
              </w:rPr>
              <w:t>programas, esant bendriems mokymosi ir švietimo pagalbos lėšų skyrimo principams visoms mokykloms. Pažymėtina, kad pagal</w:t>
            </w:r>
            <w:r w:rsidRPr="6A0E237D">
              <w:rPr>
                <w:rFonts w:ascii="Times New Roman" w:hAnsi="Times New Roman" w:cs="Times New Roman"/>
                <w:color w:val="000000" w:themeColor="text1"/>
                <w:sz w:val="24"/>
                <w:szCs w:val="24"/>
              </w:rPr>
              <w:t xml:space="preserve"> </w:t>
            </w:r>
            <w:r w:rsidRPr="6A0E237D">
              <w:rPr>
                <w:rFonts w:ascii="Times New Roman" w:hAnsi="Times New Roman" w:cs="Times New Roman"/>
                <w:sz w:val="24"/>
                <w:szCs w:val="24"/>
              </w:rPr>
              <w:t xml:space="preserve">JT neįgaliųjų teisių konvenciją, asmens </w:t>
            </w:r>
            <w:r w:rsidRPr="6A0E237D">
              <w:rPr>
                <w:rFonts w:ascii="Times New Roman" w:hAnsi="Times New Roman" w:cs="Times New Roman"/>
                <w:color w:val="000000" w:themeColor="text1"/>
                <w:sz w:val="24"/>
                <w:szCs w:val="24"/>
              </w:rPr>
              <w:t>neįgalumas atsiranda ne tik dėl sveikatos sutrikimų, bet ir „dėl požiūrio bei aplinkos sudaromų kliūčių sąveikos, trukdančios tokiems asmenims visapusiškai ir veiksmingai dalyvauti visuomenėje lygiai su kitais asmenimis“</w:t>
            </w:r>
            <w:r w:rsidRPr="6A0E237D">
              <w:rPr>
                <w:rFonts w:ascii="Times New Roman" w:hAnsi="Times New Roman" w:cs="Times New Roman"/>
                <w:sz w:val="24"/>
                <w:szCs w:val="24"/>
              </w:rPr>
              <w:t xml:space="preserve">. </w:t>
            </w:r>
          </w:p>
        </w:tc>
      </w:tr>
      <w:tr w:rsidR="000F159E" w:rsidRPr="0042797B" w14:paraId="6185E50F" w14:textId="77777777" w:rsidTr="00B62347">
        <w:tc>
          <w:tcPr>
            <w:tcW w:w="1770" w:type="dxa"/>
            <w:vMerge w:val="restart"/>
          </w:tcPr>
          <w:p w14:paraId="7EB70D84" w14:textId="6C2E159C" w:rsidR="000F159E" w:rsidRPr="0042797B" w:rsidRDefault="6A0E237D" w:rsidP="6A0E237D">
            <w:pPr>
              <w:jc w:val="center"/>
              <w:rPr>
                <w:rFonts w:ascii="Times New Roman" w:hAnsi="Times New Roman" w:cs="Times New Roman"/>
                <w:b/>
                <w:bCs/>
                <w:sz w:val="24"/>
                <w:szCs w:val="24"/>
                <w:lang w:val="lt-LT"/>
              </w:rPr>
            </w:pPr>
            <w:r w:rsidRPr="6A0E237D">
              <w:rPr>
                <w:rFonts w:ascii="Times New Roman" w:hAnsi="Times New Roman" w:cs="Times New Roman"/>
                <w:b/>
                <w:bCs/>
                <w:sz w:val="24"/>
                <w:szCs w:val="24"/>
                <w:lang w:val="lt-LT"/>
              </w:rPr>
              <w:lastRenderedPageBreak/>
              <w:t xml:space="preserve">Lietuvos negalios organizacijų forumas, </w:t>
            </w:r>
          </w:p>
          <w:p w14:paraId="29980188" w14:textId="1A68B34D" w:rsidR="000F159E" w:rsidRPr="0042797B" w:rsidRDefault="6A0E237D" w:rsidP="6A0E237D">
            <w:pPr>
              <w:jc w:val="center"/>
              <w:rPr>
                <w:rFonts w:ascii="Times New Roman" w:hAnsi="Times New Roman" w:cs="Times New Roman"/>
                <w:b/>
                <w:bCs/>
                <w:sz w:val="24"/>
                <w:szCs w:val="24"/>
                <w:lang w:val="lt-LT"/>
              </w:rPr>
            </w:pPr>
            <w:r w:rsidRPr="6A0E237D">
              <w:rPr>
                <w:rFonts w:ascii="Times New Roman" w:hAnsi="Times New Roman" w:cs="Times New Roman"/>
                <w:sz w:val="24"/>
                <w:szCs w:val="24"/>
                <w:lang w:val="lt-LT"/>
              </w:rPr>
              <w:t>2020-03-23 raštas Nr. 968</w:t>
            </w:r>
          </w:p>
        </w:tc>
        <w:tc>
          <w:tcPr>
            <w:tcW w:w="4326" w:type="dxa"/>
          </w:tcPr>
          <w:p w14:paraId="477F7E65" w14:textId="77777777" w:rsidR="000F159E" w:rsidRPr="0042797B" w:rsidRDefault="6A0E237D" w:rsidP="6A0E237D">
            <w:pPr>
              <w:suppressAutoHyphens/>
              <w:ind w:firstLine="430"/>
              <w:jc w:val="both"/>
              <w:textAlignment w:val="top"/>
              <w:rPr>
                <w:rFonts w:ascii="Times New Roman" w:hAnsi="Times New Roman" w:cs="Times New Roman"/>
                <w:sz w:val="24"/>
                <w:szCs w:val="24"/>
                <w:lang w:val="lt-LT"/>
              </w:rPr>
            </w:pPr>
            <w:r w:rsidRPr="6A0E237D">
              <w:rPr>
                <w:rFonts w:ascii="Times New Roman" w:hAnsi="Times New Roman" w:cs="Times New Roman"/>
                <w:sz w:val="24"/>
                <w:szCs w:val="24"/>
                <w:lang w:val="lt-LT"/>
              </w:rPr>
              <w:t>Siūlome atsisakyti termino specialieji poreikiai ir vartoti individualūs poreikiai arba individualūs dėl negalios kylantys poreikiai.</w:t>
            </w:r>
          </w:p>
        </w:tc>
        <w:tc>
          <w:tcPr>
            <w:tcW w:w="4678" w:type="dxa"/>
          </w:tcPr>
          <w:p w14:paraId="0120C72E" w14:textId="7089D3E8" w:rsidR="000F159E" w:rsidRPr="0042797B" w:rsidRDefault="000F159E" w:rsidP="6A0E237D">
            <w:pPr>
              <w:spacing w:line="240" w:lineRule="auto"/>
              <w:ind w:firstLine="119"/>
              <w:jc w:val="both"/>
              <w:rPr>
                <w:rFonts w:ascii="Times New Roman" w:hAnsi="Times New Roman" w:cs="Times New Roman"/>
                <w:b/>
                <w:bCs/>
                <w:sz w:val="24"/>
                <w:szCs w:val="24"/>
                <w:lang w:val="lt-LT"/>
              </w:rPr>
            </w:pPr>
            <w:r w:rsidRPr="6A0E237D">
              <w:rPr>
                <w:rFonts w:ascii="Times New Roman" w:hAnsi="Times New Roman" w:cs="Times New Roman"/>
                <w:b/>
                <w:bCs/>
                <w:sz w:val="24"/>
                <w:szCs w:val="24"/>
                <w:lang w:val="lt-LT"/>
              </w:rPr>
              <w:t>Neatsižvelgta</w:t>
            </w:r>
            <w:r w:rsidRPr="0042797B">
              <w:rPr>
                <w:rFonts w:ascii="Times New Roman" w:hAnsi="Times New Roman" w:cs="Times New Roman"/>
                <w:sz w:val="24"/>
                <w:szCs w:val="24"/>
                <w:lang w:val="lt-LT"/>
              </w:rPr>
              <w:t xml:space="preserve">, nes sąvoka / terminas „specialieji ugdymosi poreikiai (SUP)“ (angl. terminas – </w:t>
            </w:r>
            <w:r w:rsidRPr="6A0E237D">
              <w:rPr>
                <w:rFonts w:ascii="Times New Roman" w:hAnsi="Times New Roman" w:cs="Times New Roman"/>
                <w:i/>
                <w:iCs/>
                <w:spacing w:val="4"/>
                <w:sz w:val="24"/>
                <w:szCs w:val="24"/>
                <w:shd w:val="clear" w:color="auto" w:fill="FFFFFF"/>
                <w:lang w:val="lt-LT"/>
              </w:rPr>
              <w:t>special</w:t>
            </w:r>
            <w:r w:rsidRPr="0042797B">
              <w:rPr>
                <w:rFonts w:ascii="Times New Roman" w:hAnsi="Times New Roman" w:cs="Times New Roman"/>
                <w:spacing w:val="4"/>
                <w:sz w:val="24"/>
                <w:szCs w:val="24"/>
                <w:shd w:val="clear" w:color="auto" w:fill="FFFFFF"/>
                <w:lang w:val="lt-LT"/>
              </w:rPr>
              <w:t xml:space="preserve"> </w:t>
            </w:r>
            <w:r w:rsidRPr="6A0E237D">
              <w:rPr>
                <w:rFonts w:ascii="Times New Roman" w:hAnsi="Times New Roman" w:cs="Times New Roman"/>
                <w:i/>
                <w:iCs/>
                <w:spacing w:val="4"/>
                <w:sz w:val="24"/>
                <w:szCs w:val="24"/>
                <w:shd w:val="clear" w:color="auto" w:fill="FFFFFF"/>
                <w:lang w:val="lt-LT"/>
              </w:rPr>
              <w:t>educational</w:t>
            </w:r>
            <w:r w:rsidRPr="0042797B">
              <w:rPr>
                <w:rFonts w:ascii="Times New Roman" w:hAnsi="Times New Roman" w:cs="Times New Roman"/>
                <w:spacing w:val="4"/>
                <w:sz w:val="24"/>
                <w:szCs w:val="24"/>
                <w:shd w:val="clear" w:color="auto" w:fill="FFFFFF"/>
                <w:lang w:val="lt-LT"/>
              </w:rPr>
              <w:t xml:space="preserve"> </w:t>
            </w:r>
            <w:r w:rsidRPr="6A0E237D">
              <w:rPr>
                <w:rFonts w:ascii="Times New Roman" w:hAnsi="Times New Roman" w:cs="Times New Roman"/>
                <w:i/>
                <w:iCs/>
                <w:spacing w:val="4"/>
                <w:sz w:val="24"/>
                <w:szCs w:val="24"/>
                <w:shd w:val="clear" w:color="auto" w:fill="FFFFFF"/>
                <w:lang w:val="lt-LT"/>
              </w:rPr>
              <w:t>needs</w:t>
            </w:r>
            <w:r w:rsidRPr="0042797B">
              <w:rPr>
                <w:rFonts w:ascii="Times New Roman" w:hAnsi="Times New Roman" w:cs="Times New Roman"/>
                <w:spacing w:val="4"/>
                <w:sz w:val="24"/>
                <w:szCs w:val="24"/>
                <w:shd w:val="clear" w:color="auto" w:fill="FFFFFF"/>
                <w:lang w:val="lt-LT"/>
              </w:rPr>
              <w:t xml:space="preserve"> (SEN)) yra tarptautinis,  vartojamas mokslininkų ir daugumos tarptautinių organizacijų (</w:t>
            </w:r>
            <w:r w:rsidRPr="6A0E237D">
              <w:rPr>
                <w:rStyle w:val="Emfaz"/>
                <w:rFonts w:ascii="Times New Roman" w:hAnsi="Times New Roman" w:cs="Times New Roman"/>
                <w:i w:val="0"/>
                <w:iCs w:val="0"/>
                <w:sz w:val="24"/>
                <w:szCs w:val="24"/>
                <w:shd w:val="clear" w:color="auto" w:fill="FFFFFF"/>
                <w:lang w:val="lt-LT"/>
              </w:rPr>
              <w:t>UNESCO,   OECD,  Europos Komisijos), todėl perkelta į nacionalinius šalių dokumentus.  Duomenys apie SUP turinčius mokinius renkami ir lyginami</w:t>
            </w:r>
            <w:r w:rsidR="00CC212E" w:rsidRPr="6A0E237D">
              <w:rPr>
                <w:rStyle w:val="Emfaz"/>
                <w:rFonts w:ascii="Times New Roman" w:hAnsi="Times New Roman" w:cs="Times New Roman"/>
                <w:i w:val="0"/>
                <w:iCs w:val="0"/>
                <w:sz w:val="24"/>
                <w:szCs w:val="24"/>
                <w:shd w:val="clear" w:color="auto" w:fill="FFFFFF"/>
                <w:lang w:val="lt-LT"/>
              </w:rPr>
              <w:t xml:space="preserve"> </w:t>
            </w:r>
            <w:r w:rsidRPr="6A0E237D">
              <w:rPr>
                <w:rStyle w:val="Emfaz"/>
                <w:rFonts w:ascii="Times New Roman" w:hAnsi="Times New Roman" w:cs="Times New Roman"/>
                <w:i w:val="0"/>
                <w:iCs w:val="0"/>
                <w:sz w:val="24"/>
                <w:szCs w:val="24"/>
                <w:shd w:val="clear" w:color="auto" w:fill="FFFFFF"/>
                <w:lang w:val="lt-LT"/>
              </w:rPr>
              <w:t>tarp šalių</w:t>
            </w:r>
            <w:r w:rsidR="00CC212E" w:rsidRPr="6A0E237D">
              <w:rPr>
                <w:rStyle w:val="Emfaz"/>
                <w:rFonts w:ascii="Times New Roman" w:hAnsi="Times New Roman" w:cs="Times New Roman"/>
                <w:i w:val="0"/>
                <w:iCs w:val="0"/>
                <w:sz w:val="24"/>
                <w:szCs w:val="24"/>
                <w:shd w:val="clear" w:color="auto" w:fill="FFFFFF"/>
                <w:lang w:val="lt-LT"/>
              </w:rPr>
              <w:t>,</w:t>
            </w:r>
            <w:r w:rsidRPr="6A0E237D">
              <w:rPr>
                <w:rStyle w:val="Emfaz"/>
                <w:rFonts w:ascii="Times New Roman" w:hAnsi="Times New Roman" w:cs="Times New Roman"/>
                <w:i w:val="0"/>
                <w:iCs w:val="0"/>
                <w:sz w:val="24"/>
                <w:szCs w:val="24"/>
                <w:shd w:val="clear" w:color="auto" w:fill="FFFFFF"/>
                <w:lang w:val="lt-LT"/>
              </w:rPr>
              <w:t xml:space="preserve"> pildant </w:t>
            </w:r>
            <w:r w:rsidRPr="6A0E237D">
              <w:rPr>
                <w:rStyle w:val="Emfaz"/>
                <w:rFonts w:ascii="Times New Roman" w:hAnsi="Times New Roman" w:cs="Times New Roman"/>
                <w:sz w:val="24"/>
                <w:szCs w:val="24"/>
                <w:shd w:val="clear" w:color="auto" w:fill="FFFFFF"/>
                <w:lang w:val="lt-LT"/>
              </w:rPr>
              <w:t>Eurostat</w:t>
            </w:r>
            <w:r w:rsidRPr="6A0E237D">
              <w:rPr>
                <w:rStyle w:val="Emfaz"/>
                <w:rFonts w:ascii="Times New Roman" w:hAnsi="Times New Roman" w:cs="Times New Roman"/>
                <w:i w:val="0"/>
                <w:iCs w:val="0"/>
                <w:sz w:val="24"/>
                <w:szCs w:val="24"/>
                <w:shd w:val="clear" w:color="auto" w:fill="FFFFFF"/>
                <w:lang w:val="lt-LT"/>
              </w:rPr>
              <w:t xml:space="preserve">, </w:t>
            </w:r>
            <w:r w:rsidRPr="6A0E237D">
              <w:rPr>
                <w:rStyle w:val="Emfaz"/>
                <w:rFonts w:ascii="Times New Roman" w:hAnsi="Times New Roman" w:cs="Times New Roman"/>
                <w:sz w:val="24"/>
                <w:szCs w:val="24"/>
                <w:shd w:val="clear" w:color="auto" w:fill="FFFFFF"/>
                <w:lang w:val="lt-LT"/>
              </w:rPr>
              <w:t>Eurydice</w:t>
            </w:r>
            <w:r w:rsidRPr="6A0E237D">
              <w:rPr>
                <w:rStyle w:val="Emfaz"/>
                <w:rFonts w:ascii="Times New Roman" w:hAnsi="Times New Roman" w:cs="Times New Roman"/>
                <w:i w:val="0"/>
                <w:iCs w:val="0"/>
                <w:sz w:val="24"/>
                <w:szCs w:val="24"/>
                <w:shd w:val="clear" w:color="auto" w:fill="FFFFFF"/>
                <w:lang w:val="lt-LT"/>
              </w:rPr>
              <w:t xml:space="preserve">, Europos specialiojo ir  įtraukiojo ugdymo agentūros ataskaitas.  Keičiamo įstatymo </w:t>
            </w:r>
            <w:r w:rsidRPr="0042797B">
              <w:rPr>
                <w:rFonts w:ascii="Times New Roman" w:hAnsi="Times New Roman" w:cs="Times New Roman"/>
                <w:spacing w:val="4"/>
                <w:sz w:val="24"/>
                <w:szCs w:val="24"/>
                <w:shd w:val="clear" w:color="auto" w:fill="FFFFFF"/>
                <w:lang w:val="lt-LT"/>
              </w:rPr>
              <w:t xml:space="preserve">2 str. </w:t>
            </w:r>
            <w:r w:rsidRPr="0042797B">
              <w:rPr>
                <w:rFonts w:ascii="Times New Roman" w:hAnsi="Times New Roman" w:cs="Times New Roman"/>
                <w:sz w:val="24"/>
                <w:szCs w:val="24"/>
                <w:lang w:val="lt-LT"/>
              </w:rPr>
              <w:t>26 d.</w:t>
            </w:r>
            <w:r w:rsidRPr="6A0E237D">
              <w:rPr>
                <w:rFonts w:ascii="Times New Roman" w:hAnsi="Times New Roman" w:cs="Times New Roman"/>
                <w:b/>
                <w:bCs/>
                <w:sz w:val="24"/>
                <w:szCs w:val="24"/>
                <w:lang w:val="lt-LT"/>
              </w:rPr>
              <w:t xml:space="preserve"> </w:t>
            </w:r>
            <w:r w:rsidRPr="0042797B">
              <w:rPr>
                <w:rFonts w:ascii="Times New Roman" w:hAnsi="Times New Roman" w:cs="Times New Roman"/>
                <w:sz w:val="24"/>
                <w:szCs w:val="24"/>
                <w:lang w:val="lt-LT"/>
              </w:rPr>
              <w:t xml:space="preserve">apibrėžti specialieji ugdymosi poreikiai yra suprantami plačiau nei tik kylantys dėl negalių, </w:t>
            </w:r>
            <w:bookmarkStart w:id="0" w:name="_GoBack"/>
            <w:bookmarkEnd w:id="0"/>
            <w:r w:rsidRPr="0042797B">
              <w:rPr>
                <w:rFonts w:ascii="Times New Roman" w:hAnsi="Times New Roman" w:cs="Times New Roman"/>
                <w:sz w:val="24"/>
                <w:szCs w:val="24"/>
                <w:lang w:val="lt-LT"/>
              </w:rPr>
              <w:lastRenderedPageBreak/>
              <w:t>t. y.  įgimtų ar įgytų sutrikimų, bet ir dėl išskirtinių asmens gabumų, nepalankių aplinkos veiksnių. Pastebėtina, kad SUP gali turėti vaikai, kuriems nenustatyta negalia, ir atvirkščiai – negalią turintys vaikai ne visuomet turės SUP. Bendras terminas leidžia „susikalbėti“ įvairių šalių mokslininkams, tarptautinėms organizacijoms.</w:t>
            </w:r>
          </w:p>
        </w:tc>
      </w:tr>
      <w:tr w:rsidR="000F159E" w:rsidRPr="0042797B" w14:paraId="045A1CEE" w14:textId="77777777" w:rsidTr="00B62347">
        <w:tc>
          <w:tcPr>
            <w:tcW w:w="1770" w:type="dxa"/>
            <w:vMerge/>
          </w:tcPr>
          <w:p w14:paraId="1E64BFDF" w14:textId="77777777" w:rsidR="000F159E" w:rsidRPr="0042797B" w:rsidRDefault="000F159E" w:rsidP="00A36764">
            <w:pPr>
              <w:jc w:val="center"/>
              <w:rPr>
                <w:rFonts w:ascii="Times New Roman" w:hAnsi="Times New Roman" w:cs="Times New Roman"/>
                <w:b/>
                <w:sz w:val="24"/>
                <w:szCs w:val="24"/>
                <w:lang w:val="lt-LT"/>
              </w:rPr>
            </w:pPr>
          </w:p>
        </w:tc>
        <w:tc>
          <w:tcPr>
            <w:tcW w:w="4326" w:type="dxa"/>
          </w:tcPr>
          <w:p w14:paraId="1A218709" w14:textId="10B2B491" w:rsidR="000F159E" w:rsidRPr="0042797B" w:rsidRDefault="6A0E237D" w:rsidP="6A0E237D">
            <w:pPr>
              <w:suppressAutoHyphens/>
              <w:jc w:val="both"/>
              <w:textAlignment w:val="top"/>
              <w:rPr>
                <w:rFonts w:ascii="Times New Roman" w:hAnsi="Times New Roman" w:cs="Times New Roman"/>
                <w:sz w:val="24"/>
                <w:szCs w:val="24"/>
                <w:lang w:val="lt-LT"/>
              </w:rPr>
            </w:pPr>
            <w:r w:rsidRPr="6A0E237D">
              <w:rPr>
                <w:rFonts w:ascii="Times New Roman" w:hAnsi="Times New Roman" w:cs="Times New Roman"/>
                <w:sz w:val="24"/>
                <w:szCs w:val="24"/>
                <w:lang w:val="lt-LT"/>
              </w:rPr>
              <w:t xml:space="preserve">Šiuo metu galiojanti tvarka suteikia galimybę mokinius mokyti pagal bendrąją programą, pritaikytą bendrąją programą arba individualizuotą ugdymo programą. Nevyriausybinių organizacijų stebima situacija parodė, jog dažnai (ypatingai regionuose) vaikams su negalia skiriama pritaikyta bendroji arba individualizuota programa (net ir vaikams neturintiems intelekto sutrikimo). Nors yra siekis visiems suteikti vienodas galimybes įgyti išsilavinimą, bet vaikų su negalia atžvilgiu dažnai nutinka taip, jog pritaikyta bendroji programa arba individualizuota programa užkerta tolimesnę galimybę vaikams su negalia laikyti brandos egzaminus, įgyti vidurinį išsilavinimą, bei iš anksto sudaro prielaidą jiems siekti tik profesinio išsilavinimo. Manome, kad turinio individualizavimas turėtų būti taikomas su siekiu atliepti individualius dėl negalios kylančius ugdymo poreikius. Kaip pavyzdžiui LR vaiko teisių apsaugos pagrindų įstatymo 4 str. nurodytas individualizavimo principas yra pabrėžiamas tik teigiamu aspektu – „priimant su vaiku susijusius sprendimus, atsižvelgiama į vaiko amžių, brandą, jo psichikos ir fizines savybes, poreikius, socialinės aplinkos ir kitas savybes“. Tačiau toks individualizavimas neturi užkirsti kelio visiems vaikams įgyti  bendrąjį išsilavinimą nepaisant jo ar jos turimos negalios. Tai turi būti įtvirtinta tiek </w:t>
            </w:r>
            <w:r w:rsidRPr="6A0E237D">
              <w:rPr>
                <w:rFonts w:ascii="Times New Roman" w:hAnsi="Times New Roman" w:cs="Times New Roman"/>
                <w:sz w:val="24"/>
                <w:szCs w:val="24"/>
                <w:lang w:val="lt-LT"/>
              </w:rPr>
              <w:lastRenderedPageBreak/>
              <w:t>keičiamo įstatymo bei susijusių poįstatyminių teisės aktų nuostatose.</w:t>
            </w:r>
          </w:p>
        </w:tc>
        <w:tc>
          <w:tcPr>
            <w:tcW w:w="4678" w:type="dxa"/>
          </w:tcPr>
          <w:p w14:paraId="13462084" w14:textId="630521F2" w:rsidR="000F159E" w:rsidRPr="0042797B" w:rsidRDefault="6A0E237D" w:rsidP="009E13DC">
            <w:pPr>
              <w:ind w:firstLine="119"/>
              <w:jc w:val="both"/>
              <w:rPr>
                <w:rFonts w:ascii="Times New Roman" w:hAnsi="Times New Roman" w:cs="Times New Roman"/>
                <w:b/>
                <w:bCs/>
                <w:sz w:val="24"/>
                <w:szCs w:val="24"/>
                <w:lang w:val="lt-LT"/>
              </w:rPr>
            </w:pPr>
            <w:r w:rsidRPr="6A0E237D">
              <w:rPr>
                <w:rFonts w:ascii="Times New Roman" w:hAnsi="Times New Roman" w:cs="Times New Roman"/>
                <w:b/>
                <w:bCs/>
                <w:sz w:val="24"/>
                <w:szCs w:val="24"/>
                <w:lang w:val="lt-LT"/>
              </w:rPr>
              <w:lastRenderedPageBreak/>
              <w:t>Neatsižvelgta</w:t>
            </w:r>
            <w:r w:rsidRPr="6A0E237D">
              <w:rPr>
                <w:rFonts w:ascii="Times New Roman" w:hAnsi="Times New Roman" w:cs="Times New Roman"/>
                <w:sz w:val="24"/>
                <w:szCs w:val="24"/>
                <w:lang w:val="lt-LT"/>
              </w:rPr>
              <w:t>, nes tai nustato Švietimo įstatymo 14 str. 5 d. ir   įgyvendinamieji teisės aktai. Pastebėtina, kad pagal JT neįgaliųjų teisių konvencijos 24 str. 1 d. b) p.  Konvencijos šalys turi s</w:t>
            </w:r>
            <w:r w:rsidRPr="6A0E237D">
              <w:rPr>
                <w:rFonts w:ascii="Times New Roman" w:hAnsi="Times New Roman" w:cs="Times New Roman"/>
                <w:color w:val="000000" w:themeColor="text1"/>
                <w:sz w:val="24"/>
                <w:szCs w:val="24"/>
                <w:lang w:val="lt-LT"/>
              </w:rPr>
              <w:t xml:space="preserve">uteikti neįgaliesiems galimybę ugdyti savo asmenybę, talentus ir kūrybiškumą, taip pat savo protinius ir fizinius gebėjimus didžiausiu įmanomu mastu, todėl </w:t>
            </w:r>
            <w:r w:rsidRPr="6A0E237D">
              <w:rPr>
                <w:rFonts w:ascii="Times New Roman" w:hAnsi="Times New Roman" w:cs="Times New Roman"/>
                <w:sz w:val="24"/>
                <w:szCs w:val="24"/>
                <w:lang w:val="lt-LT"/>
              </w:rPr>
              <w:t xml:space="preserve">visi mokiniai Lietuvoje mokosi pagal bendrąsias programas. Jei mokinio, turinčio SUP, mokymosi pasiekimai žemesni, nei nurodyti bendrosiose programose, mokiniui padedama mokytis ir įgyti išsilavinimą keičiamo įstatymo ir jo įgyvendinamųjų teisės aktų nustatyta tvarka: teikiamos pagalbos, pritaikomos bendrojo ugdymo programos ir mokymosi pasiekimų, brandos egzaminų vertinimas, organizavimas bei formos. Tada, kai ir su teikiamomis pagalbomis mokinio mokymosi pasiekimai žymiai žemesni, nei nurodyti programose, mokinys gali būti neperkeltas į aukštesnio lygmens programą, įvertinus mokymosi sunkumų priežastis ir galimybes pedagoginėmis priemonėmis šiuos sunkumus pašalinti, mokiniui individualizuojamos bendrojo ugdymo programos ir sudaromos sąlygos </w:t>
            </w:r>
            <w:r w:rsidRPr="6A0E237D">
              <w:rPr>
                <w:rFonts w:ascii="Times New Roman" w:hAnsi="Times New Roman" w:cs="Times New Roman"/>
                <w:color w:val="000000" w:themeColor="text1"/>
                <w:sz w:val="24"/>
                <w:szCs w:val="24"/>
                <w:lang w:val="lt-LT"/>
              </w:rPr>
              <w:t xml:space="preserve">ugdyti savo talentus ir kūrybiškumą, taip pat savo protinius ir fizinius gebėjimus, didžiausiu įmanomu mastu, mokantis </w:t>
            </w:r>
            <w:r w:rsidRPr="6A0E237D">
              <w:rPr>
                <w:rFonts w:ascii="Times New Roman" w:hAnsi="Times New Roman" w:cs="Times New Roman"/>
                <w:sz w:val="24"/>
                <w:szCs w:val="24"/>
                <w:lang w:val="lt-LT"/>
              </w:rPr>
              <w:t xml:space="preserve">kartu su bendraamžiais (nelikti žemesnėse klasėse nei jo bendraamžiai), neiškristi iš švietimo sistemos. Po dešimties ugdymosi metų ir vėliau mokiniui </w:t>
            </w:r>
            <w:r w:rsidRPr="6A0E237D">
              <w:rPr>
                <w:rFonts w:ascii="Times New Roman" w:eastAsia="Calibri" w:hAnsi="Times New Roman" w:cs="Times New Roman"/>
                <w:sz w:val="24"/>
                <w:szCs w:val="24"/>
                <w:lang w:val="lt-LT" w:eastAsia="zh-CN"/>
              </w:rPr>
              <w:t xml:space="preserve">sudaromos sąlygos mokytis pagal profesinio mokymo programas ir įgyti profesiją ir neturint reikiamo išsilavinimo. Toks reglamentavimas </w:t>
            </w:r>
            <w:r w:rsidRPr="6A0E237D">
              <w:rPr>
                <w:rFonts w:ascii="Times New Roman" w:eastAsia="Calibri" w:hAnsi="Times New Roman" w:cs="Times New Roman"/>
                <w:sz w:val="24"/>
                <w:szCs w:val="24"/>
                <w:lang w:val="lt-LT" w:eastAsia="zh-CN"/>
              </w:rPr>
              <w:lastRenderedPageBreak/>
              <w:t>padeda pasiekti pozityvių ir reikšmingų asmeniui ir visuomenei tikslų, t. y. sudaryti sąlygas įtraukčiai švietime.</w:t>
            </w:r>
          </w:p>
        </w:tc>
      </w:tr>
      <w:tr w:rsidR="000F159E" w:rsidRPr="0042797B" w14:paraId="13DCCA2D" w14:textId="77777777" w:rsidTr="00B62347">
        <w:tc>
          <w:tcPr>
            <w:tcW w:w="1770" w:type="dxa"/>
            <w:vMerge/>
          </w:tcPr>
          <w:p w14:paraId="55F70F9C" w14:textId="77777777" w:rsidR="000F159E" w:rsidRPr="0042797B" w:rsidRDefault="000F159E" w:rsidP="00A36764">
            <w:pPr>
              <w:jc w:val="center"/>
              <w:rPr>
                <w:rFonts w:ascii="Times New Roman" w:hAnsi="Times New Roman" w:cs="Times New Roman"/>
                <w:b/>
                <w:sz w:val="24"/>
                <w:szCs w:val="24"/>
                <w:lang w:val="lt-LT"/>
              </w:rPr>
            </w:pPr>
          </w:p>
        </w:tc>
        <w:tc>
          <w:tcPr>
            <w:tcW w:w="4326" w:type="dxa"/>
          </w:tcPr>
          <w:p w14:paraId="021EB6CE" w14:textId="64516182" w:rsidR="000F159E" w:rsidRPr="0042797B" w:rsidRDefault="6A0E237D" w:rsidP="6A0E237D">
            <w:pPr>
              <w:suppressAutoHyphens/>
              <w:jc w:val="both"/>
              <w:textAlignment w:val="top"/>
              <w:rPr>
                <w:rFonts w:ascii="Times New Roman" w:hAnsi="Times New Roman" w:cs="Times New Roman"/>
                <w:sz w:val="24"/>
                <w:szCs w:val="24"/>
                <w:lang w:val="lt-LT"/>
              </w:rPr>
            </w:pPr>
            <w:r w:rsidRPr="6A0E237D">
              <w:rPr>
                <w:rFonts w:ascii="Times New Roman" w:hAnsi="Times New Roman" w:cs="Times New Roman"/>
                <w:sz w:val="24"/>
                <w:szCs w:val="24"/>
                <w:lang w:val="lt-LT"/>
              </w:rPr>
              <w:t>Siūlome 36 str. pakeitime įtraukti nuostatą, jog mokinių vežimas turi būti užtikrintas prieinamu pagal individualius mokinių poreikius, transportu.</w:t>
            </w:r>
          </w:p>
        </w:tc>
        <w:tc>
          <w:tcPr>
            <w:tcW w:w="4678" w:type="dxa"/>
          </w:tcPr>
          <w:p w14:paraId="6F57BC39" w14:textId="0A59A7A9" w:rsidR="000F159E" w:rsidRPr="00DD3520" w:rsidRDefault="6A0E237D" w:rsidP="6A0E237D">
            <w:pPr>
              <w:numPr>
                <w:ilvl w:val="0"/>
                <w:numId w:val="9"/>
              </w:numPr>
              <w:shd w:val="clear" w:color="auto" w:fill="FFFFFF" w:themeFill="background1"/>
              <w:spacing w:after="0"/>
              <w:ind w:left="0"/>
              <w:rPr>
                <w:rFonts w:ascii="Times New Roman" w:hAnsi="Times New Roman" w:cs="Times New Roman"/>
                <w:b/>
                <w:bCs/>
                <w:sz w:val="24"/>
                <w:szCs w:val="24"/>
                <w:lang w:val="lt-LT"/>
              </w:rPr>
            </w:pPr>
            <w:r w:rsidRPr="6A0E237D">
              <w:rPr>
                <w:rFonts w:ascii="Times New Roman" w:hAnsi="Times New Roman" w:cs="Times New Roman"/>
                <w:b/>
                <w:bCs/>
                <w:sz w:val="24"/>
                <w:szCs w:val="24"/>
                <w:lang w:val="lt-LT"/>
              </w:rPr>
              <w:t>Neatsižvelgta</w:t>
            </w:r>
            <w:r w:rsidRPr="6A0E237D">
              <w:rPr>
                <w:rFonts w:ascii="Times New Roman" w:hAnsi="Times New Roman" w:cs="Times New Roman"/>
                <w:sz w:val="24"/>
                <w:szCs w:val="24"/>
                <w:lang w:val="lt-LT"/>
              </w:rPr>
              <w:t xml:space="preserve">, nes  šis reikalavimas </w:t>
            </w:r>
            <w:r w:rsidRPr="6A0E237D">
              <w:rPr>
                <w:rFonts w:ascii="Times New Roman" w:hAnsi="Times New Roman" w:cs="Times New Roman"/>
                <w:color w:val="000000" w:themeColor="text1"/>
                <w:sz w:val="24"/>
                <w:szCs w:val="24"/>
                <w:lang w:val="lt-LT"/>
              </w:rPr>
              <w:t xml:space="preserve">dėl neįgaliesiems fiziškai tinkamos aplinkos visose gyvenimo srityse, taip pat ir viešojo transporto objektų, skirtų keleiviams aptarnauti, ir jų infrastruktūros, informacinės aplinkos pritaikymą neįgaliųjų specialiesiems poreikiams  </w:t>
            </w:r>
            <w:r w:rsidRPr="6A0E237D">
              <w:rPr>
                <w:rFonts w:ascii="Times New Roman" w:hAnsi="Times New Roman" w:cs="Times New Roman"/>
                <w:sz w:val="24"/>
                <w:szCs w:val="24"/>
                <w:lang w:val="lt-LT"/>
              </w:rPr>
              <w:t>įtvirtintas nuo 1991 m</w:t>
            </w:r>
            <w:r w:rsidRPr="6A0E237D">
              <w:rPr>
                <w:rFonts w:ascii="Times New Roman" w:hAnsi="Times New Roman" w:cs="Times New Roman"/>
                <w:color w:val="000000" w:themeColor="text1"/>
                <w:sz w:val="24"/>
                <w:szCs w:val="24"/>
                <w:lang w:val="lt-LT"/>
              </w:rPr>
              <w:t xml:space="preserve">.   </w:t>
            </w:r>
            <w:r w:rsidRPr="6A0E237D">
              <w:rPr>
                <w:rFonts w:ascii="Times New Roman" w:hAnsi="Times New Roman" w:cs="Times New Roman"/>
                <w:sz w:val="24"/>
                <w:szCs w:val="24"/>
                <w:lang w:val="lt-LT"/>
              </w:rPr>
              <w:t>Neįgaliųjų socialinės integracijos įstatymo 11 str. ir JT neįgaliųjų teisių konvencijoje, vadinasi, kitų t</w:t>
            </w:r>
            <w:r w:rsidRPr="6A0E237D">
              <w:rPr>
                <w:rFonts w:ascii="Times New Roman" w:hAnsi="Times New Roman" w:cs="Times New Roman"/>
                <w:color w:val="000000" w:themeColor="text1"/>
                <w:sz w:val="24"/>
                <w:szCs w:val="24"/>
                <w:lang w:val="lt-LT"/>
              </w:rPr>
              <w:t>eisės aktų nuostatos turi užtikrinti ir negali paneigti Konstitucijoje, Europos Sąjungos teisės aktuose, Lietuvos Respublikos tarptautinėse sutartyse, Lietuvos Respublikos įstatymuose ir kituose teisės aktuose nustatytų asmens teisių.</w:t>
            </w:r>
          </w:p>
        </w:tc>
      </w:tr>
      <w:tr w:rsidR="000F159E" w:rsidRPr="0042797B" w14:paraId="32522034" w14:textId="77777777" w:rsidTr="00B62347">
        <w:tc>
          <w:tcPr>
            <w:tcW w:w="1770" w:type="dxa"/>
            <w:vMerge/>
          </w:tcPr>
          <w:p w14:paraId="08F9DEE7" w14:textId="77777777" w:rsidR="000F159E" w:rsidRPr="0042797B" w:rsidRDefault="000F159E" w:rsidP="00A36764">
            <w:pPr>
              <w:jc w:val="center"/>
              <w:rPr>
                <w:rFonts w:ascii="Times New Roman" w:hAnsi="Times New Roman" w:cs="Times New Roman"/>
                <w:b/>
                <w:sz w:val="24"/>
                <w:szCs w:val="24"/>
                <w:lang w:val="lt-LT"/>
              </w:rPr>
            </w:pPr>
          </w:p>
        </w:tc>
        <w:tc>
          <w:tcPr>
            <w:tcW w:w="4326" w:type="dxa"/>
          </w:tcPr>
          <w:p w14:paraId="74E8F704" w14:textId="65EC643A" w:rsidR="000F159E" w:rsidRPr="0042797B" w:rsidRDefault="6A0E237D" w:rsidP="6A0E237D">
            <w:pPr>
              <w:suppressAutoHyphens/>
              <w:jc w:val="both"/>
              <w:textAlignment w:val="top"/>
              <w:rPr>
                <w:rFonts w:ascii="Times New Roman" w:hAnsi="Times New Roman" w:cs="Times New Roman"/>
                <w:sz w:val="24"/>
                <w:szCs w:val="24"/>
                <w:lang w:val="lt-LT"/>
              </w:rPr>
            </w:pPr>
            <w:r w:rsidRPr="6A0E237D">
              <w:rPr>
                <w:rFonts w:ascii="Times New Roman" w:hAnsi="Times New Roman" w:cs="Times New Roman"/>
                <w:sz w:val="24"/>
                <w:szCs w:val="24"/>
                <w:lang w:val="lt-LT"/>
              </w:rPr>
              <w:t xml:space="preserve">Nepalaikome Įstatymo įsigaliojimo ir įgyvendinimo datą (2, 3, 4, 5, 6 str. ) nukelti į 2024 m. sausio 1 d. Ši data niekada nebuvo derinama (nei diskutuota) su negalios nevyriausybinėmis organizacijomis. </w:t>
            </w:r>
          </w:p>
          <w:p w14:paraId="28595003" w14:textId="77777777" w:rsidR="000F159E" w:rsidRPr="0042797B" w:rsidRDefault="6A0E237D" w:rsidP="6A0E237D">
            <w:pPr>
              <w:suppressAutoHyphens/>
              <w:jc w:val="both"/>
              <w:textAlignment w:val="top"/>
              <w:rPr>
                <w:rFonts w:ascii="Times New Roman" w:hAnsi="Times New Roman" w:cs="Times New Roman"/>
                <w:sz w:val="24"/>
                <w:szCs w:val="24"/>
                <w:lang w:val="lt-LT"/>
              </w:rPr>
            </w:pPr>
            <w:r w:rsidRPr="6A0E237D">
              <w:rPr>
                <w:rFonts w:ascii="Times New Roman" w:hAnsi="Times New Roman" w:cs="Times New Roman"/>
                <w:sz w:val="24"/>
                <w:szCs w:val="24"/>
                <w:lang w:val="lt-LT"/>
              </w:rPr>
              <w:t xml:space="preserve"> </w:t>
            </w:r>
          </w:p>
          <w:p w14:paraId="055F4ACD" w14:textId="77777777" w:rsidR="000F159E" w:rsidRPr="0042797B" w:rsidRDefault="000F159E" w:rsidP="6A0E237D">
            <w:pPr>
              <w:suppressAutoHyphens/>
              <w:jc w:val="both"/>
              <w:textAlignment w:val="top"/>
              <w:rPr>
                <w:rFonts w:ascii="Times New Roman" w:hAnsi="Times New Roman" w:cs="Times New Roman"/>
                <w:sz w:val="24"/>
                <w:szCs w:val="24"/>
                <w:lang w:val="lt-LT"/>
              </w:rPr>
            </w:pPr>
          </w:p>
        </w:tc>
        <w:tc>
          <w:tcPr>
            <w:tcW w:w="4678" w:type="dxa"/>
          </w:tcPr>
          <w:p w14:paraId="33C5476E" w14:textId="612AE287" w:rsidR="000F159E" w:rsidRPr="0042797B" w:rsidRDefault="6A0E237D" w:rsidP="6A0E237D">
            <w:pPr>
              <w:ind w:firstLine="119"/>
              <w:jc w:val="both"/>
              <w:rPr>
                <w:rFonts w:ascii="Times New Roman" w:hAnsi="Times New Roman" w:cs="Times New Roman"/>
                <w:b/>
                <w:bCs/>
                <w:sz w:val="24"/>
                <w:szCs w:val="24"/>
                <w:lang w:val="lt-LT"/>
              </w:rPr>
            </w:pPr>
            <w:r w:rsidRPr="6A0E237D">
              <w:rPr>
                <w:rFonts w:ascii="Times New Roman" w:hAnsi="Times New Roman" w:cs="Times New Roman"/>
                <w:b/>
                <w:bCs/>
                <w:sz w:val="24"/>
                <w:szCs w:val="24"/>
                <w:lang w:val="lt-LT"/>
              </w:rPr>
              <w:t>Neatsižvelgta</w:t>
            </w:r>
            <w:r w:rsidRPr="6A0E237D">
              <w:rPr>
                <w:rFonts w:ascii="Times New Roman" w:hAnsi="Times New Roman" w:cs="Times New Roman"/>
                <w:sz w:val="24"/>
                <w:szCs w:val="24"/>
                <w:lang w:val="lt-LT"/>
              </w:rPr>
              <w:t>, nes siekiant įgyvendinti įstatymo projekto nuostatas būtina iki jo įsigaliojimo užtikrinti sąlygas įtraukčiai, kitu atveju pakeitimai bus nepagrįsti realiomis  ugdymo įstaigų ir jų steigėjų galimybėmis, nesuplanuoti valstybės ir savivaldybių ištekliai šioms nuostatoms įgyvendinti, nepakankamai pasirengę mokytojai ir pagalbos mokiniui specialistai. Taip pat atkreipiame dėmesį, kad švietimo, mokslo ir sporto ministro sudarytoje darbo grupėje, rengiančioje pasiūlymus dėl Švietimo įstatymo keitimo dėl įtraukties įgyvendinti, dalyvavo ir LNOF deleguota atstovė, kuri neprieštaravo dėl terminų.</w:t>
            </w:r>
          </w:p>
        </w:tc>
      </w:tr>
      <w:tr w:rsidR="00A03C14" w:rsidRPr="0042797B" w14:paraId="129364B9" w14:textId="77777777" w:rsidTr="00B62347">
        <w:tc>
          <w:tcPr>
            <w:tcW w:w="1770" w:type="dxa"/>
          </w:tcPr>
          <w:p w14:paraId="2BC88A52" w14:textId="3E7C1046" w:rsidR="00A03C14" w:rsidRPr="0042797B" w:rsidRDefault="6A0E237D" w:rsidP="6A0E237D">
            <w:pPr>
              <w:jc w:val="center"/>
              <w:rPr>
                <w:rFonts w:ascii="Times New Roman" w:hAnsi="Times New Roman" w:cs="Times New Roman"/>
                <w:b/>
                <w:bCs/>
                <w:sz w:val="24"/>
                <w:szCs w:val="24"/>
                <w:lang w:val="lt-LT"/>
              </w:rPr>
            </w:pPr>
            <w:r w:rsidRPr="6A0E237D">
              <w:rPr>
                <w:rFonts w:ascii="Times New Roman" w:hAnsi="Times New Roman" w:cs="Times New Roman"/>
                <w:b/>
                <w:bCs/>
                <w:sz w:val="24"/>
                <w:szCs w:val="24"/>
                <w:lang w:val="lt-LT"/>
              </w:rPr>
              <w:t>Lietuvos Respublikos socialinės apsaugos ir darbo ministerija,</w:t>
            </w:r>
            <w:r w:rsidRPr="6A0E237D">
              <w:rPr>
                <w:rFonts w:ascii="Times New Roman" w:hAnsi="Times New Roman" w:cs="Times New Roman"/>
                <w:sz w:val="24"/>
                <w:szCs w:val="24"/>
                <w:lang w:val="lt-LT"/>
              </w:rPr>
              <w:t xml:space="preserve"> 2020-03-19 </w:t>
            </w:r>
          </w:p>
          <w:p w14:paraId="199AB0E7" w14:textId="374DAB50" w:rsidR="00A03C14" w:rsidRPr="0042797B" w:rsidRDefault="6A0E237D" w:rsidP="6A0E237D">
            <w:pPr>
              <w:jc w:val="center"/>
              <w:rPr>
                <w:rFonts w:ascii="Times New Roman" w:hAnsi="Times New Roman" w:cs="Times New Roman"/>
                <w:b/>
                <w:bCs/>
                <w:sz w:val="24"/>
                <w:szCs w:val="24"/>
                <w:lang w:val="lt-LT"/>
              </w:rPr>
            </w:pPr>
            <w:r w:rsidRPr="6A0E237D">
              <w:rPr>
                <w:rFonts w:ascii="Times New Roman" w:hAnsi="Times New Roman" w:cs="Times New Roman"/>
                <w:sz w:val="24"/>
                <w:szCs w:val="24"/>
                <w:lang w:val="lt-LT"/>
              </w:rPr>
              <w:lastRenderedPageBreak/>
              <w:t>raštas  Nr. (10.22E)-SD-1532</w:t>
            </w:r>
          </w:p>
        </w:tc>
        <w:tc>
          <w:tcPr>
            <w:tcW w:w="4326" w:type="dxa"/>
          </w:tcPr>
          <w:p w14:paraId="5E814104" w14:textId="7486AFCB" w:rsidR="00A03C14" w:rsidRPr="0042797B" w:rsidRDefault="6A0E237D" w:rsidP="6A0E237D">
            <w:pPr>
              <w:pStyle w:val="Antrats"/>
              <w:tabs>
                <w:tab w:val="clear" w:pos="4153"/>
                <w:tab w:val="left" w:pos="572"/>
                <w:tab w:val="center" w:pos="1134"/>
              </w:tabs>
              <w:ind w:right="69"/>
              <w:jc w:val="both"/>
              <w:rPr>
                <w:color w:val="000000" w:themeColor="text1"/>
              </w:rPr>
            </w:pPr>
            <w:r w:rsidRPr="6A0E237D">
              <w:lastRenderedPageBreak/>
              <w:t xml:space="preserve">Įstatymo projekto </w:t>
            </w:r>
            <w:r w:rsidRPr="6A0E237D">
              <w:rPr>
                <w:color w:val="000000" w:themeColor="text1"/>
              </w:rPr>
              <w:t>2 straipsniu keičiamos Švietimo įstatymo 14 straipsnio 7 dalies siekiant aiškumo, siūlytina žodžius „gali vykdyti“ keisti į „vykdo“</w:t>
            </w:r>
          </w:p>
        </w:tc>
        <w:tc>
          <w:tcPr>
            <w:tcW w:w="4678" w:type="dxa"/>
          </w:tcPr>
          <w:p w14:paraId="1FA83203" w14:textId="4483FD1B" w:rsidR="00A03C14" w:rsidRPr="0042797B" w:rsidRDefault="6A0E237D" w:rsidP="6A0E237D">
            <w:pPr>
              <w:tabs>
                <w:tab w:val="num" w:pos="720"/>
              </w:tabs>
              <w:jc w:val="both"/>
              <w:rPr>
                <w:rFonts w:ascii="Times New Roman" w:hAnsi="Times New Roman" w:cs="Times New Roman"/>
                <w:sz w:val="24"/>
                <w:szCs w:val="24"/>
                <w:lang w:val="lt-LT"/>
              </w:rPr>
            </w:pPr>
            <w:r w:rsidRPr="6A0E237D">
              <w:rPr>
                <w:rFonts w:ascii="Times New Roman" w:hAnsi="Times New Roman" w:cs="Times New Roman"/>
                <w:b/>
                <w:bCs/>
                <w:sz w:val="24"/>
                <w:szCs w:val="24"/>
                <w:lang w:val="lt-LT"/>
              </w:rPr>
              <w:t>Neatsižvelgta.</w:t>
            </w:r>
            <w:r w:rsidRPr="6A0E237D">
              <w:rPr>
                <w:rFonts w:ascii="Times New Roman" w:hAnsi="Times New Roman" w:cs="Times New Roman"/>
                <w:sz w:val="24"/>
                <w:szCs w:val="24"/>
                <w:lang w:val="lt-LT"/>
              </w:rPr>
              <w:t xml:space="preserve"> Nebūtinai, kiekvienu atveju, jei klasėje ugdosi mokinys, turintis didelių ir labai didelių specialiųjų ugdymosi poreikių, pvz., dėl mokymosi sunkumų, reikės klasėje kitų mokytojų pagalbų, gal užteks, jog pamokoje jam padėtų pagalbos mokiniui specialistai. Nesiūloma imperatyvi nuostata dėl to, kad yra nustatyti skirtingi klasių dydžiai pagal ugdymo programas ir klasių paskirtis (gali būti nuo 6 iki 30 mokinių) ir todėl būtini individualūs </w:t>
            </w:r>
            <w:r w:rsidRPr="6A0E237D">
              <w:rPr>
                <w:rFonts w:ascii="Times New Roman" w:hAnsi="Times New Roman" w:cs="Times New Roman"/>
                <w:sz w:val="24"/>
                <w:szCs w:val="24"/>
                <w:lang w:val="lt-LT"/>
              </w:rPr>
              <w:lastRenderedPageBreak/>
              <w:t xml:space="preserve">sprendimai mokyklose, siekiant įmanomai geriausiai atliepti individualius mokinių ugdymosi poreikius. Keičiamo įstatymo projekto 14 str. 7 d. siūlomas ugdymo proceso organizavimas bus detalizuotas Švietimo įstatymo 14 str. 1 d. pagrindu tvirtinamoje tvarkoje. </w:t>
            </w:r>
          </w:p>
        </w:tc>
      </w:tr>
      <w:tr w:rsidR="00A03C14" w:rsidRPr="0042797B" w14:paraId="0BE4D0B3" w14:textId="77777777" w:rsidTr="00B62347">
        <w:tc>
          <w:tcPr>
            <w:tcW w:w="1770" w:type="dxa"/>
          </w:tcPr>
          <w:p w14:paraId="32E7832F" w14:textId="0537BF0E" w:rsidR="00A03C14" w:rsidRPr="0042797B" w:rsidRDefault="6A0E237D" w:rsidP="6A0E237D">
            <w:pPr>
              <w:jc w:val="center"/>
              <w:rPr>
                <w:rFonts w:ascii="Times New Roman" w:hAnsi="Times New Roman" w:cs="Times New Roman"/>
                <w:b/>
                <w:bCs/>
                <w:sz w:val="24"/>
                <w:szCs w:val="24"/>
                <w:lang w:val="lt-LT"/>
              </w:rPr>
            </w:pPr>
            <w:r w:rsidRPr="6A0E237D">
              <w:rPr>
                <w:rFonts w:ascii="Times New Roman" w:hAnsi="Times New Roman" w:cs="Times New Roman"/>
                <w:b/>
                <w:bCs/>
                <w:sz w:val="24"/>
                <w:szCs w:val="24"/>
                <w:lang w:val="lt-LT"/>
              </w:rPr>
              <w:lastRenderedPageBreak/>
              <w:t xml:space="preserve">Lietuvos Respublikos sveikatos apsaugos ministerija, </w:t>
            </w:r>
            <w:r w:rsidRPr="6A0E237D">
              <w:rPr>
                <w:rFonts w:ascii="Times New Roman" w:hAnsi="Times New Roman" w:cs="Times New Roman"/>
                <w:sz w:val="24"/>
                <w:szCs w:val="24"/>
                <w:lang w:val="lt-LT"/>
              </w:rPr>
              <w:t xml:space="preserve">2020-03-12 </w:t>
            </w:r>
          </w:p>
          <w:p w14:paraId="3B8BD98F" w14:textId="44FFBE5B" w:rsidR="00A03C14" w:rsidRPr="0042797B" w:rsidRDefault="6A0E237D" w:rsidP="6A0E237D">
            <w:pPr>
              <w:jc w:val="center"/>
              <w:rPr>
                <w:rFonts w:ascii="Times New Roman" w:hAnsi="Times New Roman" w:cs="Times New Roman"/>
                <w:b/>
                <w:bCs/>
                <w:sz w:val="24"/>
                <w:szCs w:val="24"/>
                <w:lang w:val="lt-LT"/>
              </w:rPr>
            </w:pPr>
            <w:r w:rsidRPr="6A0E237D">
              <w:rPr>
                <w:rFonts w:ascii="Times New Roman" w:hAnsi="Times New Roman" w:cs="Times New Roman"/>
                <w:sz w:val="24"/>
                <w:szCs w:val="24"/>
                <w:lang w:val="lt-LT"/>
              </w:rPr>
              <w:t>raštas Nr. (1.1.5-411)10-1862</w:t>
            </w:r>
          </w:p>
        </w:tc>
        <w:tc>
          <w:tcPr>
            <w:tcW w:w="4326" w:type="dxa"/>
          </w:tcPr>
          <w:p w14:paraId="7F26204E" w14:textId="77777777" w:rsidR="004E6E62" w:rsidRPr="0042797B" w:rsidRDefault="6A0E237D" w:rsidP="6A0E237D">
            <w:pPr>
              <w:pStyle w:val="Pagrindinistekstas"/>
              <w:spacing w:line="281" w:lineRule="auto"/>
            </w:pPr>
            <w:r w:rsidRPr="6A0E237D">
              <w:rPr>
                <w:rStyle w:val="Emfaz"/>
              </w:rPr>
              <w:t>1. Įstatymo projektą papildyti sąvoka „mokinio savirūpa“. Šią sąvoką apibrėžti taip: „</w:t>
            </w:r>
            <w:r w:rsidRPr="6A0E237D">
              <w:t>Mokinio savirūpa – mokinio, sergančio lėtine liga, ugdomas (is) gebėjimas saugoti sveikatą, prisitaikyti prie aplinkos sąlygų, apsisaugoti nuo ligos komplikacijų, atpažinti sveikatos būklės pablogėjimą ir pačiam savarankiškai vykdyti gydytojo paskirtą gydymą, su šeimos ar specialistų pagalba“.</w:t>
            </w:r>
          </w:p>
          <w:p w14:paraId="74B25CF9" w14:textId="0FD2BB71" w:rsidR="00A03C14" w:rsidRPr="0042797B" w:rsidRDefault="00A03C14" w:rsidP="6A0E237D">
            <w:pPr>
              <w:pStyle w:val="Pagrindinistekstas"/>
              <w:spacing w:line="281" w:lineRule="auto"/>
            </w:pPr>
          </w:p>
        </w:tc>
        <w:tc>
          <w:tcPr>
            <w:tcW w:w="4678" w:type="dxa"/>
          </w:tcPr>
          <w:p w14:paraId="2870D695" w14:textId="694A6FB0" w:rsidR="00A03C14" w:rsidRPr="0042797B" w:rsidRDefault="6A0E237D" w:rsidP="6A0E237D">
            <w:pPr>
              <w:tabs>
                <w:tab w:val="num" w:pos="720"/>
              </w:tabs>
              <w:jc w:val="both"/>
              <w:rPr>
                <w:rFonts w:ascii="Times New Roman" w:hAnsi="Times New Roman" w:cs="Times New Roman"/>
                <w:sz w:val="24"/>
                <w:szCs w:val="24"/>
                <w:lang w:val="lt-LT"/>
              </w:rPr>
            </w:pPr>
            <w:r w:rsidRPr="6A0E237D">
              <w:rPr>
                <w:rFonts w:ascii="Times New Roman" w:hAnsi="Times New Roman" w:cs="Times New Roman"/>
                <w:b/>
                <w:bCs/>
                <w:sz w:val="24"/>
                <w:szCs w:val="24"/>
                <w:lang w:val="lt-LT"/>
              </w:rPr>
              <w:t xml:space="preserve">Neatsižvelgta, </w:t>
            </w:r>
            <w:r w:rsidRPr="6A0E237D">
              <w:rPr>
                <w:rFonts w:ascii="Times New Roman" w:hAnsi="Times New Roman" w:cs="Times New Roman"/>
                <w:sz w:val="24"/>
                <w:szCs w:val="24"/>
                <w:lang w:val="lt-LT"/>
              </w:rPr>
              <w:t xml:space="preserve">nes Švietimo įstatymas nustato Lietuvos Respublikos švietimo tikslus, švietimo sistemos principus, švietimo sistemos sandaros, švietimo veiklos, švietimo santykių pagrindus, valstybės įsipareigojimus švietimo srityje ir su tuo susijusias sąvokas. Be to, sąvoka yra apibrėžta </w:t>
            </w:r>
            <w:r w:rsidRPr="6A0E237D">
              <w:rPr>
                <w:rFonts w:ascii="Times New Roman" w:hAnsi="Times New Roman" w:cs="Times New Roman"/>
                <w:color w:val="000000" w:themeColor="text1"/>
                <w:sz w:val="24"/>
                <w:szCs w:val="24"/>
                <w:lang w:val="lt-LT" w:eastAsia="lt-LT"/>
              </w:rPr>
              <w:t>Visuomenės sveikatos priežiūros organizavimo mokykloje tvarkos aprašo, patvirtinto Lietuvos Respublikos sveikatos apsaugos ministro ir Lietuvos Respublikos švietimo, mokslo ir sporto ministro 2005 m. gruodžio 30 d. įsakymu Nr. V-1035/ISAK-2680 „Dėl Visuomenės sveikatos priežiūros organizavimo mokykloje tvarkos aprašo patvirtinimo“ (nauja redakcija 2019 m. gruodžio 11d.  įsakymas Nr. V-1428/V-1465), 3</w:t>
            </w:r>
            <w:r w:rsidRPr="6A0E237D">
              <w:rPr>
                <w:rFonts w:ascii="Times New Roman" w:hAnsi="Times New Roman" w:cs="Times New Roman"/>
                <w:color w:val="000000" w:themeColor="text1"/>
                <w:sz w:val="24"/>
                <w:szCs w:val="24"/>
                <w:vertAlign w:val="superscript"/>
                <w:lang w:val="lt-LT" w:eastAsia="lt-LT"/>
              </w:rPr>
              <w:t>1</w:t>
            </w:r>
            <w:r w:rsidRPr="6A0E237D">
              <w:rPr>
                <w:rFonts w:ascii="Times New Roman" w:hAnsi="Times New Roman" w:cs="Times New Roman"/>
                <w:color w:val="000000" w:themeColor="text1"/>
                <w:sz w:val="24"/>
                <w:szCs w:val="24"/>
                <w:lang w:val="lt-LT" w:eastAsia="lt-LT"/>
              </w:rPr>
              <w:t xml:space="preserve"> punktu, ir nepastebėta, kad </w:t>
            </w:r>
            <w:r w:rsidRPr="6A0E237D">
              <w:rPr>
                <w:rFonts w:ascii="Times New Roman" w:hAnsi="Times New Roman" w:cs="Times New Roman"/>
                <w:sz w:val="24"/>
                <w:szCs w:val="24"/>
                <w:lang w:val="lt-LT"/>
              </w:rPr>
              <w:t xml:space="preserve">esamo </w:t>
            </w:r>
            <w:r w:rsidRPr="6A0E237D">
              <w:rPr>
                <w:rFonts w:ascii="Times New Roman" w:hAnsi="Times New Roman" w:cs="Times New Roman"/>
                <w:color w:val="000000" w:themeColor="text1"/>
                <w:sz w:val="24"/>
                <w:szCs w:val="24"/>
                <w:lang w:val="lt-LT" w:eastAsia="lt-LT"/>
              </w:rPr>
              <w:t xml:space="preserve"> reguliavimo nepakanka ir </w:t>
            </w:r>
            <w:r w:rsidRPr="6A0E237D">
              <w:rPr>
                <w:rFonts w:ascii="Times New Roman" w:hAnsi="Times New Roman" w:cs="Times New Roman"/>
                <w:sz w:val="24"/>
                <w:szCs w:val="24"/>
                <w:lang w:val="lt-LT"/>
              </w:rPr>
              <w:t xml:space="preserve">būtų </w:t>
            </w:r>
            <w:r w:rsidRPr="6A0E237D">
              <w:rPr>
                <w:rFonts w:ascii="Times New Roman" w:hAnsi="Times New Roman" w:cs="Times New Roman"/>
                <w:color w:val="000000" w:themeColor="text1"/>
                <w:sz w:val="24"/>
                <w:szCs w:val="24"/>
                <w:lang w:val="lt-LT" w:eastAsia="lt-LT"/>
              </w:rPr>
              <w:t>poreikis reguliuoti įstatymo lygmeniu.</w:t>
            </w:r>
          </w:p>
        </w:tc>
      </w:tr>
      <w:tr w:rsidR="00C563BB" w:rsidRPr="0042797B" w14:paraId="3F7781DA" w14:textId="77777777" w:rsidTr="00B62347">
        <w:tc>
          <w:tcPr>
            <w:tcW w:w="1770" w:type="dxa"/>
          </w:tcPr>
          <w:p w14:paraId="13B021F6" w14:textId="693DA00E" w:rsidR="00C563BB" w:rsidRPr="0042797B" w:rsidRDefault="6A0E237D" w:rsidP="6A0E237D">
            <w:pPr>
              <w:jc w:val="center"/>
              <w:rPr>
                <w:rFonts w:ascii="Times New Roman" w:hAnsi="Times New Roman" w:cs="Times New Roman"/>
                <w:b/>
                <w:bCs/>
                <w:sz w:val="24"/>
                <w:szCs w:val="24"/>
                <w:lang w:val="lt-LT"/>
              </w:rPr>
            </w:pPr>
            <w:r w:rsidRPr="6A0E237D">
              <w:rPr>
                <w:rFonts w:ascii="Times New Roman" w:hAnsi="Times New Roman" w:cs="Times New Roman"/>
                <w:b/>
                <w:bCs/>
                <w:sz w:val="24"/>
                <w:szCs w:val="24"/>
                <w:lang w:val="lt-LT"/>
              </w:rPr>
              <w:t xml:space="preserve">Lietuvos savivaldybių asociacija, </w:t>
            </w:r>
            <w:r w:rsidRPr="6A0E237D">
              <w:rPr>
                <w:rFonts w:ascii="Times New Roman" w:hAnsi="Times New Roman" w:cs="Times New Roman"/>
                <w:sz w:val="24"/>
                <w:szCs w:val="24"/>
                <w:lang w:val="lt-LT"/>
              </w:rPr>
              <w:t xml:space="preserve">2020-06-12 </w:t>
            </w:r>
          </w:p>
          <w:p w14:paraId="53A86C55" w14:textId="17E2B037" w:rsidR="00C563BB" w:rsidRPr="0042797B" w:rsidRDefault="6A0E237D" w:rsidP="6A0E237D">
            <w:pPr>
              <w:jc w:val="center"/>
              <w:rPr>
                <w:rFonts w:ascii="Times New Roman" w:hAnsi="Times New Roman" w:cs="Times New Roman"/>
                <w:b/>
                <w:bCs/>
                <w:sz w:val="24"/>
                <w:szCs w:val="24"/>
                <w:lang w:val="lt-LT"/>
              </w:rPr>
            </w:pPr>
            <w:r w:rsidRPr="6A0E237D">
              <w:rPr>
                <w:rFonts w:ascii="Times New Roman" w:hAnsi="Times New Roman" w:cs="Times New Roman"/>
                <w:sz w:val="24"/>
                <w:szCs w:val="24"/>
                <w:lang w:val="lt-LT"/>
              </w:rPr>
              <w:t xml:space="preserve">raštas </w:t>
            </w:r>
          </w:p>
          <w:p w14:paraId="642709D7" w14:textId="5F610800" w:rsidR="00C563BB" w:rsidRPr="0042797B" w:rsidRDefault="6A0E237D" w:rsidP="6A0E237D">
            <w:pPr>
              <w:jc w:val="center"/>
              <w:rPr>
                <w:rFonts w:ascii="Times New Roman" w:hAnsi="Times New Roman" w:cs="Times New Roman"/>
                <w:b/>
                <w:bCs/>
                <w:sz w:val="24"/>
                <w:szCs w:val="24"/>
                <w:lang w:val="lt-LT"/>
              </w:rPr>
            </w:pPr>
            <w:r w:rsidRPr="6A0E237D">
              <w:rPr>
                <w:rFonts w:ascii="Times New Roman" w:hAnsi="Times New Roman" w:cs="Times New Roman"/>
                <w:sz w:val="24"/>
                <w:szCs w:val="24"/>
                <w:lang w:val="lt-LT"/>
              </w:rPr>
              <w:t>Nr. (13)-SD</w:t>
            </w:r>
            <w:r w:rsidRPr="6A0E237D">
              <w:rPr>
                <w:rFonts w:ascii="Times New Roman" w:hAnsi="Times New Roman" w:cs="Times New Roman"/>
                <w:b/>
                <w:bCs/>
                <w:sz w:val="24"/>
                <w:szCs w:val="24"/>
                <w:lang w:val="lt-LT"/>
              </w:rPr>
              <w:t>-</w:t>
            </w:r>
          </w:p>
        </w:tc>
        <w:tc>
          <w:tcPr>
            <w:tcW w:w="4326" w:type="dxa"/>
          </w:tcPr>
          <w:p w14:paraId="48B15A64" w14:textId="6E12E432" w:rsidR="00C563BB" w:rsidRPr="0042797B" w:rsidRDefault="6A0E237D" w:rsidP="6A0E237D">
            <w:pPr>
              <w:pStyle w:val="Pagrindinistekstas"/>
              <w:tabs>
                <w:tab w:val="left" w:pos="5313"/>
              </w:tabs>
              <w:spacing w:line="281" w:lineRule="auto"/>
              <w:ind w:firstLine="289"/>
              <w:rPr>
                <w:rStyle w:val="Emfaz"/>
                <w:i w:val="0"/>
                <w:iCs w:val="0"/>
              </w:rPr>
            </w:pPr>
            <w:r w:rsidRPr="6A0E237D">
              <w:rPr>
                <w:rStyle w:val="Emfaz"/>
                <w:i w:val="0"/>
                <w:iCs w:val="0"/>
              </w:rPr>
              <w:t xml:space="preserve">Ikimokyklinės ugdymo įstaigos neturi autobusų, todėl negalės užtikrinti 7 str. nuostatų įgyvendinimą. </w:t>
            </w:r>
          </w:p>
        </w:tc>
        <w:tc>
          <w:tcPr>
            <w:tcW w:w="4678" w:type="dxa"/>
          </w:tcPr>
          <w:p w14:paraId="56E58DA3" w14:textId="3EBA6874" w:rsidR="00C563BB" w:rsidRPr="0042797B" w:rsidRDefault="6A0E237D" w:rsidP="006E5557">
            <w:pPr>
              <w:tabs>
                <w:tab w:val="num" w:pos="720"/>
              </w:tabs>
              <w:jc w:val="both"/>
              <w:rPr>
                <w:rFonts w:ascii="Times New Roman" w:hAnsi="Times New Roman" w:cs="Times New Roman"/>
                <w:b/>
                <w:bCs/>
                <w:sz w:val="24"/>
                <w:szCs w:val="24"/>
                <w:lang w:val="lt-LT"/>
              </w:rPr>
            </w:pPr>
            <w:r w:rsidRPr="6A0E237D">
              <w:rPr>
                <w:rFonts w:ascii="Times New Roman" w:hAnsi="Times New Roman" w:cs="Times New Roman"/>
                <w:b/>
                <w:bCs/>
                <w:sz w:val="24"/>
                <w:szCs w:val="24"/>
                <w:lang w:val="lt-LT"/>
              </w:rPr>
              <w:t xml:space="preserve">Neatsižvelgta, </w:t>
            </w:r>
            <w:r w:rsidRPr="6A0E237D">
              <w:rPr>
                <w:rFonts w:ascii="Times New Roman" w:hAnsi="Times New Roman" w:cs="Times New Roman"/>
                <w:sz w:val="24"/>
                <w:szCs w:val="24"/>
                <w:lang w:val="lt-LT"/>
              </w:rPr>
              <w:t>nes</w:t>
            </w:r>
            <w:r w:rsidRPr="6A0E237D">
              <w:rPr>
                <w:rFonts w:ascii="Times New Roman" w:hAnsi="Times New Roman" w:cs="Times New Roman"/>
                <w:b/>
                <w:bCs/>
                <w:sz w:val="24"/>
                <w:szCs w:val="24"/>
                <w:lang w:val="lt-LT"/>
              </w:rPr>
              <w:t xml:space="preserve"> </w:t>
            </w:r>
            <w:r w:rsidRPr="6A0E237D">
              <w:rPr>
                <w:rFonts w:ascii="Times New Roman" w:hAnsi="Times New Roman" w:cs="Times New Roman"/>
                <w:sz w:val="24"/>
                <w:szCs w:val="24"/>
                <w:lang w:val="lt-LT"/>
              </w:rPr>
              <w:t xml:space="preserve">visais atvejais turėtų būti laikomasi vaiko interesų viršenybės principo ir </w:t>
            </w:r>
            <w:r w:rsidRPr="6A0E237D">
              <w:rPr>
                <w:rFonts w:ascii="Times New Roman" w:hAnsi="Times New Roman" w:cs="Times New Roman"/>
                <w:color w:val="000000" w:themeColor="text1"/>
                <w:sz w:val="24"/>
                <w:szCs w:val="24"/>
                <w:lang w:val="lt-LT"/>
              </w:rPr>
              <w:t xml:space="preserve">padėti šeimai, patiriančiai socialinę riziką, </w:t>
            </w:r>
            <w:r w:rsidRPr="6A0E237D">
              <w:rPr>
                <w:rFonts w:ascii="Times New Roman" w:hAnsi="Times New Roman" w:cs="Times New Roman"/>
                <w:sz w:val="24"/>
                <w:szCs w:val="24"/>
                <w:lang w:val="lt-LT"/>
              </w:rPr>
              <w:t>sudaryti sąlygas pavėžėti jį į mokyklą ir iš jo, panaudojant savivaldybės mokyklinius autobusus. Be to, Švietimo įstatymo 36 str. 1 d. nurodyto Mokinių vežimo mokykliniu autobusu tvarkos aprašo 12, 18, 19 punktai numato ikimokyklinio amžiaus vaikų vežiojimą.</w:t>
            </w:r>
          </w:p>
        </w:tc>
      </w:tr>
    </w:tbl>
    <w:p w14:paraId="42220FCC" w14:textId="77777777" w:rsidR="005807FB" w:rsidRPr="0042797B" w:rsidRDefault="6A0E237D" w:rsidP="6A0E237D">
      <w:pPr>
        <w:jc w:val="center"/>
        <w:rPr>
          <w:rFonts w:ascii="Times New Roman" w:hAnsi="Times New Roman" w:cs="Times New Roman"/>
          <w:sz w:val="24"/>
          <w:szCs w:val="24"/>
          <w:lang w:val="lt-LT"/>
        </w:rPr>
      </w:pPr>
      <w:r w:rsidRPr="6A0E237D">
        <w:rPr>
          <w:rFonts w:ascii="Times New Roman" w:hAnsi="Times New Roman" w:cs="Times New Roman"/>
          <w:sz w:val="24"/>
          <w:szCs w:val="24"/>
          <w:lang w:val="lt-LT"/>
        </w:rPr>
        <w:t>_______________________________________________</w:t>
      </w:r>
    </w:p>
    <w:p w14:paraId="2FC4CD44" w14:textId="77777777" w:rsidR="008542D8" w:rsidRPr="0042797B" w:rsidRDefault="008542D8" w:rsidP="6A0E237D">
      <w:pPr>
        <w:rPr>
          <w:rFonts w:ascii="Times New Roman" w:hAnsi="Times New Roman" w:cs="Times New Roman"/>
          <w:sz w:val="24"/>
          <w:szCs w:val="24"/>
          <w:lang w:val="lt-LT"/>
        </w:rPr>
      </w:pPr>
    </w:p>
    <w:sectPr w:rsidR="008542D8" w:rsidRPr="0042797B" w:rsidSect="00B62347">
      <w:headerReference w:type="default" r:id="rId12"/>
      <w:footerReference w:type="default" r:id="rId13"/>
      <w:headerReference w:type="first" r:id="rId14"/>
      <w:footerReference w:type="first" r:id="rId15"/>
      <w:pgSz w:w="11907" w:h="16839"/>
      <w:pgMar w:top="1701" w:right="567" w:bottom="1134" w:left="1701"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437F11" w16cid:durableId="223622F1"/>
  <w16cid:commentId w16cid:paraId="796E7528" w16cid:durableId="223628F7"/>
  <w16cid:commentId w16cid:paraId="1D917266" w16cid:durableId="223626FC"/>
  <w16cid:commentId w16cid:paraId="44B0E2D1" w16cid:durableId="2236279E"/>
  <w16cid:commentId w16cid:paraId="50FA4012" w16cid:durableId="223628AD"/>
  <w16cid:commentId w16cid:paraId="2B78CBB5" w16cid:durableId="22362A69"/>
  <w16cid:commentId w16cid:paraId="542B9813" w16cid:durableId="22362DB5"/>
  <w16cid:commentId w16cid:paraId="2775E905" w16cid:durableId="22362FA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19CB9" w14:textId="77777777" w:rsidR="001547B8" w:rsidRDefault="001547B8" w:rsidP="009A01DD">
      <w:pPr>
        <w:spacing w:after="0" w:line="240" w:lineRule="auto"/>
      </w:pPr>
      <w:r>
        <w:separator/>
      </w:r>
    </w:p>
  </w:endnote>
  <w:endnote w:type="continuationSeparator" w:id="0">
    <w:p w14:paraId="2E83D81C" w14:textId="77777777" w:rsidR="001547B8" w:rsidRDefault="001547B8" w:rsidP="009A0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213"/>
      <w:gridCol w:w="3213"/>
      <w:gridCol w:w="3213"/>
    </w:tblGrid>
    <w:tr w:rsidR="2661594D" w14:paraId="1D96EA3E" w14:textId="77777777" w:rsidTr="2661594D">
      <w:tc>
        <w:tcPr>
          <w:tcW w:w="3489" w:type="dxa"/>
        </w:tcPr>
        <w:p w14:paraId="5C27D77F" w14:textId="4CF3F31A" w:rsidR="2661594D" w:rsidRDefault="2661594D" w:rsidP="2661594D">
          <w:pPr>
            <w:pStyle w:val="Antrats"/>
            <w:ind w:left="-115"/>
          </w:pPr>
        </w:p>
      </w:tc>
      <w:tc>
        <w:tcPr>
          <w:tcW w:w="3489" w:type="dxa"/>
        </w:tcPr>
        <w:p w14:paraId="1582CC1B" w14:textId="2B7C42D6" w:rsidR="2661594D" w:rsidRDefault="2661594D" w:rsidP="2661594D">
          <w:pPr>
            <w:pStyle w:val="Antrats"/>
            <w:jc w:val="center"/>
          </w:pPr>
        </w:p>
      </w:tc>
      <w:tc>
        <w:tcPr>
          <w:tcW w:w="3489" w:type="dxa"/>
        </w:tcPr>
        <w:p w14:paraId="4E279592" w14:textId="46351A49" w:rsidR="2661594D" w:rsidRDefault="2661594D" w:rsidP="2661594D">
          <w:pPr>
            <w:pStyle w:val="Antrats"/>
            <w:ind w:right="-115"/>
            <w:jc w:val="right"/>
          </w:pPr>
        </w:p>
      </w:tc>
    </w:tr>
  </w:tbl>
  <w:p w14:paraId="16E98385" w14:textId="5BA2D9BF" w:rsidR="2661594D" w:rsidRDefault="2661594D" w:rsidP="2661594D">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213"/>
      <w:gridCol w:w="3213"/>
      <w:gridCol w:w="3213"/>
    </w:tblGrid>
    <w:tr w:rsidR="2661594D" w14:paraId="02AE5CC6" w14:textId="77777777" w:rsidTr="2661594D">
      <w:tc>
        <w:tcPr>
          <w:tcW w:w="3489" w:type="dxa"/>
        </w:tcPr>
        <w:p w14:paraId="46973B94" w14:textId="57358A26" w:rsidR="2661594D" w:rsidRDefault="2661594D" w:rsidP="2661594D">
          <w:pPr>
            <w:pStyle w:val="Antrats"/>
            <w:ind w:left="-115"/>
          </w:pPr>
        </w:p>
      </w:tc>
      <w:tc>
        <w:tcPr>
          <w:tcW w:w="3489" w:type="dxa"/>
        </w:tcPr>
        <w:p w14:paraId="76A5A620" w14:textId="55A43E26" w:rsidR="2661594D" w:rsidRDefault="2661594D" w:rsidP="2661594D">
          <w:pPr>
            <w:pStyle w:val="Antrats"/>
            <w:jc w:val="center"/>
          </w:pPr>
        </w:p>
      </w:tc>
      <w:tc>
        <w:tcPr>
          <w:tcW w:w="3489" w:type="dxa"/>
        </w:tcPr>
        <w:p w14:paraId="766B1AAC" w14:textId="0F095B1A" w:rsidR="2661594D" w:rsidRDefault="2661594D" w:rsidP="2661594D">
          <w:pPr>
            <w:pStyle w:val="Antrats"/>
            <w:ind w:right="-115"/>
            <w:jc w:val="right"/>
          </w:pPr>
        </w:p>
      </w:tc>
    </w:tr>
  </w:tbl>
  <w:p w14:paraId="3AD186D0" w14:textId="323473B6" w:rsidR="2661594D" w:rsidRDefault="2661594D" w:rsidP="2661594D">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E7A6E" w14:textId="77777777" w:rsidR="001547B8" w:rsidRDefault="001547B8" w:rsidP="009A01DD">
      <w:pPr>
        <w:spacing w:after="0" w:line="240" w:lineRule="auto"/>
      </w:pPr>
      <w:r>
        <w:separator/>
      </w:r>
    </w:p>
  </w:footnote>
  <w:footnote w:type="continuationSeparator" w:id="0">
    <w:p w14:paraId="36BE5106" w14:textId="77777777" w:rsidR="001547B8" w:rsidRDefault="001547B8" w:rsidP="009A0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9C649" w14:textId="34F560A4" w:rsidR="2661594D" w:rsidRDefault="2661594D" w:rsidP="2661594D">
    <w:pPr>
      <w:pStyle w:val="Antrats"/>
      <w:jc w:val="center"/>
    </w:pPr>
  </w:p>
  <w:sdt>
    <w:sdtPr>
      <w:id w:val="996304403"/>
      <w:docPartObj>
        <w:docPartGallery w:val="Page Numbers (Top of Page)"/>
        <w:docPartUnique/>
      </w:docPartObj>
    </w:sdtPr>
    <w:sdtEndPr>
      <w:rPr>
        <w:noProof/>
      </w:rPr>
    </w:sdtEndPr>
    <w:sdtContent>
      <w:p w14:paraId="4DF2003D" w14:textId="06CC99AC" w:rsidR="009A01DD" w:rsidRDefault="009A01DD">
        <w:pPr>
          <w:pStyle w:val="Antrats"/>
          <w:jc w:val="center"/>
        </w:pPr>
        <w:r>
          <w:fldChar w:fldCharType="begin"/>
        </w:r>
        <w:r>
          <w:instrText xml:space="preserve"> PAGE   \* MERGEFORMAT </w:instrText>
        </w:r>
        <w:r>
          <w:fldChar w:fldCharType="separate"/>
        </w:r>
        <w:r w:rsidR="00B62347">
          <w:rPr>
            <w:noProof/>
          </w:rPr>
          <w:t>5</w:t>
        </w:r>
        <w:r>
          <w:rPr>
            <w:noProof/>
          </w:rPr>
          <w:fldChar w:fldCharType="end"/>
        </w:r>
      </w:p>
    </w:sdtContent>
  </w:sdt>
  <w:p w14:paraId="58000664" w14:textId="77777777" w:rsidR="009A01DD" w:rsidRDefault="009A01DD">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213"/>
      <w:gridCol w:w="3213"/>
      <w:gridCol w:w="3213"/>
    </w:tblGrid>
    <w:tr w:rsidR="2661594D" w14:paraId="55CB19C0" w14:textId="77777777" w:rsidTr="2661594D">
      <w:tc>
        <w:tcPr>
          <w:tcW w:w="3489" w:type="dxa"/>
        </w:tcPr>
        <w:p w14:paraId="0FCF6418" w14:textId="2178ACF7" w:rsidR="2661594D" w:rsidRDefault="2661594D" w:rsidP="2661594D">
          <w:pPr>
            <w:pStyle w:val="Antrats"/>
            <w:ind w:left="-115"/>
          </w:pPr>
        </w:p>
      </w:tc>
      <w:tc>
        <w:tcPr>
          <w:tcW w:w="3489" w:type="dxa"/>
        </w:tcPr>
        <w:p w14:paraId="3B166812" w14:textId="66F70476" w:rsidR="2661594D" w:rsidRDefault="2661594D" w:rsidP="2661594D">
          <w:pPr>
            <w:pStyle w:val="Antrats"/>
            <w:jc w:val="center"/>
          </w:pPr>
        </w:p>
      </w:tc>
      <w:tc>
        <w:tcPr>
          <w:tcW w:w="3489" w:type="dxa"/>
        </w:tcPr>
        <w:p w14:paraId="023DEF71" w14:textId="03A87FBB" w:rsidR="2661594D" w:rsidRDefault="2661594D" w:rsidP="2661594D">
          <w:pPr>
            <w:pStyle w:val="Antrats"/>
            <w:ind w:right="-115"/>
            <w:jc w:val="right"/>
          </w:pPr>
        </w:p>
      </w:tc>
    </w:tr>
  </w:tbl>
  <w:p w14:paraId="3854261A" w14:textId="6E0192C2" w:rsidR="2661594D" w:rsidRDefault="2661594D" w:rsidP="2661594D">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41160"/>
    <w:multiLevelType w:val="multilevel"/>
    <w:tmpl w:val="B57E57DA"/>
    <w:lvl w:ilvl="0">
      <w:start w:val="1"/>
      <w:numFmt w:val="decimal"/>
      <w:lvlText w:val="%1."/>
      <w:lvlJc w:val="left"/>
      <w:pPr>
        <w:ind w:left="1080" w:hanging="360"/>
      </w:pPr>
      <w:rPr>
        <w:rFonts w:hint="default"/>
      </w:rPr>
    </w:lvl>
    <w:lvl w:ilvl="1">
      <w:start w:val="1"/>
      <w:numFmt w:val="decimal"/>
      <w:lvlText w:val="%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71B3E77"/>
    <w:multiLevelType w:val="hybridMultilevel"/>
    <w:tmpl w:val="3DE4D720"/>
    <w:lvl w:ilvl="0" w:tplc="5F16422E">
      <w:start w:val="1"/>
      <w:numFmt w:val="bullet"/>
      <w:lvlText w:val="–"/>
      <w:lvlJc w:val="left"/>
      <w:pPr>
        <w:ind w:left="1777" w:hanging="360"/>
      </w:pPr>
      <w:rPr>
        <w:rFonts w:ascii="Times New Roman" w:eastAsia="Times New Roman" w:hAnsi="Times New Roman" w:cs="Times New Roman" w:hint="default"/>
      </w:rPr>
    </w:lvl>
    <w:lvl w:ilvl="1" w:tplc="08090003" w:tentative="1">
      <w:start w:val="1"/>
      <w:numFmt w:val="bullet"/>
      <w:lvlText w:val="o"/>
      <w:lvlJc w:val="left"/>
      <w:pPr>
        <w:ind w:left="2497" w:hanging="360"/>
      </w:pPr>
      <w:rPr>
        <w:rFonts w:ascii="Courier New" w:hAnsi="Courier New" w:cs="Courier New" w:hint="default"/>
      </w:rPr>
    </w:lvl>
    <w:lvl w:ilvl="2" w:tplc="08090005" w:tentative="1">
      <w:start w:val="1"/>
      <w:numFmt w:val="bullet"/>
      <w:lvlText w:val=""/>
      <w:lvlJc w:val="left"/>
      <w:pPr>
        <w:ind w:left="3217" w:hanging="360"/>
      </w:pPr>
      <w:rPr>
        <w:rFonts w:ascii="Wingdings" w:hAnsi="Wingdings" w:hint="default"/>
      </w:rPr>
    </w:lvl>
    <w:lvl w:ilvl="3" w:tplc="08090001" w:tentative="1">
      <w:start w:val="1"/>
      <w:numFmt w:val="bullet"/>
      <w:lvlText w:val=""/>
      <w:lvlJc w:val="left"/>
      <w:pPr>
        <w:ind w:left="3937" w:hanging="360"/>
      </w:pPr>
      <w:rPr>
        <w:rFonts w:ascii="Symbol" w:hAnsi="Symbol" w:hint="default"/>
      </w:rPr>
    </w:lvl>
    <w:lvl w:ilvl="4" w:tplc="08090003" w:tentative="1">
      <w:start w:val="1"/>
      <w:numFmt w:val="bullet"/>
      <w:lvlText w:val="o"/>
      <w:lvlJc w:val="left"/>
      <w:pPr>
        <w:ind w:left="4657" w:hanging="360"/>
      </w:pPr>
      <w:rPr>
        <w:rFonts w:ascii="Courier New" w:hAnsi="Courier New" w:cs="Courier New" w:hint="default"/>
      </w:rPr>
    </w:lvl>
    <w:lvl w:ilvl="5" w:tplc="08090005" w:tentative="1">
      <w:start w:val="1"/>
      <w:numFmt w:val="bullet"/>
      <w:lvlText w:val=""/>
      <w:lvlJc w:val="left"/>
      <w:pPr>
        <w:ind w:left="5377" w:hanging="360"/>
      </w:pPr>
      <w:rPr>
        <w:rFonts w:ascii="Wingdings" w:hAnsi="Wingdings" w:hint="default"/>
      </w:rPr>
    </w:lvl>
    <w:lvl w:ilvl="6" w:tplc="08090001" w:tentative="1">
      <w:start w:val="1"/>
      <w:numFmt w:val="bullet"/>
      <w:lvlText w:val=""/>
      <w:lvlJc w:val="left"/>
      <w:pPr>
        <w:ind w:left="6097" w:hanging="360"/>
      </w:pPr>
      <w:rPr>
        <w:rFonts w:ascii="Symbol" w:hAnsi="Symbol" w:hint="default"/>
      </w:rPr>
    </w:lvl>
    <w:lvl w:ilvl="7" w:tplc="08090003" w:tentative="1">
      <w:start w:val="1"/>
      <w:numFmt w:val="bullet"/>
      <w:lvlText w:val="o"/>
      <w:lvlJc w:val="left"/>
      <w:pPr>
        <w:ind w:left="6817" w:hanging="360"/>
      </w:pPr>
      <w:rPr>
        <w:rFonts w:ascii="Courier New" w:hAnsi="Courier New" w:cs="Courier New" w:hint="default"/>
      </w:rPr>
    </w:lvl>
    <w:lvl w:ilvl="8" w:tplc="08090005" w:tentative="1">
      <w:start w:val="1"/>
      <w:numFmt w:val="bullet"/>
      <w:lvlText w:val=""/>
      <w:lvlJc w:val="left"/>
      <w:pPr>
        <w:ind w:left="7537" w:hanging="360"/>
      </w:pPr>
      <w:rPr>
        <w:rFonts w:ascii="Wingdings" w:hAnsi="Wingdings" w:hint="default"/>
      </w:rPr>
    </w:lvl>
  </w:abstractNum>
  <w:abstractNum w:abstractNumId="2" w15:restartNumberingAfterBreak="0">
    <w:nsid w:val="08A43088"/>
    <w:multiLevelType w:val="hybridMultilevel"/>
    <w:tmpl w:val="D39C911A"/>
    <w:lvl w:ilvl="0" w:tplc="534E4E80">
      <w:start w:val="1"/>
      <w:numFmt w:val="decimal"/>
      <w:lvlText w:val="%1."/>
      <w:lvlJc w:val="left"/>
      <w:pPr>
        <w:ind w:left="1074" w:hanging="360"/>
      </w:pPr>
      <w:rPr>
        <w:rFonts w:hint="default"/>
      </w:rPr>
    </w:lvl>
    <w:lvl w:ilvl="1" w:tplc="04270019" w:tentative="1">
      <w:start w:val="1"/>
      <w:numFmt w:val="lowerLetter"/>
      <w:lvlText w:val="%2."/>
      <w:lvlJc w:val="left"/>
      <w:pPr>
        <w:ind w:left="1794" w:hanging="360"/>
      </w:pPr>
    </w:lvl>
    <w:lvl w:ilvl="2" w:tplc="0427001B" w:tentative="1">
      <w:start w:val="1"/>
      <w:numFmt w:val="lowerRoman"/>
      <w:lvlText w:val="%3."/>
      <w:lvlJc w:val="right"/>
      <w:pPr>
        <w:ind w:left="2514" w:hanging="180"/>
      </w:pPr>
    </w:lvl>
    <w:lvl w:ilvl="3" w:tplc="0427000F" w:tentative="1">
      <w:start w:val="1"/>
      <w:numFmt w:val="decimal"/>
      <w:lvlText w:val="%4."/>
      <w:lvlJc w:val="left"/>
      <w:pPr>
        <w:ind w:left="3234" w:hanging="360"/>
      </w:pPr>
    </w:lvl>
    <w:lvl w:ilvl="4" w:tplc="04270019" w:tentative="1">
      <w:start w:val="1"/>
      <w:numFmt w:val="lowerLetter"/>
      <w:lvlText w:val="%5."/>
      <w:lvlJc w:val="left"/>
      <w:pPr>
        <w:ind w:left="3954" w:hanging="360"/>
      </w:pPr>
    </w:lvl>
    <w:lvl w:ilvl="5" w:tplc="0427001B" w:tentative="1">
      <w:start w:val="1"/>
      <w:numFmt w:val="lowerRoman"/>
      <w:lvlText w:val="%6."/>
      <w:lvlJc w:val="right"/>
      <w:pPr>
        <w:ind w:left="4674" w:hanging="180"/>
      </w:pPr>
    </w:lvl>
    <w:lvl w:ilvl="6" w:tplc="0427000F" w:tentative="1">
      <w:start w:val="1"/>
      <w:numFmt w:val="decimal"/>
      <w:lvlText w:val="%7."/>
      <w:lvlJc w:val="left"/>
      <w:pPr>
        <w:ind w:left="5394" w:hanging="360"/>
      </w:pPr>
    </w:lvl>
    <w:lvl w:ilvl="7" w:tplc="04270019" w:tentative="1">
      <w:start w:val="1"/>
      <w:numFmt w:val="lowerLetter"/>
      <w:lvlText w:val="%8."/>
      <w:lvlJc w:val="left"/>
      <w:pPr>
        <w:ind w:left="6114" w:hanging="360"/>
      </w:pPr>
    </w:lvl>
    <w:lvl w:ilvl="8" w:tplc="0427001B" w:tentative="1">
      <w:start w:val="1"/>
      <w:numFmt w:val="lowerRoman"/>
      <w:lvlText w:val="%9."/>
      <w:lvlJc w:val="right"/>
      <w:pPr>
        <w:ind w:left="6834" w:hanging="180"/>
      </w:pPr>
    </w:lvl>
  </w:abstractNum>
  <w:abstractNum w:abstractNumId="3" w15:restartNumberingAfterBreak="0">
    <w:nsid w:val="14DA30FE"/>
    <w:multiLevelType w:val="hybridMultilevel"/>
    <w:tmpl w:val="32A67A86"/>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4" w15:restartNumberingAfterBreak="0">
    <w:nsid w:val="326C08A0"/>
    <w:multiLevelType w:val="multilevel"/>
    <w:tmpl w:val="25D01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A27EEF"/>
    <w:multiLevelType w:val="hybridMultilevel"/>
    <w:tmpl w:val="102A6CEE"/>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D3867D9"/>
    <w:multiLevelType w:val="multilevel"/>
    <w:tmpl w:val="6BBB37E4"/>
    <w:lvl w:ilvl="0">
      <w:start w:val="1"/>
      <w:numFmt w:val="decimal"/>
      <w:lvlText w:val="%1."/>
      <w:lvlJc w:val="left"/>
      <w:pPr>
        <w:ind w:left="1353" w:hanging="360"/>
      </w:pPr>
      <w:rPr>
        <w:rFonts w:hint="default"/>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7" w15:restartNumberingAfterBreak="0">
    <w:nsid w:val="6654615A"/>
    <w:multiLevelType w:val="hybridMultilevel"/>
    <w:tmpl w:val="183028B0"/>
    <w:lvl w:ilvl="0" w:tplc="8A263D38">
      <w:start w:val="1"/>
      <w:numFmt w:val="decimal"/>
      <w:lvlText w:val="%1)"/>
      <w:lvlJc w:val="left"/>
      <w:pPr>
        <w:ind w:left="479" w:hanging="360"/>
      </w:pPr>
      <w:rPr>
        <w:rFonts w:hint="default"/>
      </w:rPr>
    </w:lvl>
    <w:lvl w:ilvl="1" w:tplc="08090019" w:tentative="1">
      <w:start w:val="1"/>
      <w:numFmt w:val="lowerLetter"/>
      <w:lvlText w:val="%2."/>
      <w:lvlJc w:val="left"/>
      <w:pPr>
        <w:ind w:left="1199" w:hanging="360"/>
      </w:pPr>
    </w:lvl>
    <w:lvl w:ilvl="2" w:tplc="0809001B" w:tentative="1">
      <w:start w:val="1"/>
      <w:numFmt w:val="lowerRoman"/>
      <w:lvlText w:val="%3."/>
      <w:lvlJc w:val="right"/>
      <w:pPr>
        <w:ind w:left="1919" w:hanging="180"/>
      </w:pPr>
    </w:lvl>
    <w:lvl w:ilvl="3" w:tplc="0809000F" w:tentative="1">
      <w:start w:val="1"/>
      <w:numFmt w:val="decimal"/>
      <w:lvlText w:val="%4."/>
      <w:lvlJc w:val="left"/>
      <w:pPr>
        <w:ind w:left="2639" w:hanging="360"/>
      </w:pPr>
    </w:lvl>
    <w:lvl w:ilvl="4" w:tplc="08090019" w:tentative="1">
      <w:start w:val="1"/>
      <w:numFmt w:val="lowerLetter"/>
      <w:lvlText w:val="%5."/>
      <w:lvlJc w:val="left"/>
      <w:pPr>
        <w:ind w:left="3359" w:hanging="360"/>
      </w:pPr>
    </w:lvl>
    <w:lvl w:ilvl="5" w:tplc="0809001B" w:tentative="1">
      <w:start w:val="1"/>
      <w:numFmt w:val="lowerRoman"/>
      <w:lvlText w:val="%6."/>
      <w:lvlJc w:val="right"/>
      <w:pPr>
        <w:ind w:left="4079" w:hanging="180"/>
      </w:pPr>
    </w:lvl>
    <w:lvl w:ilvl="6" w:tplc="0809000F" w:tentative="1">
      <w:start w:val="1"/>
      <w:numFmt w:val="decimal"/>
      <w:lvlText w:val="%7."/>
      <w:lvlJc w:val="left"/>
      <w:pPr>
        <w:ind w:left="4799" w:hanging="360"/>
      </w:pPr>
    </w:lvl>
    <w:lvl w:ilvl="7" w:tplc="08090019" w:tentative="1">
      <w:start w:val="1"/>
      <w:numFmt w:val="lowerLetter"/>
      <w:lvlText w:val="%8."/>
      <w:lvlJc w:val="left"/>
      <w:pPr>
        <w:ind w:left="5519" w:hanging="360"/>
      </w:pPr>
    </w:lvl>
    <w:lvl w:ilvl="8" w:tplc="0809001B" w:tentative="1">
      <w:start w:val="1"/>
      <w:numFmt w:val="lowerRoman"/>
      <w:lvlText w:val="%9."/>
      <w:lvlJc w:val="right"/>
      <w:pPr>
        <w:ind w:left="6239" w:hanging="180"/>
      </w:pPr>
    </w:lvl>
  </w:abstractNum>
  <w:abstractNum w:abstractNumId="8" w15:restartNumberingAfterBreak="0">
    <w:nsid w:val="6BBB37E4"/>
    <w:multiLevelType w:val="multilevel"/>
    <w:tmpl w:val="297846D8"/>
    <w:lvl w:ilvl="0">
      <w:start w:val="1"/>
      <w:numFmt w:val="decimal"/>
      <w:lvlText w:val="%1."/>
      <w:lvlJc w:val="left"/>
      <w:pPr>
        <w:ind w:left="1353" w:hanging="360"/>
      </w:pPr>
      <w:rPr>
        <w:rFonts w:hint="default"/>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502" w:hanging="360"/>
      </w:pPr>
      <w:rPr>
        <w:b w:val="0"/>
      </w:r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num w:numId="1">
    <w:abstractNumId w:val="3"/>
  </w:num>
  <w:num w:numId="2">
    <w:abstractNumId w:val="0"/>
  </w:num>
  <w:num w:numId="3">
    <w:abstractNumId w:val="8"/>
  </w:num>
  <w:num w:numId="4">
    <w:abstractNumId w:val="6"/>
  </w:num>
  <w:num w:numId="5">
    <w:abstractNumId w:val="7"/>
  </w:num>
  <w:num w:numId="6">
    <w:abstractNumId w:val="1"/>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7FB"/>
    <w:rsid w:val="00002DBC"/>
    <w:rsid w:val="0001208E"/>
    <w:rsid w:val="00034158"/>
    <w:rsid w:val="00041FB2"/>
    <w:rsid w:val="00055836"/>
    <w:rsid w:val="000A00FA"/>
    <w:rsid w:val="000A5477"/>
    <w:rsid w:val="000B0634"/>
    <w:rsid w:val="000B474C"/>
    <w:rsid w:val="000E6056"/>
    <w:rsid w:val="000F159E"/>
    <w:rsid w:val="001115AA"/>
    <w:rsid w:val="00111FE6"/>
    <w:rsid w:val="00122031"/>
    <w:rsid w:val="001265A8"/>
    <w:rsid w:val="001273C8"/>
    <w:rsid w:val="00135C31"/>
    <w:rsid w:val="00137C3D"/>
    <w:rsid w:val="00144029"/>
    <w:rsid w:val="00150558"/>
    <w:rsid w:val="001547B8"/>
    <w:rsid w:val="00166932"/>
    <w:rsid w:val="00183C52"/>
    <w:rsid w:val="0019762F"/>
    <w:rsid w:val="001A4B5F"/>
    <w:rsid w:val="001C38E6"/>
    <w:rsid w:val="001D59AD"/>
    <w:rsid w:val="001D7D70"/>
    <w:rsid w:val="001E187D"/>
    <w:rsid w:val="002039B0"/>
    <w:rsid w:val="00207EAA"/>
    <w:rsid w:val="00221BC4"/>
    <w:rsid w:val="00232244"/>
    <w:rsid w:val="00235314"/>
    <w:rsid w:val="0024783C"/>
    <w:rsid w:val="00256648"/>
    <w:rsid w:val="002653AC"/>
    <w:rsid w:val="0027214E"/>
    <w:rsid w:val="00280440"/>
    <w:rsid w:val="00282D51"/>
    <w:rsid w:val="00283414"/>
    <w:rsid w:val="002B39B9"/>
    <w:rsid w:val="002D0616"/>
    <w:rsid w:val="002D763B"/>
    <w:rsid w:val="002E7B2B"/>
    <w:rsid w:val="0030175C"/>
    <w:rsid w:val="00340FFF"/>
    <w:rsid w:val="003506C2"/>
    <w:rsid w:val="00357DCD"/>
    <w:rsid w:val="00360F25"/>
    <w:rsid w:val="003962B0"/>
    <w:rsid w:val="003A494C"/>
    <w:rsid w:val="003A5642"/>
    <w:rsid w:val="003A676C"/>
    <w:rsid w:val="003C4957"/>
    <w:rsid w:val="003C4A7E"/>
    <w:rsid w:val="003F13BA"/>
    <w:rsid w:val="004054B2"/>
    <w:rsid w:val="00413C04"/>
    <w:rsid w:val="00421A90"/>
    <w:rsid w:val="00427569"/>
    <w:rsid w:val="0042797B"/>
    <w:rsid w:val="00450F22"/>
    <w:rsid w:val="00466F42"/>
    <w:rsid w:val="00481A2E"/>
    <w:rsid w:val="004851B9"/>
    <w:rsid w:val="004A0140"/>
    <w:rsid w:val="004A1B81"/>
    <w:rsid w:val="004B5359"/>
    <w:rsid w:val="004D6450"/>
    <w:rsid w:val="004E6E62"/>
    <w:rsid w:val="00523993"/>
    <w:rsid w:val="005343A4"/>
    <w:rsid w:val="00540DC3"/>
    <w:rsid w:val="00547EDD"/>
    <w:rsid w:val="0055736E"/>
    <w:rsid w:val="005807FB"/>
    <w:rsid w:val="0059705D"/>
    <w:rsid w:val="005A5223"/>
    <w:rsid w:val="005B04A1"/>
    <w:rsid w:val="005B5AB8"/>
    <w:rsid w:val="005D3601"/>
    <w:rsid w:val="005E018D"/>
    <w:rsid w:val="006067AE"/>
    <w:rsid w:val="00610E33"/>
    <w:rsid w:val="00624947"/>
    <w:rsid w:val="00633C09"/>
    <w:rsid w:val="00636B79"/>
    <w:rsid w:val="00670113"/>
    <w:rsid w:val="006837D3"/>
    <w:rsid w:val="006E5557"/>
    <w:rsid w:val="006F7B84"/>
    <w:rsid w:val="00700354"/>
    <w:rsid w:val="00702144"/>
    <w:rsid w:val="00714C9F"/>
    <w:rsid w:val="007273AE"/>
    <w:rsid w:val="007350AA"/>
    <w:rsid w:val="00735F28"/>
    <w:rsid w:val="00737597"/>
    <w:rsid w:val="007527D6"/>
    <w:rsid w:val="00767A64"/>
    <w:rsid w:val="00777BBC"/>
    <w:rsid w:val="0078072C"/>
    <w:rsid w:val="00793E5F"/>
    <w:rsid w:val="007A6DF0"/>
    <w:rsid w:val="007B67D4"/>
    <w:rsid w:val="007D0B49"/>
    <w:rsid w:val="007E32DD"/>
    <w:rsid w:val="007E52DF"/>
    <w:rsid w:val="00802F16"/>
    <w:rsid w:val="00814B5D"/>
    <w:rsid w:val="008233A8"/>
    <w:rsid w:val="00826739"/>
    <w:rsid w:val="008268EB"/>
    <w:rsid w:val="00835193"/>
    <w:rsid w:val="00836449"/>
    <w:rsid w:val="00846077"/>
    <w:rsid w:val="008542D8"/>
    <w:rsid w:val="008619C6"/>
    <w:rsid w:val="008738CD"/>
    <w:rsid w:val="00873A2A"/>
    <w:rsid w:val="008778CB"/>
    <w:rsid w:val="00883836"/>
    <w:rsid w:val="00894ECE"/>
    <w:rsid w:val="008A2CA9"/>
    <w:rsid w:val="008A7035"/>
    <w:rsid w:val="008B1C97"/>
    <w:rsid w:val="008B590C"/>
    <w:rsid w:val="008C279F"/>
    <w:rsid w:val="008C765F"/>
    <w:rsid w:val="008E4DE9"/>
    <w:rsid w:val="00921989"/>
    <w:rsid w:val="00930D50"/>
    <w:rsid w:val="0094409E"/>
    <w:rsid w:val="009464C9"/>
    <w:rsid w:val="00965987"/>
    <w:rsid w:val="009663EE"/>
    <w:rsid w:val="00970D37"/>
    <w:rsid w:val="009934D8"/>
    <w:rsid w:val="0099600C"/>
    <w:rsid w:val="009A01DD"/>
    <w:rsid w:val="009B6394"/>
    <w:rsid w:val="009C20FB"/>
    <w:rsid w:val="009C3D98"/>
    <w:rsid w:val="009E13DC"/>
    <w:rsid w:val="009E1A92"/>
    <w:rsid w:val="009E71F2"/>
    <w:rsid w:val="009F6829"/>
    <w:rsid w:val="009F6CCF"/>
    <w:rsid w:val="00A03C14"/>
    <w:rsid w:val="00A112B6"/>
    <w:rsid w:val="00A270F8"/>
    <w:rsid w:val="00A33A96"/>
    <w:rsid w:val="00A36764"/>
    <w:rsid w:val="00A4059B"/>
    <w:rsid w:val="00A44B5B"/>
    <w:rsid w:val="00A45044"/>
    <w:rsid w:val="00A71014"/>
    <w:rsid w:val="00A81650"/>
    <w:rsid w:val="00AA2E4D"/>
    <w:rsid w:val="00AA7364"/>
    <w:rsid w:val="00AB339D"/>
    <w:rsid w:val="00AC70E7"/>
    <w:rsid w:val="00AE2CE9"/>
    <w:rsid w:val="00AF6C4C"/>
    <w:rsid w:val="00B041AA"/>
    <w:rsid w:val="00B13988"/>
    <w:rsid w:val="00B13B39"/>
    <w:rsid w:val="00B31331"/>
    <w:rsid w:val="00B33193"/>
    <w:rsid w:val="00B50B1F"/>
    <w:rsid w:val="00B62347"/>
    <w:rsid w:val="00B62BB0"/>
    <w:rsid w:val="00B84293"/>
    <w:rsid w:val="00B92F8B"/>
    <w:rsid w:val="00BA5AF4"/>
    <w:rsid w:val="00BA6168"/>
    <w:rsid w:val="00BB14EC"/>
    <w:rsid w:val="00BC5D70"/>
    <w:rsid w:val="00BD59C3"/>
    <w:rsid w:val="00BD702F"/>
    <w:rsid w:val="00BE0935"/>
    <w:rsid w:val="00C06BDF"/>
    <w:rsid w:val="00C115C0"/>
    <w:rsid w:val="00C563BB"/>
    <w:rsid w:val="00C62B82"/>
    <w:rsid w:val="00C6339F"/>
    <w:rsid w:val="00C747A3"/>
    <w:rsid w:val="00C74D36"/>
    <w:rsid w:val="00C773D2"/>
    <w:rsid w:val="00C80866"/>
    <w:rsid w:val="00C97132"/>
    <w:rsid w:val="00CC212E"/>
    <w:rsid w:val="00CE0629"/>
    <w:rsid w:val="00CE0D7E"/>
    <w:rsid w:val="00CF0EF8"/>
    <w:rsid w:val="00D01238"/>
    <w:rsid w:val="00D01D38"/>
    <w:rsid w:val="00D05897"/>
    <w:rsid w:val="00D070FD"/>
    <w:rsid w:val="00D07368"/>
    <w:rsid w:val="00D536A6"/>
    <w:rsid w:val="00D563A5"/>
    <w:rsid w:val="00D71159"/>
    <w:rsid w:val="00D72310"/>
    <w:rsid w:val="00D76A51"/>
    <w:rsid w:val="00D8646C"/>
    <w:rsid w:val="00DA36D2"/>
    <w:rsid w:val="00DA62CE"/>
    <w:rsid w:val="00DB0005"/>
    <w:rsid w:val="00DD3520"/>
    <w:rsid w:val="00DD729A"/>
    <w:rsid w:val="00E22503"/>
    <w:rsid w:val="00E51922"/>
    <w:rsid w:val="00E51E71"/>
    <w:rsid w:val="00E6651F"/>
    <w:rsid w:val="00E756D7"/>
    <w:rsid w:val="00E944AD"/>
    <w:rsid w:val="00EB7C69"/>
    <w:rsid w:val="00EC05FC"/>
    <w:rsid w:val="00ED011E"/>
    <w:rsid w:val="00EE4207"/>
    <w:rsid w:val="00F60EBB"/>
    <w:rsid w:val="00F675AD"/>
    <w:rsid w:val="00F82C9C"/>
    <w:rsid w:val="00F87F99"/>
    <w:rsid w:val="00F91AB6"/>
    <w:rsid w:val="00F9539D"/>
    <w:rsid w:val="00FB6C61"/>
    <w:rsid w:val="00FB6F54"/>
    <w:rsid w:val="00FC0C75"/>
    <w:rsid w:val="00FF36A4"/>
    <w:rsid w:val="2661594D"/>
    <w:rsid w:val="6A0E23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2E607"/>
  <w15:docId w15:val="{54FDD416-1A2F-4BA1-BFF4-5D7AEA8B2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807FB"/>
    <w:pPr>
      <w:spacing w:after="200" w:line="276" w:lineRule="auto"/>
    </w:pPr>
    <w:rPr>
      <w:lang w:val="en-US"/>
    </w:rPr>
  </w:style>
  <w:style w:type="paragraph" w:styleId="Antrat1">
    <w:name w:val="heading 1"/>
    <w:basedOn w:val="prastasis"/>
    <w:link w:val="Antrat1Diagrama"/>
    <w:uiPriority w:val="9"/>
    <w:qFormat/>
    <w:rsid w:val="006067AE"/>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807F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5807FB"/>
    <w:pPr>
      <w:tabs>
        <w:tab w:val="center" w:pos="4153"/>
        <w:tab w:val="right" w:pos="8306"/>
      </w:tabs>
      <w:spacing w:after="0" w:line="240" w:lineRule="auto"/>
    </w:pPr>
    <w:rPr>
      <w:rFonts w:ascii="Times New Roman" w:eastAsia="Times New Roman" w:hAnsi="Times New Roman" w:cs="Times New Roman"/>
      <w:sz w:val="24"/>
      <w:szCs w:val="20"/>
      <w:lang w:val="lt-LT"/>
    </w:rPr>
  </w:style>
  <w:style w:type="character" w:customStyle="1" w:styleId="AntratsDiagrama">
    <w:name w:val="Antraštės Diagrama"/>
    <w:basedOn w:val="Numatytasispastraiposriftas"/>
    <w:link w:val="Antrats"/>
    <w:uiPriority w:val="99"/>
    <w:rsid w:val="005807FB"/>
    <w:rPr>
      <w:rFonts w:ascii="Times New Roman" w:eastAsia="Times New Roman" w:hAnsi="Times New Roman" w:cs="Times New Roman"/>
      <w:sz w:val="24"/>
      <w:szCs w:val="20"/>
    </w:rPr>
  </w:style>
  <w:style w:type="paragraph" w:styleId="Sraopastraipa">
    <w:name w:val="List Paragraph"/>
    <w:basedOn w:val="prastasis"/>
    <w:link w:val="SraopastraipaDiagrama"/>
    <w:uiPriority w:val="34"/>
    <w:qFormat/>
    <w:rsid w:val="005807FB"/>
    <w:pPr>
      <w:spacing w:after="160" w:line="259" w:lineRule="auto"/>
      <w:ind w:left="720"/>
      <w:contextualSpacing/>
    </w:pPr>
    <w:rPr>
      <w:lang w:val="lt-LT"/>
    </w:rPr>
  </w:style>
  <w:style w:type="character" w:customStyle="1" w:styleId="SraopastraipaDiagrama">
    <w:name w:val="Sąrašo pastraipa Diagrama"/>
    <w:link w:val="Sraopastraipa"/>
    <w:uiPriority w:val="34"/>
    <w:rsid w:val="00BD59C3"/>
  </w:style>
  <w:style w:type="character" w:styleId="Emfaz">
    <w:name w:val="Emphasis"/>
    <w:basedOn w:val="Numatytasispastraiposriftas"/>
    <w:qFormat/>
    <w:rsid w:val="006067AE"/>
    <w:rPr>
      <w:i/>
      <w:iCs/>
    </w:rPr>
  </w:style>
  <w:style w:type="character" w:customStyle="1" w:styleId="Antrat1Diagrama">
    <w:name w:val="Antraštė 1 Diagrama"/>
    <w:basedOn w:val="Numatytasispastraiposriftas"/>
    <w:link w:val="Antrat1"/>
    <w:uiPriority w:val="9"/>
    <w:rsid w:val="006067AE"/>
    <w:rPr>
      <w:rFonts w:ascii="Times New Roman" w:eastAsia="Times New Roman" w:hAnsi="Times New Roman" w:cs="Times New Roman"/>
      <w:b/>
      <w:bCs/>
      <w:kern w:val="36"/>
      <w:sz w:val="48"/>
      <w:szCs w:val="48"/>
      <w:lang w:val="en-GB" w:eastAsia="en-GB"/>
    </w:rPr>
  </w:style>
  <w:style w:type="paragraph" w:styleId="Pagrindinistekstas">
    <w:name w:val="Body Text"/>
    <w:basedOn w:val="prastasis"/>
    <w:link w:val="PagrindinistekstasDiagrama"/>
    <w:uiPriority w:val="99"/>
    <w:rsid w:val="004E6E62"/>
    <w:pPr>
      <w:spacing w:after="0" w:line="240" w:lineRule="auto"/>
      <w:jc w:val="both"/>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99"/>
    <w:rsid w:val="004E6E62"/>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9934D8"/>
    <w:rPr>
      <w:sz w:val="16"/>
      <w:szCs w:val="16"/>
    </w:rPr>
  </w:style>
  <w:style w:type="paragraph" w:styleId="Komentarotekstas">
    <w:name w:val="annotation text"/>
    <w:basedOn w:val="prastasis"/>
    <w:link w:val="KomentarotekstasDiagrama"/>
    <w:uiPriority w:val="99"/>
    <w:semiHidden/>
    <w:unhideWhenUsed/>
    <w:rsid w:val="009934D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934D8"/>
    <w:rPr>
      <w:sz w:val="20"/>
      <w:szCs w:val="20"/>
      <w:lang w:val="en-US"/>
    </w:rPr>
  </w:style>
  <w:style w:type="paragraph" w:styleId="Komentarotema">
    <w:name w:val="annotation subject"/>
    <w:basedOn w:val="Komentarotekstas"/>
    <w:next w:val="Komentarotekstas"/>
    <w:link w:val="KomentarotemaDiagrama"/>
    <w:uiPriority w:val="99"/>
    <w:semiHidden/>
    <w:unhideWhenUsed/>
    <w:rsid w:val="009934D8"/>
    <w:rPr>
      <w:b/>
      <w:bCs/>
    </w:rPr>
  </w:style>
  <w:style w:type="character" w:customStyle="1" w:styleId="KomentarotemaDiagrama">
    <w:name w:val="Komentaro tema Diagrama"/>
    <w:basedOn w:val="KomentarotekstasDiagrama"/>
    <w:link w:val="Komentarotema"/>
    <w:uiPriority w:val="99"/>
    <w:semiHidden/>
    <w:rsid w:val="009934D8"/>
    <w:rPr>
      <w:b/>
      <w:bCs/>
      <w:sz w:val="20"/>
      <w:szCs w:val="20"/>
      <w:lang w:val="en-US"/>
    </w:rPr>
  </w:style>
  <w:style w:type="paragraph" w:styleId="Debesliotekstas">
    <w:name w:val="Balloon Text"/>
    <w:basedOn w:val="prastasis"/>
    <w:link w:val="DebesliotekstasDiagrama"/>
    <w:uiPriority w:val="99"/>
    <w:semiHidden/>
    <w:unhideWhenUsed/>
    <w:rsid w:val="009934D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934D8"/>
    <w:rPr>
      <w:rFonts w:ascii="Segoe UI" w:hAnsi="Segoe UI" w:cs="Segoe UI"/>
      <w:sz w:val="18"/>
      <w:szCs w:val="18"/>
      <w:lang w:val="en-US"/>
    </w:rPr>
  </w:style>
  <w:style w:type="paragraph" w:styleId="Pataisymai">
    <w:name w:val="Revision"/>
    <w:hidden/>
    <w:uiPriority w:val="99"/>
    <w:semiHidden/>
    <w:rsid w:val="00144029"/>
    <w:pPr>
      <w:spacing w:after="0" w:line="240" w:lineRule="auto"/>
    </w:pPr>
    <w:rPr>
      <w:lang w:val="en-US"/>
    </w:rPr>
  </w:style>
  <w:style w:type="paragraph" w:styleId="Porat">
    <w:name w:val="footer"/>
    <w:basedOn w:val="prastasis"/>
    <w:link w:val="PoratDiagrama"/>
    <w:uiPriority w:val="99"/>
    <w:unhideWhenUsed/>
    <w:rsid w:val="009A01D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A01DD"/>
    <w:rPr>
      <w:lang w:val="en-US"/>
    </w:rPr>
  </w:style>
  <w:style w:type="character" w:customStyle="1" w:styleId="elementor-icon-list-text">
    <w:name w:val="elementor-icon-list-text"/>
    <w:basedOn w:val="Numatytasispastraiposriftas"/>
    <w:rsid w:val="00AF6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634911">
      <w:bodyDiv w:val="1"/>
      <w:marLeft w:val="0"/>
      <w:marRight w:val="0"/>
      <w:marTop w:val="0"/>
      <w:marBottom w:val="0"/>
      <w:divBdr>
        <w:top w:val="none" w:sz="0" w:space="0" w:color="auto"/>
        <w:left w:val="none" w:sz="0" w:space="0" w:color="auto"/>
        <w:bottom w:val="none" w:sz="0" w:space="0" w:color="auto"/>
        <w:right w:val="none" w:sz="0" w:space="0" w:color="auto"/>
      </w:divBdr>
      <w:divsChild>
        <w:div w:id="1186821017">
          <w:marLeft w:val="0"/>
          <w:marRight w:val="0"/>
          <w:marTop w:val="0"/>
          <w:marBottom w:val="0"/>
          <w:divBdr>
            <w:top w:val="none" w:sz="0" w:space="0" w:color="auto"/>
            <w:left w:val="none" w:sz="0" w:space="0" w:color="auto"/>
            <w:bottom w:val="none" w:sz="0" w:space="0" w:color="auto"/>
            <w:right w:val="none" w:sz="0" w:space="0" w:color="auto"/>
          </w:divBdr>
        </w:div>
        <w:div w:id="1912276112">
          <w:marLeft w:val="0"/>
          <w:marRight w:val="0"/>
          <w:marTop w:val="0"/>
          <w:marBottom w:val="0"/>
          <w:divBdr>
            <w:top w:val="none" w:sz="0" w:space="0" w:color="auto"/>
            <w:left w:val="none" w:sz="0" w:space="0" w:color="auto"/>
            <w:bottom w:val="none" w:sz="0" w:space="0" w:color="auto"/>
            <w:right w:val="none" w:sz="0" w:space="0" w:color="auto"/>
          </w:divBdr>
        </w:div>
      </w:divsChild>
    </w:div>
    <w:div w:id="674915647">
      <w:bodyDiv w:val="1"/>
      <w:marLeft w:val="0"/>
      <w:marRight w:val="0"/>
      <w:marTop w:val="0"/>
      <w:marBottom w:val="0"/>
      <w:divBdr>
        <w:top w:val="none" w:sz="0" w:space="0" w:color="auto"/>
        <w:left w:val="none" w:sz="0" w:space="0" w:color="auto"/>
        <w:bottom w:val="none" w:sz="0" w:space="0" w:color="auto"/>
        <w:right w:val="none" w:sz="0" w:space="0" w:color="auto"/>
      </w:divBdr>
    </w:div>
    <w:div w:id="782959624">
      <w:bodyDiv w:val="1"/>
      <w:marLeft w:val="0"/>
      <w:marRight w:val="0"/>
      <w:marTop w:val="0"/>
      <w:marBottom w:val="0"/>
      <w:divBdr>
        <w:top w:val="none" w:sz="0" w:space="0" w:color="auto"/>
        <w:left w:val="none" w:sz="0" w:space="0" w:color="auto"/>
        <w:bottom w:val="none" w:sz="0" w:space="0" w:color="auto"/>
        <w:right w:val="none" w:sz="0" w:space="0" w:color="auto"/>
      </w:divBdr>
    </w:div>
    <w:div w:id="842471703">
      <w:bodyDiv w:val="1"/>
      <w:marLeft w:val="0"/>
      <w:marRight w:val="0"/>
      <w:marTop w:val="0"/>
      <w:marBottom w:val="0"/>
      <w:divBdr>
        <w:top w:val="none" w:sz="0" w:space="0" w:color="auto"/>
        <w:left w:val="none" w:sz="0" w:space="0" w:color="auto"/>
        <w:bottom w:val="none" w:sz="0" w:space="0" w:color="auto"/>
        <w:right w:val="none" w:sz="0" w:space="0" w:color="auto"/>
      </w:divBdr>
    </w:div>
    <w:div w:id="1507088917">
      <w:bodyDiv w:val="1"/>
      <w:marLeft w:val="0"/>
      <w:marRight w:val="0"/>
      <w:marTop w:val="0"/>
      <w:marBottom w:val="0"/>
      <w:divBdr>
        <w:top w:val="none" w:sz="0" w:space="0" w:color="auto"/>
        <w:left w:val="none" w:sz="0" w:space="0" w:color="auto"/>
        <w:bottom w:val="none" w:sz="0" w:space="0" w:color="auto"/>
        <w:right w:val="none" w:sz="0" w:space="0" w:color="auto"/>
      </w:divBdr>
    </w:div>
    <w:div w:id="1866402808">
      <w:bodyDiv w:val="1"/>
      <w:marLeft w:val="0"/>
      <w:marRight w:val="0"/>
      <w:marTop w:val="0"/>
      <w:marBottom w:val="0"/>
      <w:divBdr>
        <w:top w:val="none" w:sz="0" w:space="0" w:color="auto"/>
        <w:left w:val="none" w:sz="0" w:space="0" w:color="auto"/>
        <w:bottom w:val="none" w:sz="0" w:space="0" w:color="auto"/>
        <w:right w:val="none" w:sz="0" w:space="0" w:color="auto"/>
      </w:divBdr>
      <w:divsChild>
        <w:div w:id="818614254">
          <w:marLeft w:val="0"/>
          <w:marRight w:val="0"/>
          <w:marTop w:val="0"/>
          <w:marBottom w:val="300"/>
          <w:divBdr>
            <w:top w:val="none" w:sz="0" w:space="0" w:color="E1E8EE"/>
            <w:left w:val="none" w:sz="0" w:space="0" w:color="E1E8EE"/>
            <w:bottom w:val="none" w:sz="0" w:space="0" w:color="E1E8EE"/>
            <w:right w:val="none" w:sz="0" w:space="0" w:color="E1E8EE"/>
          </w:divBdr>
          <w:divsChild>
            <w:div w:id="1348747843">
              <w:marLeft w:val="0"/>
              <w:marRight w:val="0"/>
              <w:marTop w:val="0"/>
              <w:marBottom w:val="0"/>
              <w:divBdr>
                <w:top w:val="none" w:sz="0" w:space="0" w:color="E1E8EE"/>
                <w:left w:val="none" w:sz="0" w:space="0" w:color="E1E8EE"/>
                <w:bottom w:val="none" w:sz="0" w:space="0" w:color="E1E8EE"/>
                <w:right w:val="none" w:sz="0" w:space="0" w:color="E1E8EE"/>
              </w:divBdr>
            </w:div>
          </w:divsChild>
        </w:div>
      </w:divsChild>
    </w:div>
    <w:div w:id="209486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82C92-56BF-43B0-90FE-A62CF95DF547}">
  <ds:schemaRefs>
    <ds:schemaRef ds:uri="http://schemas.microsoft.com/sharepoint/v3/contenttype/forms"/>
  </ds:schemaRefs>
</ds:datastoreItem>
</file>

<file path=customXml/itemProps2.xml><?xml version="1.0" encoding="utf-8"?>
<ds:datastoreItem xmlns:ds="http://schemas.openxmlformats.org/officeDocument/2006/customXml" ds:itemID="{2F5434BF-C880-4B58-8C0F-287DB5FC06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D9B91D-34B8-47F4-B910-414E7B0C27DF}"/>
</file>

<file path=customXml/itemProps4.xml><?xml version="1.0" encoding="utf-8"?>
<ds:datastoreItem xmlns:ds="http://schemas.openxmlformats.org/officeDocument/2006/customXml" ds:itemID="{FF6BB5C1-00E1-4347-90A1-81275BF8D935}">
  <ds:schemaRefs>
    <ds:schemaRef ds:uri="http://schemas.openxmlformats.org/officeDocument/2006/bibliography"/>
  </ds:schemaRefs>
</ds:datastoreItem>
</file>

<file path=customXml/itemProps5.xml><?xml version="1.0" encoding="utf-8"?>
<ds:datastoreItem xmlns:ds="http://schemas.openxmlformats.org/officeDocument/2006/customXml" ds:itemID="{C6E67388-84DC-4945-B614-738C43A7F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1980</Words>
  <Characters>11290</Characters>
  <Application>Microsoft Office Word</Application>
  <DocSecurity>0</DocSecurity>
  <Lines>94</Lines>
  <Paragraphs>26</Paragraphs>
  <ScaleCrop>false</ScaleCrop>
  <HeadingPairs>
    <vt:vector size="2" baseType="variant">
      <vt:variant>
        <vt:lpstr>Pavadinimas</vt:lpstr>
      </vt:variant>
      <vt:variant>
        <vt:i4>1</vt:i4>
      </vt:variant>
    </vt:vector>
  </HeadingPairs>
  <TitlesOfParts>
    <vt:vector size="1" baseType="lpstr">
      <vt:lpstr>20ae68be-e5ce-41d4-9fcd-6a4ad24c5722</vt:lpstr>
    </vt:vector>
  </TitlesOfParts>
  <Company>HP</Company>
  <LinksUpToDate>false</LinksUpToDate>
  <CharactersWithSpaces>13244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e4d864a3-6b96-4ebe-a21a-797e7a0fc394</dc:title>
  <dc:creator>Vaišnorienė Daiva</dc:creator>
  <cp:lastModifiedBy>SMSM</cp:lastModifiedBy>
  <cp:revision>2</cp:revision>
  <dcterms:created xsi:type="dcterms:W3CDTF">2020-04-23T06:22:00Z</dcterms:created>
  <dcterms:modified xsi:type="dcterms:W3CDTF">2020-04-23T06:22:00Z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po tvirtinimo</vt:lpwstr>
  </property>
</Properties>
</file>