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353" w:rsidRPr="000B5BEF" w:rsidRDefault="00202F08" w:rsidP="00C40BDE">
      <w:pPr>
        <w:spacing w:after="0" w:line="240" w:lineRule="auto"/>
        <w:jc w:val="center"/>
        <w:rPr>
          <w:rFonts w:ascii="Times New Roman" w:eastAsia="Times New Roman" w:hAnsi="Times New Roman" w:cs="Times New Roman"/>
          <w:b/>
          <w:lang w:eastAsia="lt-LT"/>
        </w:rPr>
      </w:pPr>
      <w:r w:rsidRPr="000B5BEF">
        <w:rPr>
          <w:rFonts w:ascii="Times New Roman" w:eastAsia="Times New Roman" w:hAnsi="Times New Roman" w:cs="Times New Roman"/>
          <w:b/>
          <w:lang w:eastAsia="lt-LT"/>
        </w:rPr>
        <w:t>REGLAMENTO (ES)</w:t>
      </w:r>
      <w:r w:rsidR="004D7659" w:rsidRPr="000B5BEF">
        <w:rPr>
          <w:rFonts w:ascii="Times New Roman" w:eastAsia="Times New Roman" w:hAnsi="Times New Roman" w:cs="Times New Roman"/>
          <w:b/>
          <w:lang w:eastAsia="lt-LT"/>
        </w:rPr>
        <w:t xml:space="preserve"> NR.</w:t>
      </w:r>
      <w:r w:rsidRPr="000B5BEF">
        <w:rPr>
          <w:rFonts w:ascii="Times New Roman" w:eastAsia="Times New Roman" w:hAnsi="Times New Roman" w:cs="Times New Roman"/>
          <w:b/>
          <w:lang w:eastAsia="lt-LT"/>
        </w:rPr>
        <w:t xml:space="preserve"> </w:t>
      </w:r>
      <w:r w:rsidR="004D7659" w:rsidRPr="000B5BEF">
        <w:rPr>
          <w:rFonts w:ascii="Times New Roman" w:eastAsia="Times New Roman" w:hAnsi="Times New Roman" w:cs="Times New Roman"/>
          <w:b/>
          <w:lang w:eastAsia="lt-LT"/>
        </w:rPr>
        <w:t>806/</w:t>
      </w:r>
      <w:r w:rsidRPr="000B5BEF">
        <w:rPr>
          <w:rFonts w:ascii="Times New Roman" w:eastAsia="Times New Roman" w:hAnsi="Times New Roman" w:cs="Times New Roman"/>
          <w:b/>
          <w:lang w:eastAsia="lt-LT"/>
        </w:rPr>
        <w:t>2014 IR LIETUVOS RESPUBLIKOS FINANSI</w:t>
      </w:r>
      <w:r w:rsidR="00C40BDE" w:rsidRPr="000B5BEF">
        <w:rPr>
          <w:rFonts w:ascii="Times New Roman" w:eastAsia="Times New Roman" w:hAnsi="Times New Roman" w:cs="Times New Roman"/>
          <w:b/>
          <w:lang w:eastAsia="lt-LT"/>
        </w:rPr>
        <w:t>NIO TVARUMO ĮSTATYMO NR. XI-393 </w:t>
      </w:r>
    </w:p>
    <w:p w:rsidR="00113353" w:rsidRPr="000B5BEF" w:rsidRDefault="00C40BDE" w:rsidP="00C40BDE">
      <w:pPr>
        <w:spacing w:after="0" w:line="240" w:lineRule="auto"/>
        <w:jc w:val="center"/>
        <w:rPr>
          <w:rFonts w:ascii="Times New Roman" w:eastAsia="Times New Roman" w:hAnsi="Times New Roman" w:cs="Times New Roman"/>
          <w:b/>
          <w:lang w:eastAsia="lt-LT"/>
        </w:rPr>
      </w:pPr>
      <w:r w:rsidRPr="000B5BEF">
        <w:rPr>
          <w:rFonts w:ascii="Times New Roman" w:eastAsia="Times New Roman" w:hAnsi="Times New Roman" w:cs="Times New Roman"/>
          <w:b/>
          <w:lang w:eastAsia="lt-LT"/>
        </w:rPr>
        <w:t xml:space="preserve">46 STRAIPSNIO </w:t>
      </w:r>
      <w:r w:rsidR="00202F08" w:rsidRPr="000B5BEF">
        <w:rPr>
          <w:rFonts w:ascii="Times New Roman" w:eastAsia="Times New Roman" w:hAnsi="Times New Roman" w:cs="Times New Roman"/>
          <w:b/>
          <w:lang w:eastAsia="lt-LT"/>
        </w:rPr>
        <w:t xml:space="preserve">PAKEITIMO ĮSTATYMO PROJEKTO </w:t>
      </w:r>
    </w:p>
    <w:p w:rsidR="001B17AD" w:rsidRPr="000B5BEF" w:rsidRDefault="00202F08" w:rsidP="00C40BDE">
      <w:pPr>
        <w:spacing w:after="0" w:line="240" w:lineRule="auto"/>
        <w:jc w:val="center"/>
        <w:rPr>
          <w:rFonts w:ascii="Times New Roman" w:eastAsia="Times New Roman" w:hAnsi="Times New Roman" w:cs="Times New Roman"/>
          <w:b/>
          <w:lang w:eastAsia="lt-LT"/>
        </w:rPr>
      </w:pPr>
      <w:r w:rsidRPr="000B5BEF">
        <w:rPr>
          <w:rFonts w:ascii="Times New Roman" w:eastAsia="Times New Roman" w:hAnsi="Times New Roman" w:cs="Times New Roman"/>
          <w:b/>
          <w:lang w:eastAsia="lt-LT"/>
        </w:rPr>
        <w:t>ATITIKTIES LENTELĖ</w:t>
      </w:r>
    </w:p>
    <w:p w:rsidR="004D7659" w:rsidRPr="000B5BEF" w:rsidRDefault="004D7659" w:rsidP="0087166A">
      <w:pPr>
        <w:spacing w:after="0" w:line="240" w:lineRule="auto"/>
        <w:rPr>
          <w:rFonts w:ascii="Times New Roman" w:hAnsi="Times New Roman" w:cs="Times New Roman"/>
        </w:rPr>
      </w:pPr>
    </w:p>
    <w:tbl>
      <w:tblPr>
        <w:tblStyle w:val="Lentelstinklelis"/>
        <w:tblW w:w="14709" w:type="dxa"/>
        <w:tblLook w:val="04A0" w:firstRow="1" w:lastRow="0" w:firstColumn="1" w:lastColumn="0" w:noHBand="0" w:noVBand="1"/>
      </w:tblPr>
      <w:tblGrid>
        <w:gridCol w:w="5353"/>
        <w:gridCol w:w="7938"/>
        <w:gridCol w:w="1418"/>
      </w:tblGrid>
      <w:tr w:rsidR="004D7659" w:rsidRPr="000B5BEF" w:rsidTr="006B1231">
        <w:tc>
          <w:tcPr>
            <w:tcW w:w="5353" w:type="dxa"/>
          </w:tcPr>
          <w:p w:rsidR="004D7659" w:rsidRPr="000B5BEF" w:rsidRDefault="00B46A23" w:rsidP="00C40BDE">
            <w:pPr>
              <w:pStyle w:val="ti-art"/>
              <w:shd w:val="clear" w:color="auto" w:fill="FFFFFF"/>
              <w:spacing w:before="0" w:beforeAutospacing="0" w:after="0" w:afterAutospacing="0"/>
              <w:jc w:val="both"/>
              <w:textAlignment w:val="baseline"/>
              <w:rPr>
                <w:b/>
                <w:iCs/>
                <w:color w:val="444444"/>
                <w:sz w:val="22"/>
                <w:szCs w:val="22"/>
              </w:rPr>
            </w:pPr>
            <w:r w:rsidRPr="000B5BEF">
              <w:rPr>
                <w:b/>
                <w:iCs/>
                <w:color w:val="444444"/>
                <w:sz w:val="22"/>
                <w:szCs w:val="22"/>
              </w:rPr>
              <w:t>2014 m. liepos 15 d. Tarybos ir Europos Parlamento reglamento (ES) Nr. 806/2014, kuriuo nustatomos kredito įstaigų ir tam tikrų investicinių įmonių pertvarkymo vienodos taisyklės ir vienoda procedūra, kiek tai susiję su bendru pertvarkymo mechanizmu ir Bendru pertvarkymo fondu, ir iš dalies keičiamas Reglamentas (ES) Nr. 1093/2010</w:t>
            </w:r>
          </w:p>
        </w:tc>
        <w:tc>
          <w:tcPr>
            <w:tcW w:w="7938" w:type="dxa"/>
          </w:tcPr>
          <w:p w:rsidR="004D7659" w:rsidRPr="000B5BEF" w:rsidRDefault="006B1231" w:rsidP="00C40BDE">
            <w:pPr>
              <w:jc w:val="both"/>
              <w:rPr>
                <w:rFonts w:ascii="Times New Roman" w:eastAsia="Times New Roman" w:hAnsi="Times New Roman" w:cs="Times New Roman"/>
                <w:b/>
                <w:lang w:eastAsia="lt-LT"/>
              </w:rPr>
            </w:pPr>
            <w:r w:rsidRPr="000B5BEF">
              <w:rPr>
                <w:rFonts w:ascii="Times New Roman" w:eastAsia="Times New Roman" w:hAnsi="Times New Roman" w:cs="Times New Roman"/>
                <w:b/>
                <w:lang w:eastAsia="lt-LT"/>
              </w:rPr>
              <w:t xml:space="preserve">1. </w:t>
            </w:r>
            <w:r w:rsidR="004D7659" w:rsidRPr="000B5BEF">
              <w:rPr>
                <w:rFonts w:ascii="Times New Roman" w:eastAsia="Times New Roman" w:hAnsi="Times New Roman" w:cs="Times New Roman"/>
                <w:b/>
                <w:lang w:eastAsia="lt-LT"/>
              </w:rPr>
              <w:t>Lietuvos Respublikos finansinio tvarum</w:t>
            </w:r>
            <w:r w:rsidR="00C40BDE" w:rsidRPr="000B5BEF">
              <w:rPr>
                <w:rFonts w:ascii="Times New Roman" w:eastAsia="Times New Roman" w:hAnsi="Times New Roman" w:cs="Times New Roman"/>
                <w:b/>
                <w:lang w:eastAsia="lt-LT"/>
              </w:rPr>
              <w:t xml:space="preserve">o įstatymo Nr. XI-393 46 straipsnio </w:t>
            </w:r>
            <w:r w:rsidR="004D7659" w:rsidRPr="000B5BEF">
              <w:rPr>
                <w:rFonts w:ascii="Times New Roman" w:eastAsia="Times New Roman" w:hAnsi="Times New Roman" w:cs="Times New Roman"/>
                <w:b/>
                <w:lang w:eastAsia="lt-LT"/>
              </w:rPr>
              <w:t>pakeitimo įstatymas (toliau – FTĮ projektas)</w:t>
            </w:r>
            <w:r w:rsidR="00113353" w:rsidRPr="000B5BEF">
              <w:rPr>
                <w:rFonts w:ascii="Times New Roman" w:eastAsia="Times New Roman" w:hAnsi="Times New Roman" w:cs="Times New Roman"/>
                <w:b/>
                <w:lang w:eastAsia="lt-LT"/>
              </w:rPr>
              <w:t>;</w:t>
            </w:r>
          </w:p>
          <w:p w:rsidR="00D74D0E" w:rsidRPr="000B5BEF" w:rsidRDefault="00D74D0E" w:rsidP="00C40BDE">
            <w:pPr>
              <w:jc w:val="both"/>
              <w:rPr>
                <w:rFonts w:ascii="Times New Roman" w:eastAsia="Times New Roman" w:hAnsi="Times New Roman" w:cs="Times New Roman"/>
                <w:b/>
                <w:lang w:eastAsia="lt-LT"/>
              </w:rPr>
            </w:pPr>
          </w:p>
          <w:p w:rsidR="00113353" w:rsidRPr="000B5BEF" w:rsidRDefault="006B1231" w:rsidP="00113353">
            <w:pPr>
              <w:pStyle w:val="Pagrindinistekstas"/>
              <w:spacing w:after="0"/>
              <w:jc w:val="both"/>
              <w:rPr>
                <w:b/>
                <w:sz w:val="22"/>
                <w:szCs w:val="22"/>
              </w:rPr>
            </w:pPr>
            <w:r w:rsidRPr="000B5BEF">
              <w:rPr>
                <w:b/>
                <w:sz w:val="22"/>
                <w:szCs w:val="22"/>
              </w:rPr>
              <w:t xml:space="preserve">2. </w:t>
            </w:r>
            <w:r w:rsidR="00113353" w:rsidRPr="000B5BEF">
              <w:rPr>
                <w:b/>
                <w:sz w:val="22"/>
                <w:szCs w:val="22"/>
              </w:rPr>
              <w:t>Lietuvos Respublikos indėlių ir įsipareigojimų investuotojams draudimo įstatymo Nr. IX-975 2, 3, 6, 7, 8, 10, 11, 12, 13, 14, 15, 16, 18, 19, 20, 23, 26, 28, 32, 33, 35, 40, 41, 42, 46 straipsnių, šeštojo skirsnio pavadinimo ir priedo pakeitimo ir 5, 47 straipsnių pripažinimo netekusiais galios įstatymo projektas (toliau – IĮIDĮ projektas)</w:t>
            </w:r>
          </w:p>
          <w:p w:rsidR="00D74D0E" w:rsidRPr="000B5BEF" w:rsidRDefault="00D74D0E" w:rsidP="00113353">
            <w:pPr>
              <w:tabs>
                <w:tab w:val="left" w:pos="9498"/>
                <w:tab w:val="left" w:pos="9639"/>
              </w:tabs>
              <w:jc w:val="both"/>
              <w:rPr>
                <w:rFonts w:ascii="Times New Roman" w:eastAsia="Times New Roman" w:hAnsi="Times New Roman" w:cs="Times New Roman"/>
                <w:b/>
                <w:lang w:eastAsia="lt-LT"/>
              </w:rPr>
            </w:pPr>
          </w:p>
        </w:tc>
        <w:tc>
          <w:tcPr>
            <w:tcW w:w="1418" w:type="dxa"/>
          </w:tcPr>
          <w:p w:rsidR="004D7659" w:rsidRPr="000B5BEF" w:rsidRDefault="004D7659" w:rsidP="00C40BDE">
            <w:pPr>
              <w:jc w:val="both"/>
              <w:rPr>
                <w:rFonts w:ascii="Times New Roman" w:eastAsia="Times New Roman" w:hAnsi="Times New Roman" w:cs="Times New Roman"/>
                <w:b/>
                <w:lang w:eastAsia="lt-LT"/>
              </w:rPr>
            </w:pPr>
            <w:r w:rsidRPr="000B5BEF">
              <w:rPr>
                <w:rFonts w:ascii="Times New Roman" w:eastAsia="Times New Roman" w:hAnsi="Times New Roman" w:cs="Times New Roman"/>
                <w:b/>
                <w:lang w:eastAsia="lt-LT"/>
              </w:rPr>
              <w:t>Perkėlimo lygis</w:t>
            </w:r>
          </w:p>
        </w:tc>
      </w:tr>
      <w:tr w:rsidR="004D7659" w:rsidRPr="000B5BEF" w:rsidTr="006B1231">
        <w:tc>
          <w:tcPr>
            <w:tcW w:w="5353" w:type="dxa"/>
          </w:tcPr>
          <w:p w:rsidR="00905ABD" w:rsidRPr="000B5BEF" w:rsidRDefault="00905ABD" w:rsidP="00905ABD">
            <w:pPr>
              <w:jc w:val="both"/>
              <w:rPr>
                <w:rFonts w:ascii="Times New Roman" w:hAnsi="Times New Roman" w:cs="Times New Roman"/>
                <w:b/>
              </w:rPr>
            </w:pPr>
            <w:r w:rsidRPr="000B5BEF">
              <w:rPr>
                <w:rFonts w:ascii="Times New Roman" w:hAnsi="Times New Roman" w:cs="Times New Roman"/>
                <w:b/>
              </w:rPr>
              <w:t>41 straipsnis</w:t>
            </w:r>
          </w:p>
          <w:p w:rsidR="00905ABD" w:rsidRPr="000B5BEF" w:rsidRDefault="00905ABD" w:rsidP="00905ABD">
            <w:pPr>
              <w:jc w:val="both"/>
              <w:rPr>
                <w:rFonts w:ascii="Times New Roman" w:hAnsi="Times New Roman" w:cs="Times New Roman"/>
                <w:b/>
                <w:i/>
              </w:rPr>
            </w:pPr>
            <w:r w:rsidRPr="000B5BEF">
              <w:rPr>
                <w:rFonts w:ascii="Times New Roman" w:hAnsi="Times New Roman" w:cs="Times New Roman"/>
                <w:b/>
              </w:rPr>
              <w:t>Baudų ir periodinių baudų paskelbimas, pobūdis, mokėjimo užtikrinimas ir pervedimas</w:t>
            </w:r>
          </w:p>
          <w:p w:rsidR="00905ABD" w:rsidRPr="000B5BEF" w:rsidRDefault="00905ABD" w:rsidP="00905ABD">
            <w:pPr>
              <w:jc w:val="both"/>
              <w:rPr>
                <w:rFonts w:ascii="Times New Roman" w:hAnsi="Times New Roman" w:cs="Times New Roman"/>
              </w:rPr>
            </w:pPr>
            <w:r w:rsidRPr="000B5BEF">
              <w:rPr>
                <w:rFonts w:ascii="Times New Roman" w:hAnsi="Times New Roman" w:cs="Times New Roman"/>
              </w:rPr>
              <w:t>3. Užtikrinama, kad pagal 38 ir 39 straipsnius skirtos baudos ir reguliariai mokamos baudos būtų sumokėtos.</w:t>
            </w:r>
          </w:p>
          <w:p w:rsidR="00905ABD" w:rsidRPr="000B5BEF" w:rsidRDefault="00905ABD" w:rsidP="00905ABD">
            <w:pPr>
              <w:jc w:val="both"/>
              <w:rPr>
                <w:rFonts w:ascii="Times New Roman" w:hAnsi="Times New Roman" w:cs="Times New Roman"/>
              </w:rPr>
            </w:pPr>
            <w:r w:rsidRPr="000B5BEF">
              <w:rPr>
                <w:rFonts w:ascii="Times New Roman" w:hAnsi="Times New Roman" w:cs="Times New Roman"/>
              </w:rPr>
              <w:t>Mokėjimo užtikrinimą reglamentuoja taikomos procedūrinės taisyklės, galiojančios toje dalyvaujančioje valstybėje narėje, kurioje baudos turi būti sumokėtos. Mokėjimo užtikrinimo vykdomąjį raštą, neatlikdama jokių kitų formalumų, tik patikrinusi sprendimo autentiškumą, prie sprendimo prideda institucija, kurią kiekvienos dalyvaujančios valstybės narės Vyriausybė paskiria tuo tikslu ir apie kurią praneša Valdybai ir Teisingumo Teismui.</w:t>
            </w:r>
          </w:p>
          <w:p w:rsidR="00905ABD" w:rsidRPr="000B5BEF" w:rsidRDefault="00905ABD" w:rsidP="00905ABD">
            <w:pPr>
              <w:jc w:val="both"/>
              <w:rPr>
                <w:rFonts w:ascii="Times New Roman" w:hAnsi="Times New Roman" w:cs="Times New Roman"/>
              </w:rPr>
            </w:pPr>
            <w:r w:rsidRPr="000B5BEF">
              <w:rPr>
                <w:rFonts w:ascii="Times New Roman" w:hAnsi="Times New Roman" w:cs="Times New Roman"/>
              </w:rPr>
              <w:t>Atitinkamos šalies prašymu atlikus tuos formalumus, ši šalis gali pradėti mokėjimo užtikrinimo procedūrą pagal nacionalinę teisę kreipdamasi tiesiogiai į kompetentingą įstaigą.</w:t>
            </w:r>
          </w:p>
          <w:p w:rsidR="004D7659" w:rsidRPr="000B5BEF" w:rsidRDefault="00905ABD" w:rsidP="00905ABD">
            <w:pPr>
              <w:jc w:val="both"/>
              <w:rPr>
                <w:rFonts w:ascii="Times New Roman" w:hAnsi="Times New Roman" w:cs="Times New Roman"/>
              </w:rPr>
            </w:pPr>
            <w:r w:rsidRPr="000B5BEF">
              <w:rPr>
                <w:rFonts w:ascii="Times New Roman" w:hAnsi="Times New Roman" w:cs="Times New Roman"/>
              </w:rPr>
              <w:t>Mokėjimo užtikrinimą galima sustabdyti tik Teisingumo Teismo sprendimu. Tačiau atitinkamos dalyvaujančios valstybės narės teismų jurisdikcijai priklauso skundų dėl vykdymo užtikrini</w:t>
            </w:r>
            <w:r w:rsidR="00D51071" w:rsidRPr="000B5BEF">
              <w:rPr>
                <w:rFonts w:ascii="Times New Roman" w:hAnsi="Times New Roman" w:cs="Times New Roman"/>
              </w:rPr>
              <w:t>mo teisėtumo nagrinėjimas.</w:t>
            </w:r>
          </w:p>
        </w:tc>
        <w:tc>
          <w:tcPr>
            <w:tcW w:w="7938" w:type="dxa"/>
          </w:tcPr>
          <w:p w:rsidR="00D51071" w:rsidRPr="000B5BEF" w:rsidRDefault="00D51071" w:rsidP="00113353">
            <w:pPr>
              <w:autoSpaceDE w:val="0"/>
              <w:autoSpaceDN w:val="0"/>
              <w:adjustRightInd w:val="0"/>
              <w:jc w:val="both"/>
              <w:rPr>
                <w:rFonts w:ascii="Times New Roman" w:hAnsi="Times New Roman" w:cs="Times New Roman"/>
                <w:b/>
                <w:color w:val="000000"/>
              </w:rPr>
            </w:pPr>
            <w:r w:rsidRPr="000B5BEF">
              <w:rPr>
                <w:rFonts w:ascii="Times New Roman" w:hAnsi="Times New Roman" w:cs="Times New Roman"/>
                <w:b/>
                <w:color w:val="000000"/>
              </w:rPr>
              <w:t>FTĮ projektas</w:t>
            </w:r>
          </w:p>
          <w:p w:rsidR="006B1231" w:rsidRPr="000B5BEF" w:rsidRDefault="006B1231" w:rsidP="006B1231">
            <w:pPr>
              <w:ind w:firstLine="851"/>
              <w:jc w:val="both"/>
              <w:rPr>
                <w:rFonts w:ascii="Times New Roman" w:eastAsia="Times New Roman" w:hAnsi="Times New Roman" w:cs="Times New Roman"/>
                <w:b/>
                <w:lang w:eastAsia="lt-LT"/>
              </w:rPr>
            </w:pPr>
            <w:r w:rsidRPr="000B5BEF">
              <w:rPr>
                <w:rFonts w:ascii="Times New Roman" w:eastAsia="Times New Roman" w:hAnsi="Times New Roman" w:cs="Times New Roman"/>
                <w:b/>
                <w:lang w:eastAsia="lt-LT"/>
              </w:rPr>
              <w:t>1 straipsnis. 46 straipsnio pakeitimas</w:t>
            </w:r>
          </w:p>
          <w:p w:rsidR="006B1231" w:rsidRPr="000B5BEF" w:rsidRDefault="006B1231" w:rsidP="006B1231">
            <w:pPr>
              <w:ind w:firstLine="851"/>
              <w:jc w:val="both"/>
              <w:rPr>
                <w:rFonts w:ascii="Times New Roman" w:eastAsia="Times New Roman" w:hAnsi="Times New Roman" w:cs="Times New Roman"/>
                <w:lang w:eastAsia="lt-LT"/>
              </w:rPr>
            </w:pPr>
            <w:r w:rsidRPr="000B5BEF">
              <w:rPr>
                <w:rFonts w:ascii="Times New Roman" w:eastAsia="Times New Roman" w:hAnsi="Times New Roman" w:cs="Times New Roman"/>
                <w:lang w:eastAsia="lt-LT"/>
              </w:rPr>
              <w:t>1.Pakeisti 46 straipsnio 6 dalį ir ją išdėstyti taip:</w:t>
            </w:r>
          </w:p>
          <w:p w:rsidR="005E2A6B" w:rsidRPr="000B5BEF" w:rsidRDefault="006B1231" w:rsidP="005E2A6B">
            <w:pPr>
              <w:ind w:firstLine="851"/>
              <w:jc w:val="both"/>
              <w:rPr>
                <w:rFonts w:ascii="Times New Roman" w:eastAsia="Times New Roman" w:hAnsi="Times New Roman" w:cs="Times New Roman"/>
                <w:b/>
                <w:lang w:eastAsia="lt-LT"/>
              </w:rPr>
            </w:pPr>
            <w:r w:rsidRPr="000B5BEF">
              <w:rPr>
                <w:rFonts w:ascii="Times New Roman" w:eastAsia="Times New Roman" w:hAnsi="Times New Roman" w:cs="Times New Roman"/>
                <w:lang w:eastAsia="lt-LT"/>
              </w:rPr>
              <w:t xml:space="preserve">„6. </w:t>
            </w:r>
            <w:r w:rsidRPr="000B5BEF">
              <w:rPr>
                <w:rFonts w:ascii="Times New Roman" w:eastAsia="Times New Roman" w:hAnsi="Times New Roman" w:cs="Times New Roman"/>
                <w:strike/>
                <w:lang w:eastAsia="lt-LT"/>
              </w:rPr>
              <w:t>Jeigu Bendra pertvarkymo valdyba, vadovaudamasi Reglamentu (ES) Nr. 806/2014, paskiria baudą Lietuvos Respublikoje licencijuotam subjektui, pertvarkymo institucija patvirtina Bendros pertvarkymo valdybos priimto sprendimo skirti baudą autentiškumą. Jeigu bauda nesumokama per sprendime skirti baudą nustatytą terminą, o kai toks terminas nenustatytas, – ne vėliau kaip per vieną mėnesį nuo dienos, kurią susijęs subjektas gavo sprendimą skirti baudą, ji pertvarkymo institucijos sprendimu išieškoma ne ginčo tvarka (be asmens nurodymo nurašyti lėšas) iš asmens, kuriam paskirta bauda, piniginių lėšų, esančių jo sąskaitose Lietuvos banke, kredito ar mokėjimo įstaigose arba, kai išieškojimo ne ginčo tvarka negalima atlikti, sprendimas vykdomas Civilinio proceso kodekso nustatyta tvarka.</w:t>
            </w:r>
            <w:r w:rsidRPr="000B5BEF">
              <w:rPr>
                <w:rFonts w:ascii="Times New Roman" w:eastAsia="Times New Roman" w:hAnsi="Times New Roman" w:cs="Times New Roman"/>
                <w:lang w:eastAsia="lt-LT"/>
              </w:rPr>
              <w:t xml:space="preserve"> </w:t>
            </w:r>
            <w:r w:rsidR="005E2A6B" w:rsidRPr="000B5BEF">
              <w:rPr>
                <w:rFonts w:ascii="Times New Roman" w:eastAsia="Times New Roman" w:hAnsi="Times New Roman" w:cs="Times New Roman"/>
                <w:b/>
                <w:lang w:eastAsia="lt-LT"/>
              </w:rPr>
              <w:t xml:space="preserve">Bendrai pertvarkymo valdybai vadovaujantis Reglamentu (ES) Nr. 806/2014 priėmus </w:t>
            </w:r>
            <w:r w:rsidR="005E2A6B" w:rsidRPr="000B5BEF">
              <w:rPr>
                <w:rFonts w:ascii="Times New Roman" w:hAnsi="Times New Roman" w:cs="Times New Roman"/>
                <w:b/>
                <w:bCs/>
              </w:rPr>
              <w:t xml:space="preserve">sprendimą </w:t>
            </w:r>
            <w:r w:rsidR="005E2A6B" w:rsidRPr="000B5BEF">
              <w:rPr>
                <w:rFonts w:ascii="Times New Roman" w:eastAsia="Times New Roman" w:hAnsi="Times New Roman" w:cs="Times New Roman"/>
                <w:b/>
                <w:bCs/>
                <w:lang w:eastAsia="lt-LT"/>
              </w:rPr>
              <w:t xml:space="preserve">skirti baudą Lietuvos Respublikoje licencijuotam finansų sektoriaus subjektui (toliau – Bendros pertvarkymo valdybos sprendimas skirti baudą), </w:t>
            </w:r>
            <w:r w:rsidR="005E2A6B" w:rsidRPr="000B5BEF">
              <w:rPr>
                <w:rFonts w:ascii="Times New Roman" w:eastAsia="Times New Roman" w:hAnsi="Times New Roman" w:cs="Times New Roman"/>
                <w:b/>
                <w:lang w:eastAsia="lt-LT"/>
              </w:rPr>
              <w:t xml:space="preserve">paskirta bauda turi būti sumokama per </w:t>
            </w:r>
            <w:r w:rsidR="005E2A6B" w:rsidRPr="000B5BEF">
              <w:rPr>
                <w:rFonts w:ascii="Times New Roman" w:eastAsia="Times New Roman" w:hAnsi="Times New Roman" w:cs="Times New Roman"/>
                <w:b/>
                <w:bCs/>
                <w:lang w:eastAsia="lt-LT"/>
              </w:rPr>
              <w:t xml:space="preserve">Bendros pertvarkymo valdybos </w:t>
            </w:r>
            <w:r w:rsidR="005E2A6B" w:rsidRPr="000B5BEF">
              <w:rPr>
                <w:rFonts w:ascii="Times New Roman" w:eastAsia="Times New Roman" w:hAnsi="Times New Roman" w:cs="Times New Roman"/>
                <w:b/>
                <w:lang w:eastAsia="lt-LT"/>
              </w:rPr>
              <w:t>sprendime skirti baudą nustatytą terminą, o kai toks terminas nenustatytas, – ne vėliau kaip per</w:t>
            </w:r>
            <w:r w:rsidR="005E2A6B" w:rsidRPr="000B5BEF">
              <w:rPr>
                <w:rFonts w:ascii="Times New Roman" w:hAnsi="Times New Roman" w:cs="Times New Roman"/>
              </w:rPr>
              <w:t xml:space="preserve"> </w:t>
            </w:r>
            <w:r w:rsidR="005E2A6B" w:rsidRPr="000B5BEF">
              <w:rPr>
                <w:rFonts w:ascii="Times New Roman" w:eastAsia="Times New Roman" w:hAnsi="Times New Roman" w:cs="Times New Roman"/>
                <w:b/>
                <w:lang w:eastAsia="lt-LT"/>
              </w:rPr>
              <w:t>40 dienų nuo dienos, kai asmuo gauna tokį sprendimą.</w:t>
            </w:r>
            <w:r w:rsidR="005E2A6B" w:rsidRPr="000B5BEF">
              <w:rPr>
                <w:rFonts w:ascii="Times New Roman" w:eastAsia="Times New Roman" w:hAnsi="Times New Roman" w:cs="Times New Roman"/>
                <w:lang w:eastAsia="lt-LT"/>
              </w:rPr>
              <w:t>“</w:t>
            </w:r>
          </w:p>
          <w:p w:rsidR="005E2A6B" w:rsidRPr="000B5BEF" w:rsidRDefault="005E2A6B" w:rsidP="005E2A6B">
            <w:pPr>
              <w:ind w:firstLine="851"/>
              <w:jc w:val="both"/>
              <w:rPr>
                <w:rFonts w:ascii="Times New Roman" w:eastAsia="Times New Roman" w:hAnsi="Times New Roman" w:cs="Times New Roman"/>
                <w:lang w:eastAsia="lt-LT"/>
              </w:rPr>
            </w:pPr>
            <w:r w:rsidRPr="000B5BEF">
              <w:rPr>
                <w:rFonts w:ascii="Times New Roman" w:eastAsia="Times New Roman" w:hAnsi="Times New Roman" w:cs="Times New Roman"/>
                <w:lang w:eastAsia="lt-LT"/>
              </w:rPr>
              <w:t>2. Papildyti 46 straipsnį 7 dalimi:</w:t>
            </w:r>
          </w:p>
          <w:p w:rsidR="005E2A6B" w:rsidRPr="000B5BEF" w:rsidRDefault="005E2A6B" w:rsidP="005E2A6B">
            <w:pPr>
              <w:ind w:firstLine="851"/>
              <w:jc w:val="both"/>
              <w:rPr>
                <w:rFonts w:ascii="Times New Roman" w:eastAsia="Times New Roman" w:hAnsi="Times New Roman" w:cs="Times New Roman"/>
                <w:b/>
                <w:bCs/>
                <w:lang w:eastAsia="lt-LT"/>
              </w:rPr>
            </w:pPr>
            <w:r w:rsidRPr="000B5BEF">
              <w:rPr>
                <w:rFonts w:ascii="Times New Roman" w:eastAsia="Times New Roman" w:hAnsi="Times New Roman" w:cs="Times New Roman"/>
                <w:lang w:eastAsia="lt-LT"/>
              </w:rPr>
              <w:t>„</w:t>
            </w:r>
            <w:r w:rsidRPr="000B5BEF">
              <w:rPr>
                <w:rFonts w:ascii="Times New Roman" w:eastAsia="Times New Roman" w:hAnsi="Times New Roman" w:cs="Times New Roman"/>
                <w:b/>
                <w:lang w:eastAsia="lt-LT"/>
              </w:rPr>
              <w:t xml:space="preserve">7. Lietuvos banko ir (arba) Bendros pertvarkymo valdybos </w:t>
            </w:r>
            <w:r w:rsidRPr="000B5BEF">
              <w:rPr>
                <w:rFonts w:ascii="Times New Roman" w:hAnsi="Times New Roman" w:cs="Times New Roman"/>
                <w:b/>
                <w:bCs/>
              </w:rPr>
              <w:t xml:space="preserve">pateiktus prašymus dėl Bendros pertvarkymo valdybos sprendimo </w:t>
            </w:r>
            <w:r w:rsidRPr="000B5BEF">
              <w:rPr>
                <w:rFonts w:ascii="Times New Roman" w:eastAsia="Times New Roman" w:hAnsi="Times New Roman" w:cs="Times New Roman"/>
                <w:b/>
                <w:bCs/>
                <w:lang w:eastAsia="lt-LT"/>
              </w:rPr>
              <w:t xml:space="preserve">skirti baudą </w:t>
            </w:r>
            <w:r w:rsidRPr="000B5BEF">
              <w:rPr>
                <w:rFonts w:ascii="Times New Roman" w:hAnsi="Times New Roman" w:cs="Times New Roman"/>
                <w:b/>
                <w:bCs/>
              </w:rPr>
              <w:lastRenderedPageBreak/>
              <w:t xml:space="preserve">autentiškumo patikrinimo nagrinėja Lietuvos apeliacinis teismas, </w:t>
            </w:r>
            <w:proofErr w:type="spellStart"/>
            <w:r w:rsidRPr="000B5BEF">
              <w:rPr>
                <w:rFonts w:ascii="Times New Roman" w:hAnsi="Times New Roman" w:cs="Times New Roman"/>
                <w:b/>
                <w:bCs/>
                <w:i/>
                <w:iCs/>
              </w:rPr>
              <w:t>mutatis</w:t>
            </w:r>
            <w:proofErr w:type="spellEnd"/>
            <w:r w:rsidRPr="000B5BEF">
              <w:rPr>
                <w:rFonts w:ascii="Times New Roman" w:hAnsi="Times New Roman" w:cs="Times New Roman"/>
                <w:b/>
                <w:bCs/>
                <w:i/>
                <w:iCs/>
              </w:rPr>
              <w:t xml:space="preserve"> </w:t>
            </w:r>
            <w:proofErr w:type="spellStart"/>
            <w:r w:rsidRPr="000B5BEF">
              <w:rPr>
                <w:rFonts w:ascii="Times New Roman" w:hAnsi="Times New Roman" w:cs="Times New Roman"/>
                <w:b/>
                <w:bCs/>
                <w:i/>
                <w:iCs/>
              </w:rPr>
              <w:t>mutandis</w:t>
            </w:r>
            <w:proofErr w:type="spellEnd"/>
            <w:r w:rsidRPr="000B5BEF">
              <w:rPr>
                <w:rFonts w:ascii="Times New Roman" w:hAnsi="Times New Roman" w:cs="Times New Roman"/>
                <w:b/>
                <w:bCs/>
              </w:rPr>
              <w:t xml:space="preserve"> taikydamas Lietuvos Respublikos civilinį procesą reglamentuojančių Europos Sąjungos ir tarptautinės teisės aktų įgyvendinimo įstatymo 4 straipsnio 4–6 dalių nuostatas tiek, kiek šioje dalyje nenustatyta kitaip. Lietuvos apeliacinis teismas patikrina Bendros pertvarkymo valdybos sprendimo skirti baudą autentiškumą ne vėliau kaip per 20 darbo dienų nuo prašymo gavimo teisme dienos. Lietuvos apeliacinio teismo nutartis, kuria išsprendžiamas Bendros pertvarkymo valdybos sprendimo skirti baudą autentiškumo klausimas, kasacine tvarka neskundžiama. Bendros pertvarkymo valdybos sprendimas skirti baudą ir įsiteisėjusi Lietuvos apeliacinio teismo nutartis, kuria išsprendžiamas Bendros pertvarkymo valdybos sprendimo skirti baudą autentiškumo klausimas, yra vykdomieji dokumentai.</w:t>
            </w:r>
            <w:r w:rsidRPr="000B5BEF">
              <w:rPr>
                <w:rFonts w:ascii="Times New Roman" w:hAnsi="Times New Roman" w:cs="Times New Roman"/>
                <w:bCs/>
              </w:rPr>
              <w:t>“</w:t>
            </w:r>
          </w:p>
          <w:p w:rsidR="00D51071" w:rsidRPr="000B5BEF" w:rsidRDefault="00D51071" w:rsidP="005E2A6B">
            <w:pPr>
              <w:ind w:firstLine="851"/>
              <w:jc w:val="both"/>
              <w:rPr>
                <w:rFonts w:ascii="Times New Roman" w:hAnsi="Times New Roman" w:cs="Times New Roman"/>
              </w:rPr>
            </w:pPr>
          </w:p>
        </w:tc>
        <w:tc>
          <w:tcPr>
            <w:tcW w:w="1418" w:type="dxa"/>
          </w:tcPr>
          <w:p w:rsidR="00B46A23" w:rsidRPr="000B5BEF" w:rsidRDefault="00B46A23" w:rsidP="00B46A23">
            <w:pPr>
              <w:autoSpaceDE w:val="0"/>
              <w:autoSpaceDN w:val="0"/>
              <w:adjustRightInd w:val="0"/>
              <w:ind w:firstLine="34"/>
              <w:jc w:val="both"/>
              <w:rPr>
                <w:rFonts w:ascii="Times New Roman" w:hAnsi="Times New Roman" w:cs="Times New Roman"/>
                <w:color w:val="000000"/>
              </w:rPr>
            </w:pPr>
          </w:p>
          <w:p w:rsidR="004D7659" w:rsidRPr="000B5BEF" w:rsidRDefault="00B46A23" w:rsidP="00B46A23">
            <w:pPr>
              <w:rPr>
                <w:rFonts w:ascii="Times New Roman" w:hAnsi="Times New Roman" w:cs="Times New Roman"/>
              </w:rPr>
            </w:pPr>
            <w:r w:rsidRPr="000B5BEF">
              <w:rPr>
                <w:rFonts w:ascii="Times New Roman" w:hAnsi="Times New Roman" w:cs="Times New Roman"/>
                <w:color w:val="000000"/>
              </w:rPr>
              <w:t>Visiškas</w:t>
            </w:r>
          </w:p>
        </w:tc>
      </w:tr>
      <w:tr w:rsidR="00113353" w:rsidRPr="000B5BEF" w:rsidTr="006B1231">
        <w:tc>
          <w:tcPr>
            <w:tcW w:w="5353" w:type="dxa"/>
          </w:tcPr>
          <w:p w:rsidR="00113353" w:rsidRPr="000B5BEF" w:rsidRDefault="00113353" w:rsidP="00B7670C">
            <w:pPr>
              <w:pStyle w:val="ti-art"/>
              <w:shd w:val="clear" w:color="auto" w:fill="FFFFFF"/>
              <w:spacing w:before="0" w:beforeAutospacing="0" w:after="0" w:afterAutospacing="0"/>
              <w:jc w:val="both"/>
              <w:textAlignment w:val="baseline"/>
              <w:rPr>
                <w:b/>
                <w:iCs/>
                <w:color w:val="444444"/>
                <w:sz w:val="22"/>
                <w:szCs w:val="22"/>
              </w:rPr>
            </w:pPr>
            <w:r w:rsidRPr="000B5BEF">
              <w:rPr>
                <w:b/>
                <w:iCs/>
                <w:color w:val="444444"/>
                <w:sz w:val="22"/>
                <w:szCs w:val="22"/>
              </w:rPr>
              <w:lastRenderedPageBreak/>
              <w:t>79 straipsnis</w:t>
            </w:r>
          </w:p>
          <w:p w:rsidR="00113353" w:rsidRPr="000B5BEF" w:rsidRDefault="00113353" w:rsidP="00B7670C">
            <w:pPr>
              <w:pStyle w:val="ti-art"/>
              <w:shd w:val="clear" w:color="auto" w:fill="FFFFFF"/>
              <w:spacing w:before="0" w:beforeAutospacing="0" w:after="0" w:afterAutospacing="0"/>
              <w:jc w:val="both"/>
              <w:textAlignment w:val="baseline"/>
              <w:rPr>
                <w:b/>
                <w:iCs/>
                <w:color w:val="444444"/>
                <w:sz w:val="22"/>
                <w:szCs w:val="22"/>
              </w:rPr>
            </w:pPr>
            <w:r w:rsidRPr="000B5BEF">
              <w:rPr>
                <w:b/>
                <w:iCs/>
                <w:color w:val="444444"/>
                <w:sz w:val="22"/>
                <w:szCs w:val="22"/>
              </w:rPr>
              <w:t>Indėlių garantijų sistemų naudojimas vykdant pertvarkymą</w:t>
            </w:r>
          </w:p>
          <w:p w:rsidR="00113353" w:rsidRPr="000B5BEF" w:rsidRDefault="00113353" w:rsidP="00B7670C">
            <w:pPr>
              <w:pStyle w:val="ti-art"/>
              <w:shd w:val="clear" w:color="auto" w:fill="FFFFFF"/>
              <w:spacing w:before="0" w:beforeAutospacing="0" w:after="0" w:afterAutospacing="0"/>
              <w:jc w:val="both"/>
              <w:textAlignment w:val="baseline"/>
              <w:rPr>
                <w:iCs/>
                <w:color w:val="444444"/>
                <w:sz w:val="22"/>
                <w:szCs w:val="22"/>
              </w:rPr>
            </w:pPr>
            <w:r w:rsidRPr="000B5BEF">
              <w:rPr>
                <w:iCs/>
                <w:color w:val="444444"/>
                <w:sz w:val="22"/>
                <w:szCs w:val="22"/>
              </w:rPr>
              <w:t>1. Dalyvaujančios valstybės narės užtikrina, kad kai Valdyba imasi pertvarkymo veiksmo, su sąlyga, kad tuo veiksmu užtikrinama, jog indėlininkai ir toliau turėtų galimybę naudotis savo indėliais, indėlių garantijų sistema, su kuria yra susijusi įstaiga, būtų atsakinga už Direktyvos 2014/59/ES 109 straipsnio 1 ir 4 dalyse nurodytas sumas.</w:t>
            </w:r>
          </w:p>
          <w:p w:rsidR="00113353" w:rsidRPr="000B5BEF" w:rsidRDefault="00113353" w:rsidP="00B7670C">
            <w:pPr>
              <w:pStyle w:val="ti-art"/>
              <w:shd w:val="clear" w:color="auto" w:fill="FFFFFF"/>
              <w:spacing w:before="0" w:beforeAutospacing="0" w:after="0" w:afterAutospacing="0"/>
              <w:jc w:val="both"/>
              <w:textAlignment w:val="baseline"/>
              <w:rPr>
                <w:iCs/>
                <w:color w:val="444444"/>
                <w:sz w:val="22"/>
                <w:szCs w:val="22"/>
              </w:rPr>
            </w:pPr>
            <w:r w:rsidRPr="000B5BEF">
              <w:rPr>
                <w:iCs/>
                <w:color w:val="444444"/>
                <w:sz w:val="22"/>
                <w:szCs w:val="22"/>
              </w:rPr>
              <w:t xml:space="preserve">Vykstant likvidavimo procedūrai atitinkama indėlių garantijų sistema perima apdraustųjų indėlininkų teises ir pareigas, atitinkančius sumą, kuri lygi jos įmokai </w:t>
            </w:r>
          </w:p>
        </w:tc>
        <w:tc>
          <w:tcPr>
            <w:tcW w:w="7938" w:type="dxa"/>
          </w:tcPr>
          <w:p w:rsidR="00113353" w:rsidRPr="000B5BEF" w:rsidRDefault="00113353" w:rsidP="006B1231">
            <w:pPr>
              <w:jc w:val="both"/>
              <w:rPr>
                <w:rFonts w:ascii="Times New Roman" w:eastAsia="Times New Roman" w:hAnsi="Times New Roman" w:cs="Times New Roman"/>
                <w:b/>
                <w:bCs/>
                <w:lang w:eastAsia="lt-LT"/>
              </w:rPr>
            </w:pPr>
            <w:r w:rsidRPr="000B5BEF">
              <w:rPr>
                <w:rFonts w:ascii="Times New Roman" w:eastAsia="Times New Roman" w:hAnsi="Times New Roman" w:cs="Times New Roman"/>
                <w:b/>
                <w:bCs/>
                <w:lang w:eastAsia="lt-LT"/>
              </w:rPr>
              <w:t>IĮIDĮ projektas</w:t>
            </w:r>
          </w:p>
          <w:p w:rsidR="002E730A" w:rsidRPr="000B5BEF" w:rsidRDefault="002E730A" w:rsidP="002E730A">
            <w:pPr>
              <w:tabs>
                <w:tab w:val="left" w:pos="851"/>
                <w:tab w:val="left" w:pos="8789"/>
                <w:tab w:val="left" w:pos="9498"/>
                <w:tab w:val="left" w:pos="9639"/>
              </w:tabs>
              <w:ind w:firstLine="851"/>
              <w:jc w:val="both"/>
              <w:rPr>
                <w:rFonts w:ascii="Times New Roman" w:hAnsi="Times New Roman" w:cs="Times New Roman"/>
                <w:bCs/>
                <w:lang w:eastAsia="lt-LT"/>
              </w:rPr>
            </w:pPr>
            <w:r w:rsidRPr="000B5BEF">
              <w:rPr>
                <w:rFonts w:ascii="Times New Roman" w:hAnsi="Times New Roman" w:cs="Times New Roman"/>
                <w:b/>
                <w:bCs/>
                <w:lang w:eastAsia="lt-LT"/>
              </w:rPr>
              <w:t xml:space="preserve">27 straipsnis. 46 straipsnio pakeitimas </w:t>
            </w:r>
          </w:p>
          <w:p w:rsidR="002E730A" w:rsidRPr="000B5BEF" w:rsidRDefault="002E730A" w:rsidP="002E730A">
            <w:pPr>
              <w:tabs>
                <w:tab w:val="left" w:pos="851"/>
                <w:tab w:val="left" w:pos="8789"/>
                <w:tab w:val="left" w:pos="9498"/>
                <w:tab w:val="left" w:pos="9639"/>
              </w:tabs>
              <w:ind w:firstLine="851"/>
              <w:jc w:val="both"/>
              <w:rPr>
                <w:rFonts w:ascii="Times New Roman" w:hAnsi="Times New Roman" w:cs="Times New Roman"/>
              </w:rPr>
            </w:pPr>
            <w:r w:rsidRPr="000B5BEF">
              <w:rPr>
                <w:rFonts w:ascii="Times New Roman" w:hAnsi="Times New Roman" w:cs="Times New Roman"/>
              </w:rPr>
              <w:t xml:space="preserve">Pakeisti 46 straipsnį ir jį išdėstyti taip: </w:t>
            </w:r>
          </w:p>
          <w:p w:rsidR="002E730A" w:rsidRPr="000B5BEF" w:rsidRDefault="002E730A" w:rsidP="002E730A">
            <w:pPr>
              <w:tabs>
                <w:tab w:val="left" w:pos="8789"/>
                <w:tab w:val="left" w:pos="9498"/>
                <w:tab w:val="left" w:pos="9639"/>
              </w:tabs>
              <w:ind w:left="2268" w:hanging="1417"/>
              <w:jc w:val="both"/>
              <w:rPr>
                <w:rFonts w:ascii="Times New Roman" w:hAnsi="Times New Roman" w:cs="Times New Roman"/>
              </w:rPr>
            </w:pPr>
            <w:r w:rsidRPr="000B5BEF">
              <w:rPr>
                <w:rFonts w:ascii="Times New Roman" w:hAnsi="Times New Roman" w:cs="Times New Roman"/>
              </w:rPr>
              <w:t xml:space="preserve">„46 straipsnis. </w:t>
            </w:r>
            <w:r w:rsidRPr="000B5BEF">
              <w:rPr>
                <w:rFonts w:ascii="Times New Roman" w:hAnsi="Times New Roman" w:cs="Times New Roman"/>
                <w:bCs/>
              </w:rPr>
              <w:t xml:space="preserve">Draudimo įmonės dalyvavimas finansuojant banko ar </w:t>
            </w:r>
            <w:r w:rsidRPr="000B5BEF">
              <w:rPr>
                <w:rFonts w:ascii="Times New Roman" w:hAnsi="Times New Roman" w:cs="Times New Roman"/>
                <w:bCs/>
                <w:strike/>
              </w:rPr>
              <w:t>Centrinės</w:t>
            </w:r>
            <w:r w:rsidRPr="000B5BEF">
              <w:rPr>
                <w:rFonts w:ascii="Times New Roman" w:hAnsi="Times New Roman" w:cs="Times New Roman"/>
                <w:bCs/>
              </w:rPr>
              <w:t xml:space="preserve"> </w:t>
            </w:r>
            <w:proofErr w:type="spellStart"/>
            <w:r w:rsidRPr="000B5BEF">
              <w:rPr>
                <w:rFonts w:ascii="Times New Roman" w:hAnsi="Times New Roman" w:cs="Times New Roman"/>
                <w:bCs/>
              </w:rPr>
              <w:t>centrinės</w:t>
            </w:r>
            <w:proofErr w:type="spellEnd"/>
            <w:r w:rsidRPr="000B5BEF">
              <w:rPr>
                <w:rFonts w:ascii="Times New Roman" w:hAnsi="Times New Roman" w:cs="Times New Roman"/>
                <w:bCs/>
              </w:rPr>
              <w:t xml:space="preserve"> kredito unijos pertvarkymą</w:t>
            </w:r>
          </w:p>
          <w:p w:rsidR="00113353" w:rsidRPr="000B5BEF" w:rsidRDefault="002E730A" w:rsidP="002E730A">
            <w:pPr>
              <w:ind w:firstLine="851"/>
              <w:jc w:val="both"/>
              <w:rPr>
                <w:rFonts w:ascii="Times New Roman" w:hAnsi="Times New Roman" w:cs="Times New Roman"/>
                <w:bCs/>
              </w:rPr>
            </w:pPr>
            <w:r w:rsidRPr="000B5BEF">
              <w:rPr>
                <w:rFonts w:ascii="Times New Roman" w:hAnsi="Times New Roman" w:cs="Times New Roman"/>
                <w:lang w:eastAsia="lt-LT"/>
              </w:rPr>
              <w:t xml:space="preserve">1. Lietuvos Respublikos finansinio tvarumo įstatymo </w:t>
            </w:r>
            <w:r w:rsidRPr="000B5BEF">
              <w:rPr>
                <w:rFonts w:ascii="Times New Roman" w:hAnsi="Times New Roman" w:cs="Times New Roman"/>
              </w:rPr>
              <w:t>105 straipsnyje nustatytu</w:t>
            </w:r>
            <w:r w:rsidRPr="000B5BEF">
              <w:rPr>
                <w:rFonts w:ascii="Times New Roman" w:hAnsi="Times New Roman" w:cs="Times New Roman"/>
                <w:lang w:eastAsia="lt-LT"/>
              </w:rPr>
              <w:t xml:space="preserve"> atveju draudimo įmonė dalyvauja finansuojant banko ar </w:t>
            </w:r>
            <w:r w:rsidRPr="000B5BEF">
              <w:rPr>
                <w:rFonts w:ascii="Times New Roman" w:hAnsi="Times New Roman" w:cs="Times New Roman"/>
                <w:strike/>
                <w:lang w:eastAsia="lt-LT"/>
              </w:rPr>
              <w:t>Centrinės</w:t>
            </w:r>
            <w:r w:rsidRPr="000B5BEF">
              <w:rPr>
                <w:rFonts w:ascii="Times New Roman" w:hAnsi="Times New Roman" w:cs="Times New Roman"/>
                <w:lang w:eastAsia="lt-LT"/>
              </w:rPr>
              <w:t xml:space="preserve"> </w:t>
            </w:r>
            <w:proofErr w:type="spellStart"/>
            <w:r w:rsidRPr="000B5BEF">
              <w:rPr>
                <w:rFonts w:ascii="Times New Roman" w:hAnsi="Times New Roman" w:cs="Times New Roman"/>
                <w:b/>
                <w:lang w:eastAsia="lt-LT"/>
              </w:rPr>
              <w:t>centrinės</w:t>
            </w:r>
            <w:proofErr w:type="spellEnd"/>
            <w:r w:rsidRPr="000B5BEF">
              <w:rPr>
                <w:rFonts w:ascii="Times New Roman" w:hAnsi="Times New Roman" w:cs="Times New Roman"/>
                <w:lang w:eastAsia="lt-LT"/>
              </w:rPr>
              <w:t xml:space="preserve"> kredito unijos pertvarkymą, iš </w:t>
            </w:r>
            <w:r w:rsidRPr="000B5BEF">
              <w:rPr>
                <w:rFonts w:ascii="Times New Roman" w:hAnsi="Times New Roman" w:cs="Times New Roman"/>
                <w:bCs/>
              </w:rPr>
              <w:t>Indėlių draudimo fondo</w:t>
            </w:r>
            <w:r w:rsidRPr="000B5BEF">
              <w:rPr>
                <w:rFonts w:ascii="Times New Roman" w:hAnsi="Times New Roman" w:cs="Times New Roman"/>
                <w:lang w:eastAsia="lt-LT"/>
              </w:rPr>
              <w:t xml:space="preserve"> pervesdama lėšų pertvarkymo institucijos nurodytam subjektui. Pervedamų lėšų sumą, </w:t>
            </w:r>
            <w:r w:rsidRPr="000B5BEF">
              <w:rPr>
                <w:rFonts w:ascii="Times New Roman" w:hAnsi="Times New Roman" w:cs="Times New Roman"/>
                <w:strike/>
                <w:lang w:eastAsia="lt-LT"/>
              </w:rPr>
              <w:t>pasikonsultavusi</w:t>
            </w:r>
            <w:r w:rsidRPr="000B5BEF">
              <w:rPr>
                <w:rFonts w:ascii="Times New Roman" w:hAnsi="Times New Roman" w:cs="Times New Roman"/>
                <w:lang w:eastAsia="lt-LT"/>
              </w:rPr>
              <w:t xml:space="preserve"> </w:t>
            </w:r>
            <w:r w:rsidRPr="000B5BEF">
              <w:rPr>
                <w:rFonts w:ascii="Times New Roman" w:hAnsi="Times New Roman" w:cs="Times New Roman"/>
                <w:b/>
                <w:lang w:eastAsia="lt-LT"/>
              </w:rPr>
              <w:t xml:space="preserve">suderinusi </w:t>
            </w:r>
            <w:r w:rsidRPr="000B5BEF">
              <w:rPr>
                <w:rFonts w:ascii="Times New Roman" w:hAnsi="Times New Roman" w:cs="Times New Roman"/>
                <w:lang w:eastAsia="lt-LT"/>
              </w:rPr>
              <w:t>su draudimo įmonės savininko teises ir pareigas įgyvendinančia institucija, nustato pertvarkymo institucija</w:t>
            </w:r>
            <w:r w:rsidRPr="000B5BEF">
              <w:rPr>
                <w:rFonts w:ascii="Times New Roman" w:hAnsi="Times New Roman" w:cs="Times New Roman"/>
                <w:bCs/>
              </w:rPr>
              <w:t>.</w:t>
            </w:r>
          </w:p>
          <w:p w:rsidR="002E730A" w:rsidRPr="000B5BEF" w:rsidRDefault="002E730A" w:rsidP="002E730A">
            <w:pPr>
              <w:ind w:firstLine="851"/>
              <w:jc w:val="both"/>
              <w:rPr>
                <w:rFonts w:ascii="Times New Roman" w:hAnsi="Times New Roman" w:cs="Times New Roman"/>
              </w:rPr>
            </w:pPr>
          </w:p>
        </w:tc>
        <w:tc>
          <w:tcPr>
            <w:tcW w:w="1418" w:type="dxa"/>
          </w:tcPr>
          <w:p w:rsidR="00113353" w:rsidRPr="000B5BEF" w:rsidRDefault="00113353" w:rsidP="00B7670C">
            <w:pPr>
              <w:autoSpaceDE w:val="0"/>
              <w:autoSpaceDN w:val="0"/>
              <w:adjustRightInd w:val="0"/>
              <w:ind w:firstLine="34"/>
              <w:jc w:val="both"/>
              <w:rPr>
                <w:rFonts w:ascii="Times New Roman" w:hAnsi="Times New Roman" w:cs="Times New Roman"/>
                <w:color w:val="000000"/>
              </w:rPr>
            </w:pPr>
          </w:p>
          <w:p w:rsidR="00113353" w:rsidRPr="000B5BEF" w:rsidRDefault="00113353" w:rsidP="00B7670C">
            <w:pPr>
              <w:ind w:firstLine="34"/>
              <w:jc w:val="both"/>
              <w:rPr>
                <w:rFonts w:ascii="Times New Roman" w:hAnsi="Times New Roman" w:cs="Times New Roman"/>
                <w:b/>
              </w:rPr>
            </w:pPr>
            <w:r w:rsidRPr="000B5BEF">
              <w:rPr>
                <w:rFonts w:ascii="Times New Roman" w:hAnsi="Times New Roman" w:cs="Times New Roman"/>
                <w:color w:val="000000"/>
              </w:rPr>
              <w:t>Visiškas</w:t>
            </w:r>
          </w:p>
        </w:tc>
      </w:tr>
    </w:tbl>
    <w:p w:rsidR="00C40BDE" w:rsidRPr="000B5BEF" w:rsidRDefault="00C40BDE" w:rsidP="0087166A">
      <w:pPr>
        <w:spacing w:after="0" w:line="240" w:lineRule="auto"/>
        <w:rPr>
          <w:rFonts w:ascii="Times New Roman" w:hAnsi="Times New Roman" w:cs="Times New Roman"/>
        </w:rPr>
      </w:pPr>
    </w:p>
    <w:p w:rsidR="0087166A" w:rsidRPr="000B5BEF" w:rsidRDefault="00C40BDE" w:rsidP="00C40BDE">
      <w:pPr>
        <w:spacing w:after="0" w:line="240" w:lineRule="auto"/>
        <w:jc w:val="center"/>
        <w:rPr>
          <w:rFonts w:ascii="Times New Roman" w:hAnsi="Times New Roman" w:cs="Times New Roman"/>
        </w:rPr>
      </w:pPr>
      <w:r w:rsidRPr="000B5BEF">
        <w:rPr>
          <w:rFonts w:ascii="Times New Roman" w:hAnsi="Times New Roman" w:cs="Times New Roman"/>
        </w:rPr>
        <w:t>____________________________</w:t>
      </w:r>
      <w:bookmarkStart w:id="0" w:name="_GoBack"/>
      <w:bookmarkEnd w:id="0"/>
    </w:p>
    <w:sectPr w:rsidR="0087166A" w:rsidRPr="000B5BEF" w:rsidSect="00A83243">
      <w:headerReference w:type="default" r:id="rId7"/>
      <w:footerReference w:type="default" r:id="rId8"/>
      <w:pgSz w:w="16838" w:h="11906" w:orient="landscape"/>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6AA" w:rsidRDefault="00B636AA" w:rsidP="00B636AA">
      <w:pPr>
        <w:spacing w:after="0" w:line="240" w:lineRule="auto"/>
      </w:pPr>
      <w:r>
        <w:separator/>
      </w:r>
    </w:p>
  </w:endnote>
  <w:endnote w:type="continuationSeparator" w:id="0">
    <w:p w:rsidR="00B636AA" w:rsidRDefault="00B636AA" w:rsidP="00B6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6AA" w:rsidRDefault="00B636AA">
    <w:pPr>
      <w:pStyle w:val="Porat"/>
      <w:jc w:val="right"/>
    </w:pPr>
  </w:p>
  <w:p w:rsidR="00B636AA" w:rsidRDefault="00B636A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6AA" w:rsidRDefault="00B636AA" w:rsidP="00B636AA">
      <w:pPr>
        <w:spacing w:after="0" w:line="240" w:lineRule="auto"/>
      </w:pPr>
      <w:r>
        <w:separator/>
      </w:r>
    </w:p>
  </w:footnote>
  <w:footnote w:type="continuationSeparator" w:id="0">
    <w:p w:rsidR="00B636AA" w:rsidRDefault="00B636AA" w:rsidP="00B636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086514"/>
      <w:docPartObj>
        <w:docPartGallery w:val="Page Numbers (Top of Page)"/>
        <w:docPartUnique/>
      </w:docPartObj>
    </w:sdtPr>
    <w:sdtEndPr>
      <w:rPr>
        <w:rFonts w:ascii="Times New Roman" w:hAnsi="Times New Roman" w:cs="Times New Roman"/>
        <w:sz w:val="24"/>
        <w:szCs w:val="24"/>
      </w:rPr>
    </w:sdtEndPr>
    <w:sdtContent>
      <w:p w:rsidR="00A83243" w:rsidRPr="00A83243" w:rsidRDefault="00A83243" w:rsidP="00A83243">
        <w:pPr>
          <w:pStyle w:val="Antrats"/>
          <w:jc w:val="center"/>
          <w:rPr>
            <w:rFonts w:ascii="Times New Roman" w:hAnsi="Times New Roman" w:cs="Times New Roman"/>
            <w:sz w:val="24"/>
            <w:szCs w:val="24"/>
          </w:rPr>
        </w:pPr>
        <w:r w:rsidRPr="00A83243">
          <w:rPr>
            <w:rFonts w:ascii="Times New Roman" w:hAnsi="Times New Roman" w:cs="Times New Roman"/>
            <w:sz w:val="24"/>
            <w:szCs w:val="24"/>
          </w:rPr>
          <w:fldChar w:fldCharType="begin"/>
        </w:r>
        <w:r w:rsidRPr="00A83243">
          <w:rPr>
            <w:rFonts w:ascii="Times New Roman" w:hAnsi="Times New Roman" w:cs="Times New Roman"/>
            <w:sz w:val="24"/>
            <w:szCs w:val="24"/>
          </w:rPr>
          <w:instrText>PAGE   \* MERGEFORMAT</w:instrText>
        </w:r>
        <w:r w:rsidRPr="00A83243">
          <w:rPr>
            <w:rFonts w:ascii="Times New Roman" w:hAnsi="Times New Roman" w:cs="Times New Roman"/>
            <w:sz w:val="24"/>
            <w:szCs w:val="24"/>
          </w:rPr>
          <w:fldChar w:fldCharType="separate"/>
        </w:r>
        <w:r w:rsidR="000B5BEF">
          <w:rPr>
            <w:rFonts w:ascii="Times New Roman" w:hAnsi="Times New Roman" w:cs="Times New Roman"/>
            <w:noProof/>
            <w:sz w:val="24"/>
            <w:szCs w:val="24"/>
          </w:rPr>
          <w:t>2</w:t>
        </w:r>
        <w:r w:rsidRPr="00A83243">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6A"/>
    <w:rsid w:val="00093058"/>
    <w:rsid w:val="000B5BEF"/>
    <w:rsid w:val="00113353"/>
    <w:rsid w:val="00147D1B"/>
    <w:rsid w:val="001B17AD"/>
    <w:rsid w:val="001D4579"/>
    <w:rsid w:val="00202F08"/>
    <w:rsid w:val="002E5133"/>
    <w:rsid w:val="002E730A"/>
    <w:rsid w:val="003942BA"/>
    <w:rsid w:val="00421506"/>
    <w:rsid w:val="004D7659"/>
    <w:rsid w:val="005E2A6B"/>
    <w:rsid w:val="006B1231"/>
    <w:rsid w:val="008416F5"/>
    <w:rsid w:val="0087166A"/>
    <w:rsid w:val="008A68DE"/>
    <w:rsid w:val="008B46C6"/>
    <w:rsid w:val="00905ABD"/>
    <w:rsid w:val="00976AA5"/>
    <w:rsid w:val="009D3A93"/>
    <w:rsid w:val="00A83243"/>
    <w:rsid w:val="00B46A23"/>
    <w:rsid w:val="00B636AA"/>
    <w:rsid w:val="00C40BDE"/>
    <w:rsid w:val="00C91C12"/>
    <w:rsid w:val="00D51071"/>
    <w:rsid w:val="00D74D0E"/>
    <w:rsid w:val="00FD6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7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art">
    <w:name w:val="ti-art"/>
    <w:basedOn w:val="prastasis"/>
    <w:rsid w:val="0087166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art">
    <w:name w:val="sti-art"/>
    <w:basedOn w:val="prastasis"/>
    <w:rsid w:val="0087166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1">
    <w:name w:val="Įprastasis1"/>
    <w:basedOn w:val="prastasis"/>
    <w:rsid w:val="0087166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87166A"/>
  </w:style>
  <w:style w:type="character" w:customStyle="1" w:styleId="italic">
    <w:name w:val="italic"/>
    <w:basedOn w:val="Numatytasispastraiposriftas"/>
    <w:rsid w:val="0087166A"/>
  </w:style>
  <w:style w:type="paragraph" w:styleId="Debesliotekstas">
    <w:name w:val="Balloon Text"/>
    <w:basedOn w:val="prastasis"/>
    <w:link w:val="DebesliotekstasDiagrama"/>
    <w:uiPriority w:val="99"/>
    <w:semiHidden/>
    <w:unhideWhenUsed/>
    <w:rsid w:val="001D45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4579"/>
    <w:rPr>
      <w:rFonts w:ascii="Tahoma" w:hAnsi="Tahoma" w:cs="Tahoma"/>
      <w:sz w:val="16"/>
      <w:szCs w:val="16"/>
    </w:rPr>
  </w:style>
  <w:style w:type="character" w:styleId="Komentaronuoroda">
    <w:name w:val="annotation reference"/>
    <w:uiPriority w:val="99"/>
    <w:unhideWhenUsed/>
    <w:rsid w:val="00202F08"/>
    <w:rPr>
      <w:sz w:val="16"/>
      <w:szCs w:val="16"/>
    </w:rPr>
  </w:style>
  <w:style w:type="paragraph" w:styleId="Komentarotekstas">
    <w:name w:val="annotation text"/>
    <w:basedOn w:val="prastasis"/>
    <w:link w:val="KomentarotekstasDiagrama"/>
    <w:uiPriority w:val="99"/>
    <w:unhideWhenUsed/>
    <w:rsid w:val="00202F08"/>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202F08"/>
    <w:rPr>
      <w:rFonts w:ascii="Calibri" w:eastAsia="Calibri" w:hAnsi="Calibri" w:cs="Times New Roman"/>
      <w:sz w:val="20"/>
      <w:szCs w:val="20"/>
    </w:rPr>
  </w:style>
  <w:style w:type="paragraph" w:styleId="Antrats">
    <w:name w:val="header"/>
    <w:basedOn w:val="prastasis"/>
    <w:link w:val="AntratsDiagrama"/>
    <w:uiPriority w:val="99"/>
    <w:unhideWhenUsed/>
    <w:rsid w:val="00B636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36AA"/>
  </w:style>
  <w:style w:type="paragraph" w:styleId="Porat">
    <w:name w:val="footer"/>
    <w:basedOn w:val="prastasis"/>
    <w:link w:val="PoratDiagrama"/>
    <w:uiPriority w:val="99"/>
    <w:unhideWhenUsed/>
    <w:rsid w:val="00B636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36AA"/>
  </w:style>
  <w:style w:type="paragraph" w:styleId="Pagrindinistekstas">
    <w:name w:val="Body Text"/>
    <w:basedOn w:val="prastasis"/>
    <w:link w:val="PagrindinistekstasDiagrama"/>
    <w:rsid w:val="00113353"/>
    <w:pPr>
      <w:widowControl w:val="0"/>
      <w:suppressAutoHyphens/>
      <w:spacing w:after="120" w:line="240" w:lineRule="auto"/>
    </w:pPr>
    <w:rPr>
      <w:rFonts w:ascii="Times New Roman" w:eastAsia="Arial Unicode MS"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113353"/>
    <w:rPr>
      <w:rFonts w:ascii="Times New Roman" w:eastAsia="Arial Unicode MS" w:hAnsi="Times New Roman" w:cs="Times New Roman"/>
      <w:sz w:val="24"/>
      <w:szCs w:val="24"/>
      <w:lang w:eastAsia="lt-LT"/>
    </w:rPr>
  </w:style>
  <w:style w:type="paragraph" w:styleId="Sraopastraipa">
    <w:name w:val="List Paragraph"/>
    <w:basedOn w:val="prastasis"/>
    <w:uiPriority w:val="34"/>
    <w:qFormat/>
    <w:rsid w:val="002E73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7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art">
    <w:name w:val="ti-art"/>
    <w:basedOn w:val="prastasis"/>
    <w:rsid w:val="0087166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art">
    <w:name w:val="sti-art"/>
    <w:basedOn w:val="prastasis"/>
    <w:rsid w:val="0087166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1">
    <w:name w:val="Įprastasis1"/>
    <w:basedOn w:val="prastasis"/>
    <w:rsid w:val="0087166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87166A"/>
  </w:style>
  <w:style w:type="character" w:customStyle="1" w:styleId="italic">
    <w:name w:val="italic"/>
    <w:basedOn w:val="Numatytasispastraiposriftas"/>
    <w:rsid w:val="0087166A"/>
  </w:style>
  <w:style w:type="paragraph" w:styleId="Debesliotekstas">
    <w:name w:val="Balloon Text"/>
    <w:basedOn w:val="prastasis"/>
    <w:link w:val="DebesliotekstasDiagrama"/>
    <w:uiPriority w:val="99"/>
    <w:semiHidden/>
    <w:unhideWhenUsed/>
    <w:rsid w:val="001D45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4579"/>
    <w:rPr>
      <w:rFonts w:ascii="Tahoma" w:hAnsi="Tahoma" w:cs="Tahoma"/>
      <w:sz w:val="16"/>
      <w:szCs w:val="16"/>
    </w:rPr>
  </w:style>
  <w:style w:type="character" w:styleId="Komentaronuoroda">
    <w:name w:val="annotation reference"/>
    <w:uiPriority w:val="99"/>
    <w:unhideWhenUsed/>
    <w:rsid w:val="00202F08"/>
    <w:rPr>
      <w:sz w:val="16"/>
      <w:szCs w:val="16"/>
    </w:rPr>
  </w:style>
  <w:style w:type="paragraph" w:styleId="Komentarotekstas">
    <w:name w:val="annotation text"/>
    <w:basedOn w:val="prastasis"/>
    <w:link w:val="KomentarotekstasDiagrama"/>
    <w:uiPriority w:val="99"/>
    <w:unhideWhenUsed/>
    <w:rsid w:val="00202F08"/>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202F08"/>
    <w:rPr>
      <w:rFonts w:ascii="Calibri" w:eastAsia="Calibri" w:hAnsi="Calibri" w:cs="Times New Roman"/>
      <w:sz w:val="20"/>
      <w:szCs w:val="20"/>
    </w:rPr>
  </w:style>
  <w:style w:type="paragraph" w:styleId="Antrats">
    <w:name w:val="header"/>
    <w:basedOn w:val="prastasis"/>
    <w:link w:val="AntratsDiagrama"/>
    <w:uiPriority w:val="99"/>
    <w:unhideWhenUsed/>
    <w:rsid w:val="00B636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36AA"/>
  </w:style>
  <w:style w:type="paragraph" w:styleId="Porat">
    <w:name w:val="footer"/>
    <w:basedOn w:val="prastasis"/>
    <w:link w:val="PoratDiagrama"/>
    <w:uiPriority w:val="99"/>
    <w:unhideWhenUsed/>
    <w:rsid w:val="00B636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36AA"/>
  </w:style>
  <w:style w:type="paragraph" w:styleId="Pagrindinistekstas">
    <w:name w:val="Body Text"/>
    <w:basedOn w:val="prastasis"/>
    <w:link w:val="PagrindinistekstasDiagrama"/>
    <w:rsid w:val="00113353"/>
    <w:pPr>
      <w:widowControl w:val="0"/>
      <w:suppressAutoHyphens/>
      <w:spacing w:after="120" w:line="240" w:lineRule="auto"/>
    </w:pPr>
    <w:rPr>
      <w:rFonts w:ascii="Times New Roman" w:eastAsia="Arial Unicode MS"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113353"/>
    <w:rPr>
      <w:rFonts w:ascii="Times New Roman" w:eastAsia="Arial Unicode MS" w:hAnsi="Times New Roman" w:cs="Times New Roman"/>
      <w:sz w:val="24"/>
      <w:szCs w:val="24"/>
      <w:lang w:eastAsia="lt-LT"/>
    </w:rPr>
  </w:style>
  <w:style w:type="paragraph" w:styleId="Sraopastraipa">
    <w:name w:val="List Paragraph"/>
    <w:basedOn w:val="prastasis"/>
    <w:uiPriority w:val="34"/>
    <w:qFormat/>
    <w:rsid w:val="002E7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8796">
      <w:bodyDiv w:val="1"/>
      <w:marLeft w:val="0"/>
      <w:marRight w:val="0"/>
      <w:marTop w:val="0"/>
      <w:marBottom w:val="0"/>
      <w:divBdr>
        <w:top w:val="none" w:sz="0" w:space="0" w:color="auto"/>
        <w:left w:val="none" w:sz="0" w:space="0" w:color="auto"/>
        <w:bottom w:val="none" w:sz="0" w:space="0" w:color="auto"/>
        <w:right w:val="none" w:sz="0" w:space="0" w:color="auto"/>
      </w:divBdr>
    </w:div>
    <w:div w:id="197357277">
      <w:bodyDiv w:val="1"/>
      <w:marLeft w:val="0"/>
      <w:marRight w:val="0"/>
      <w:marTop w:val="0"/>
      <w:marBottom w:val="0"/>
      <w:divBdr>
        <w:top w:val="none" w:sz="0" w:space="0" w:color="auto"/>
        <w:left w:val="none" w:sz="0" w:space="0" w:color="auto"/>
        <w:bottom w:val="none" w:sz="0" w:space="0" w:color="auto"/>
        <w:right w:val="none" w:sz="0" w:space="0" w:color="auto"/>
      </w:divBdr>
    </w:div>
    <w:div w:id="205141470">
      <w:bodyDiv w:val="1"/>
      <w:marLeft w:val="0"/>
      <w:marRight w:val="0"/>
      <w:marTop w:val="0"/>
      <w:marBottom w:val="0"/>
      <w:divBdr>
        <w:top w:val="none" w:sz="0" w:space="0" w:color="auto"/>
        <w:left w:val="none" w:sz="0" w:space="0" w:color="auto"/>
        <w:bottom w:val="none" w:sz="0" w:space="0" w:color="auto"/>
        <w:right w:val="none" w:sz="0" w:space="0" w:color="auto"/>
      </w:divBdr>
    </w:div>
    <w:div w:id="806435698">
      <w:bodyDiv w:val="1"/>
      <w:marLeft w:val="0"/>
      <w:marRight w:val="0"/>
      <w:marTop w:val="0"/>
      <w:marBottom w:val="0"/>
      <w:divBdr>
        <w:top w:val="none" w:sz="0" w:space="0" w:color="auto"/>
        <w:left w:val="none" w:sz="0" w:space="0" w:color="auto"/>
        <w:bottom w:val="none" w:sz="0" w:space="0" w:color="auto"/>
        <w:right w:val="none" w:sz="0" w:space="0" w:color="auto"/>
      </w:divBdr>
    </w:div>
    <w:div w:id="968781620">
      <w:bodyDiv w:val="1"/>
      <w:marLeft w:val="0"/>
      <w:marRight w:val="0"/>
      <w:marTop w:val="0"/>
      <w:marBottom w:val="0"/>
      <w:divBdr>
        <w:top w:val="none" w:sz="0" w:space="0" w:color="auto"/>
        <w:left w:val="none" w:sz="0" w:space="0" w:color="auto"/>
        <w:bottom w:val="none" w:sz="0" w:space="0" w:color="auto"/>
        <w:right w:val="none" w:sz="0" w:space="0" w:color="auto"/>
      </w:divBdr>
    </w:div>
    <w:div w:id="1178811093">
      <w:bodyDiv w:val="1"/>
      <w:marLeft w:val="0"/>
      <w:marRight w:val="0"/>
      <w:marTop w:val="0"/>
      <w:marBottom w:val="0"/>
      <w:divBdr>
        <w:top w:val="none" w:sz="0" w:space="0" w:color="auto"/>
        <w:left w:val="none" w:sz="0" w:space="0" w:color="auto"/>
        <w:bottom w:val="none" w:sz="0" w:space="0" w:color="auto"/>
        <w:right w:val="none" w:sz="0" w:space="0" w:color="auto"/>
      </w:divBdr>
    </w:div>
    <w:div w:id="18507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3601</Words>
  <Characters>2054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Egidija Adlienė</cp:lastModifiedBy>
  <cp:revision>5</cp:revision>
  <cp:lastPrinted>2015-06-04T07:29:00Z</cp:lastPrinted>
  <dcterms:created xsi:type="dcterms:W3CDTF">2020-09-25T11:16:00Z</dcterms:created>
  <dcterms:modified xsi:type="dcterms:W3CDTF">2020-09-25T11:23:00Z</dcterms:modified>
</cp:coreProperties>
</file>