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BA49B" w14:textId="77777777" w:rsidR="009E6203" w:rsidRDefault="009E6203" w:rsidP="009E6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13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LIETUVOS RESPUBLIKOS </w:t>
      </w:r>
    </w:p>
    <w:p w14:paraId="16169BB6" w14:textId="77777777" w:rsidR="00A25780" w:rsidRDefault="009E6203" w:rsidP="009E6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ECB">
        <w:rPr>
          <w:rFonts w:ascii="Times New Roman" w:hAnsi="Times New Roman" w:cs="Times New Roman"/>
          <w:b/>
          <w:sz w:val="24"/>
          <w:szCs w:val="24"/>
        </w:rPr>
        <w:t xml:space="preserve">VYRIAUSYBĖS </w:t>
      </w:r>
      <w:r>
        <w:rPr>
          <w:rFonts w:ascii="Times New Roman" w:hAnsi="Times New Roman" w:cs="Times New Roman"/>
          <w:b/>
          <w:sz w:val="24"/>
          <w:szCs w:val="24"/>
        </w:rPr>
        <w:t xml:space="preserve">NUTARIMO ,,DĖL </w:t>
      </w:r>
      <w:r w:rsidR="00A25780" w:rsidRPr="007013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LIETUVOS RESPUBLIKOS </w:t>
      </w:r>
    </w:p>
    <w:p w14:paraId="7C6060F1" w14:textId="77777777" w:rsidR="00A25780" w:rsidRPr="0070133A" w:rsidRDefault="00797ECB" w:rsidP="00A2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ECB">
        <w:rPr>
          <w:rFonts w:ascii="Times New Roman" w:hAnsi="Times New Roman" w:cs="Times New Roman"/>
          <w:b/>
          <w:sz w:val="24"/>
          <w:szCs w:val="24"/>
        </w:rPr>
        <w:t>VYRIAUSYBĖS 2017 M. BALANDŽIO 5 D. NUTARIMO NR. 254 „DĖL VALSTYBĖS IR SAVIVALDYBIŲ ĮSTAIGŲ DARBUOTOJŲ VEIKLOS VERTINIMO TVARKOS APRAŠO PATVIRTINIMO“ PAKEITIMO</w:t>
      </w:r>
      <w:r w:rsidR="009E6203">
        <w:rPr>
          <w:rFonts w:ascii="Times New Roman" w:hAnsi="Times New Roman" w:cs="Times New Roman"/>
          <w:b/>
          <w:sz w:val="24"/>
          <w:szCs w:val="24"/>
        </w:rPr>
        <w:t>“ PROJEKTO</w:t>
      </w:r>
    </w:p>
    <w:p w14:paraId="1873F6DD" w14:textId="77777777" w:rsidR="00A25780" w:rsidRDefault="00A25780" w:rsidP="00A2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33A">
        <w:rPr>
          <w:rFonts w:ascii="Times New Roman" w:hAnsi="Times New Roman" w:cs="Times New Roman"/>
          <w:b/>
          <w:sz w:val="24"/>
          <w:szCs w:val="24"/>
        </w:rPr>
        <w:t>DERINIMO PAŽYMA</w:t>
      </w:r>
    </w:p>
    <w:p w14:paraId="33D232C2" w14:textId="77777777" w:rsidR="00121E90" w:rsidRDefault="00121E90" w:rsidP="00A2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1696"/>
        <w:gridCol w:w="6946"/>
        <w:gridCol w:w="6634"/>
      </w:tblGrid>
      <w:tr w:rsidR="00121E90" w14:paraId="2B2668A9" w14:textId="77777777" w:rsidTr="001631F8">
        <w:tc>
          <w:tcPr>
            <w:tcW w:w="1696" w:type="dxa"/>
          </w:tcPr>
          <w:p w14:paraId="21F21857" w14:textId="77777777" w:rsidR="00121E90" w:rsidRDefault="00121E90" w:rsidP="007F069F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6946" w:type="dxa"/>
          </w:tcPr>
          <w:p w14:paraId="5F9C8F9B" w14:textId="77777777" w:rsidR="00121E90" w:rsidRDefault="00121E90" w:rsidP="00121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6634" w:type="dxa"/>
          </w:tcPr>
          <w:p w14:paraId="143E0A86" w14:textId="77777777" w:rsidR="00121E90" w:rsidRPr="00E4734E" w:rsidRDefault="00121E90" w:rsidP="00121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34E">
              <w:rPr>
                <w:rFonts w:ascii="Times New Roman" w:hAnsi="Times New Roman" w:cs="Times New Roman"/>
                <w:b/>
                <w:sz w:val="24"/>
                <w:szCs w:val="24"/>
              </w:rPr>
              <w:t>Žyma apie nepriimtas pastabas ir pasiūlymus</w:t>
            </w:r>
          </w:p>
        </w:tc>
      </w:tr>
      <w:tr w:rsidR="00121E90" w14:paraId="17CC7BEA" w14:textId="77777777" w:rsidTr="001631F8">
        <w:tc>
          <w:tcPr>
            <w:tcW w:w="1696" w:type="dxa"/>
          </w:tcPr>
          <w:p w14:paraId="7B89D4C9" w14:textId="1992A8AB" w:rsidR="00121E90" w:rsidRDefault="00121E90" w:rsidP="0043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valstybės tarnautojų, biudžetinių ir viešųjų įstaigų darbuotojų profesinės sąjungos 2019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 xml:space="preserve"> m. gruodžio </w:t>
            </w:r>
            <w:r w:rsidR="009239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el. laiškas</w:t>
            </w:r>
          </w:p>
          <w:p w14:paraId="71B52877" w14:textId="77777777" w:rsidR="00121E90" w:rsidRDefault="00121E90" w:rsidP="00A25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1B5DABAC" w14:textId="5EDFDEDA" w:rsidR="00121E90" w:rsidRDefault="00121E90" w:rsidP="00C32D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4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(buvęs 10) punkte, kur suteikiama darbuotojui galimybė</w:t>
            </w:r>
            <w:r w:rsidR="00596C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 pasikviesti darbuotojų atstovą į vertinimo pokalbį, </w:t>
            </w:r>
            <w:r w:rsidRPr="005F4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siūloma</w:t>
            </w:r>
            <w:r w:rsidRPr="00AD64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F4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panaikinti informavimo, konsultavimo ir dalyvavimo funkcijų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kadangi pagal </w:t>
            </w:r>
            <w:r w:rsidRPr="002160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tuvos Respublikos darbo kodeksą</w:t>
            </w:r>
            <w:r w:rsidRPr="002160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(toliau – DK)</w:t>
            </w:r>
            <w:r w:rsidRPr="00797E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šios funkcijos priskirtos Darbo taryboms (toliau</w:t>
            </w:r>
            <w:r w:rsidR="00596C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596C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DT) </w:t>
            </w:r>
            <w:r w:rsidRPr="005F4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paminėjimą</w:t>
            </w:r>
            <w:r w:rsidR="00C32D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634" w:type="dxa"/>
          </w:tcPr>
          <w:p w14:paraId="738F9D27" w14:textId="77777777" w:rsidR="00121E90" w:rsidRDefault="00121E90" w:rsidP="00121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47">
              <w:rPr>
                <w:rFonts w:ascii="Times New Roman" w:hAnsi="Times New Roman" w:cs="Times New Roman"/>
                <w:b/>
                <w:sz w:val="24"/>
                <w:szCs w:val="24"/>
              </w:rPr>
              <w:t>Neatsižvelgta.</w:t>
            </w:r>
          </w:p>
          <w:p w14:paraId="678CDFCB" w14:textId="5D11B70E" w:rsidR="00121E90" w:rsidRDefault="00121E90" w:rsidP="0012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7B">
              <w:rPr>
                <w:rFonts w:ascii="Times New Roman" w:hAnsi="Times New Roman" w:cs="Times New Roman"/>
                <w:sz w:val="24"/>
                <w:szCs w:val="24"/>
              </w:rPr>
              <w:t xml:space="preserve">Vadovaujantis </w:t>
            </w:r>
            <w:r w:rsidR="009E620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darbo kodekso (toliau – </w:t>
            </w:r>
            <w:r w:rsidRPr="0066417B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r w:rsidR="009E62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6417B">
              <w:rPr>
                <w:rFonts w:ascii="Times New Roman" w:hAnsi="Times New Roman" w:cs="Times New Roman"/>
                <w:sz w:val="24"/>
                <w:szCs w:val="24"/>
              </w:rPr>
              <w:t xml:space="preserve"> 165 straipsniu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Lietuvos Respublikoje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kitaip nei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kit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šal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yse,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įgyvendinamas dualistinis darbuotojų atstovavimo modelis, kur aiškiai išskaidomos darbo tarybų (darbuotojų patikėtinių) ir profesinių sąjungų funkcijos, t. y. darbo tarybos atstovauja vis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iems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informavimo, konsultavimo ir dalyvavimo darbdaviui priimant sprendimus procedūrose, o profesinės sąjungos turi išimtinę teisę į kolektyvines derybas, kolektyvinių sutarčių sudarymą ir kolektyvinių darbo ginčų dėl interesų inicijavimą.</w:t>
            </w:r>
          </w:p>
          <w:p w14:paraId="22726E0D" w14:textId="77777777" w:rsidR="00121E90" w:rsidRDefault="00121E90" w:rsidP="0012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Pažymėtina, kad DK 169 straipsnio 3 dalyje nustatytu atveju profesinė sąjunga įgyja visus darbo tarybos įgaliojimus ir vykdo visas DK darbo tarybai priskirtas funkcijas.</w:t>
            </w:r>
          </w:p>
          <w:p w14:paraId="1AF4B381" w14:textId="77777777" w:rsidR="00121E90" w:rsidRDefault="00121E90" w:rsidP="0012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DK 171 straipsnio 5 dalį darbdavio lygmeniu veikiančios profesinės sąjungos turi teisę pasiūlyti ne mažiau kaip tris rinkimų teisę turinčius darbuotojus kandidatais į darbo tarybos narius.</w:t>
            </w:r>
          </w:p>
          <w:p w14:paraId="389719FB" w14:textId="58B32194" w:rsidR="00121E90" w:rsidRDefault="00121E90" w:rsidP="00646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Atsižvelgiant į tai, kas išdėstyta, man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>ytina, kad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681">
              <w:rPr>
                <w:rFonts w:ascii="Times New Roman" w:hAnsi="Times New Roman" w:cs="Times New Roman"/>
                <w:i/>
                <w:sz w:val="24"/>
                <w:szCs w:val="24"/>
              </w:rPr>
              <w:t>netikslinga atsisakyti nukreipimo į DK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Pavyzdžiui, </w:t>
            </w:r>
            <w:r w:rsidR="00890DAE">
              <w:rPr>
                <w:rFonts w:ascii="Times New Roman" w:hAnsi="Times New Roman" w:cs="Times New Roman"/>
                <w:sz w:val="24"/>
                <w:szCs w:val="24"/>
              </w:rPr>
              <w:t>Lietuvos Respublikos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arbuotojų saugos ir sveikatos įstatymo 2 straipsnio 10 dalyje darbuotojų atstovų sąvoka sistemiškai suderinta su DK: „</w:t>
            </w: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>Darbuotojų atstovai – kaip nustatyta Darbo kodekso 165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>straipsnio 2 dalyje.“</w:t>
            </w:r>
          </w:p>
        </w:tc>
      </w:tr>
      <w:tr w:rsidR="00901681" w14:paraId="5CB44FE8" w14:textId="77777777" w:rsidTr="001631F8">
        <w:tc>
          <w:tcPr>
            <w:tcW w:w="1696" w:type="dxa"/>
            <w:vMerge w:val="restart"/>
          </w:tcPr>
          <w:p w14:paraId="1ABA8FA9" w14:textId="77777777" w:rsidR="00901681" w:rsidRDefault="00901681" w:rsidP="00121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teisingumo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ministerijos 2019 m. gruodžio 11 d. raštas Nr. (1.6E) 2T-1317</w:t>
            </w:r>
          </w:p>
        </w:tc>
        <w:tc>
          <w:tcPr>
            <w:tcW w:w="6946" w:type="dxa"/>
          </w:tcPr>
          <w:p w14:paraId="0225FD19" w14:textId="09D49B76" w:rsidR="00901681" w:rsidRDefault="00901681" w:rsidP="00121E90">
            <w:pPr>
              <w:pStyle w:val="ListParagraph"/>
              <w:suppressAutoHyphens/>
              <w:ind w:left="0"/>
              <w:jc w:val="both"/>
              <w:textAlignment w:val="top"/>
              <w:rPr>
                <w:rFonts w:ascii="Times New Roman" w:hAnsi="Times New Roman"/>
                <w:sz w:val="24"/>
              </w:rPr>
            </w:pPr>
            <w:r w:rsidRPr="00F3208A">
              <w:rPr>
                <w:rFonts w:ascii="Times New Roman" w:hAnsi="Times New Roman"/>
                <w:sz w:val="24"/>
              </w:rPr>
              <w:lastRenderedPageBreak/>
              <w:t xml:space="preserve">Aprašo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9 (buvęs 10) </w:t>
            </w:r>
            <w:r w:rsidRPr="00F3208A">
              <w:rPr>
                <w:rFonts w:ascii="Times New Roman" w:hAnsi="Times New Roman"/>
                <w:sz w:val="24"/>
              </w:rPr>
              <w:t>p. formuluojama nuostata „turi teisę kviesti“ neatitinka nei Įstatymo, nei įstatymo projektu Nr. XIIIP-4024</w:t>
            </w:r>
            <w:r w:rsidR="00596CA5">
              <w:rPr>
                <w:rFonts w:ascii="Times New Roman" w:hAnsi="Times New Roman"/>
                <w:sz w:val="24"/>
              </w:rPr>
              <w:t> </w:t>
            </w:r>
            <w:r w:rsidRPr="00F3208A">
              <w:rPr>
                <w:rFonts w:ascii="Times New Roman" w:hAnsi="Times New Roman"/>
                <w:sz w:val="24"/>
              </w:rPr>
              <w:t xml:space="preserve">(3) nauja redakcija dėstomo Įstatymo (toliau – </w:t>
            </w:r>
            <w:r w:rsidR="001E66E6">
              <w:rPr>
                <w:rFonts w:ascii="Times New Roman" w:hAnsi="Times New Roman"/>
                <w:sz w:val="24"/>
              </w:rPr>
              <w:t xml:space="preserve">Naujos redakcijos Įstatymas) </w:t>
            </w:r>
            <w:r w:rsidR="001E66E6">
              <w:rPr>
                <w:rFonts w:ascii="Times New Roman" w:hAnsi="Times New Roman"/>
                <w:sz w:val="24"/>
              </w:rPr>
              <w:lastRenderedPageBreak/>
              <w:t>14 </w:t>
            </w:r>
            <w:r w:rsidRPr="00F3208A">
              <w:rPr>
                <w:rFonts w:ascii="Times New Roman" w:hAnsi="Times New Roman"/>
                <w:sz w:val="24"/>
              </w:rPr>
              <w:t xml:space="preserve">str. 9 ir 10 d. nuostatų, kurios formuluojamos imperatyviai ir nenumato galimybės vertinti nesant darbuotojų atstovo. Analogiškai ir Aprašo </w:t>
            </w:r>
            <w:r w:rsidR="00DD667B">
              <w:rPr>
                <w:rFonts w:ascii="Times New Roman" w:hAnsi="Times New Roman"/>
                <w:sz w:val="24"/>
              </w:rPr>
              <w:t xml:space="preserve">16 (buvęs </w:t>
            </w:r>
            <w:r w:rsidRPr="00F3208A">
              <w:rPr>
                <w:rFonts w:ascii="Times New Roman" w:hAnsi="Times New Roman"/>
                <w:sz w:val="24"/>
              </w:rPr>
              <w:t>17</w:t>
            </w:r>
            <w:r w:rsidR="00DD667B">
              <w:rPr>
                <w:rFonts w:ascii="Times New Roman" w:hAnsi="Times New Roman"/>
                <w:sz w:val="24"/>
              </w:rPr>
              <w:t>)</w:t>
            </w:r>
            <w:r w:rsidRPr="00F3208A">
              <w:rPr>
                <w:rFonts w:ascii="Times New Roman" w:hAnsi="Times New Roman"/>
                <w:sz w:val="24"/>
              </w:rPr>
              <w:t xml:space="preserve"> p. antrosios pastraipos nuostatos.</w:t>
            </w:r>
          </w:p>
          <w:p w14:paraId="066B4C20" w14:textId="77777777" w:rsidR="00901681" w:rsidRDefault="00901681" w:rsidP="00901681">
            <w:pPr>
              <w:suppressAutoHyphens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4" w:type="dxa"/>
          </w:tcPr>
          <w:p w14:paraId="5D542943" w14:textId="77777777" w:rsidR="00901681" w:rsidRPr="00A239C0" w:rsidRDefault="00901681" w:rsidP="009016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Neatsižvelgta.</w:t>
            </w:r>
          </w:p>
          <w:p w14:paraId="00BFE4AC" w14:textId="3624EA36" w:rsidR="00901681" w:rsidRDefault="00901681" w:rsidP="001E6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Veiklos vertinimo procedūrą sudaro 3 etapai: </w:t>
            </w:r>
            <w:r w:rsidRPr="00D55EE7">
              <w:rPr>
                <w:rFonts w:ascii="Times New Roman" w:hAnsi="Times New Roman" w:cs="Times New Roman"/>
                <w:sz w:val="24"/>
                <w:szCs w:val="24"/>
              </w:rPr>
              <w:t>darbuotojo veiklos nagrinėjimas;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EE7">
              <w:rPr>
                <w:rFonts w:ascii="Times New Roman" w:hAnsi="Times New Roman" w:cs="Times New Roman"/>
                <w:sz w:val="24"/>
                <w:szCs w:val="24"/>
              </w:rPr>
              <w:t>darbuotojo veiklos įvertinimas;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EE7">
              <w:rPr>
                <w:rFonts w:ascii="Times New Roman" w:hAnsi="Times New Roman" w:cs="Times New Roman"/>
                <w:sz w:val="24"/>
                <w:szCs w:val="24"/>
              </w:rPr>
              <w:t xml:space="preserve">vertinimo išvados </w:t>
            </w:r>
            <w:r w:rsidRPr="00D55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surašymas.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Darbuotojų atstovas visada dalyvauja vertinimo procedūros 3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>-iajame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etape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vertinimo išvados surašyme. </w:t>
            </w:r>
            <w:r w:rsidR="007D74D9" w:rsidRPr="00BF247C">
              <w:rPr>
                <w:rFonts w:ascii="Times New Roman" w:hAnsi="Times New Roman" w:cs="Times New Roman"/>
                <w:sz w:val="24"/>
                <w:szCs w:val="24"/>
              </w:rPr>
              <w:t>Valstybės ir savivaldybių įstaigų darbuotojų veiklos vertinimo tvarkos</w:t>
            </w:r>
            <w:r w:rsidR="007D74D9" w:rsidRPr="00927DC6">
              <w:rPr>
                <w:szCs w:val="24"/>
              </w:rPr>
              <w:t xml:space="preserve"> </w:t>
            </w:r>
            <w:r w:rsidR="007D74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prašo</w:t>
            </w:r>
            <w:r w:rsidR="00E55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4D9">
              <w:rPr>
                <w:rFonts w:ascii="Times New Roman" w:hAnsi="Times New Roman" w:cs="Times New Roman"/>
                <w:sz w:val="24"/>
                <w:szCs w:val="24"/>
              </w:rPr>
              <w:t xml:space="preserve">(toliau – Aprašas) </w:t>
            </w:r>
            <w:r w:rsidR="00E55D01">
              <w:rPr>
                <w:rFonts w:ascii="Times New Roman" w:hAnsi="Times New Roman" w:cs="Times New Roman"/>
                <w:sz w:val="24"/>
                <w:szCs w:val="24"/>
              </w:rPr>
              <w:t>9 (buvęs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55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punktas suteikia </w:t>
            </w:r>
            <w:r w:rsidRPr="004E0E89">
              <w:rPr>
                <w:rFonts w:ascii="Times New Roman" w:hAnsi="Times New Roman" w:cs="Times New Roman"/>
                <w:i/>
                <w:sz w:val="24"/>
                <w:szCs w:val="24"/>
              </w:rPr>
              <w:t>papildomą galimybę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darbuotojų atstovui darbuotojo nuožiūra dalyvauti ir 1</w:t>
            </w:r>
            <w:r w:rsidR="001E66E6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>ajame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procedūros etape –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veiklos nagrinėjime, o Aprašo </w:t>
            </w:r>
            <w:r w:rsidR="00DD66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E6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667B">
              <w:rPr>
                <w:rFonts w:ascii="Times New Roman" w:hAnsi="Times New Roman" w:cs="Times New Roman"/>
                <w:sz w:val="24"/>
                <w:szCs w:val="24"/>
              </w:rPr>
              <w:t xml:space="preserve">(buvęs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D66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punktas nustato būtiną darbuotojo atstovo dalyvavimą pakartotinio vertinimo </w:t>
            </w:r>
            <w:r w:rsidRPr="00646824">
              <w:rPr>
                <w:rFonts w:ascii="Times New Roman" w:hAnsi="Times New Roman" w:cs="Times New Roman"/>
                <w:sz w:val="24"/>
                <w:szCs w:val="24"/>
              </w:rPr>
              <w:t>procedūro</w:t>
            </w:r>
            <w:r w:rsidR="00D178E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646824">
              <w:rPr>
                <w:rFonts w:ascii="Times New Roman" w:hAnsi="Times New Roman" w:cs="Times New Roman"/>
                <w:sz w:val="24"/>
                <w:szCs w:val="24"/>
              </w:rPr>
              <w:t xml:space="preserve"> ir 1</w:t>
            </w:r>
            <w:r w:rsidR="00D178E9">
              <w:rPr>
                <w:rFonts w:ascii="Times New Roman" w:hAnsi="Times New Roman" w:cs="Times New Roman"/>
                <w:sz w:val="24"/>
                <w:szCs w:val="24"/>
              </w:rPr>
              <w:t>-ajame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etape, jei pirmo vertinimo metu darbuotojas nepasinaudojo Aprašo </w:t>
            </w:r>
            <w:r w:rsidR="00E55D01">
              <w:rPr>
                <w:rFonts w:ascii="Times New Roman" w:hAnsi="Times New Roman" w:cs="Times New Roman"/>
                <w:sz w:val="24"/>
                <w:szCs w:val="24"/>
              </w:rPr>
              <w:t xml:space="preserve">9 (buvęs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55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punkto suteikiama papildom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galimybe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pasikviesti darbuotojo atstovą į pokalbį.</w:t>
            </w:r>
          </w:p>
        </w:tc>
      </w:tr>
      <w:tr w:rsidR="00901681" w14:paraId="5E7F0945" w14:textId="77777777" w:rsidTr="001631F8">
        <w:tc>
          <w:tcPr>
            <w:tcW w:w="1696" w:type="dxa"/>
            <w:vMerge/>
          </w:tcPr>
          <w:p w14:paraId="0C6A64AE" w14:textId="77777777" w:rsidR="00901681" w:rsidRDefault="00901681" w:rsidP="00121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3D4E2E4" w14:textId="5788618B" w:rsidR="00901681" w:rsidRPr="00F3208A" w:rsidRDefault="00901681" w:rsidP="001631F8">
            <w:pPr>
              <w:suppressAutoHyphens/>
              <w:jc w:val="both"/>
              <w:textAlignment w:val="top"/>
              <w:rPr>
                <w:rFonts w:ascii="Times New Roman" w:hAnsi="Times New Roman"/>
                <w:sz w:val="24"/>
              </w:rPr>
            </w:pPr>
            <w:r w:rsidRPr="00121E90">
              <w:rPr>
                <w:rFonts w:ascii="Times New Roman" w:hAnsi="Times New Roman"/>
                <w:sz w:val="24"/>
              </w:rPr>
              <w:t>Taip p</w:t>
            </w:r>
            <w:r w:rsidR="00ED1DDB">
              <w:rPr>
                <w:rFonts w:ascii="Times New Roman" w:hAnsi="Times New Roman"/>
                <w:sz w:val="24"/>
              </w:rPr>
              <w:t>at siūlome įvertinti, ar Aprašo</w:t>
            </w:r>
            <w:r>
              <w:rPr>
                <w:rFonts w:ascii="Times New Roman" w:hAnsi="Times New Roman"/>
                <w:sz w:val="24"/>
              </w:rPr>
              <w:t xml:space="preserve"> 11 (buvęs </w:t>
            </w:r>
            <w:r w:rsidRPr="00121E90"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 w:rsidRPr="00121E90">
              <w:rPr>
                <w:rFonts w:ascii="Times New Roman" w:hAnsi="Times New Roman"/>
                <w:sz w:val="24"/>
              </w:rPr>
              <w:t xml:space="preserve">p. neturėtų būti nustatytas (analogiškai kaip tai daroma Aprašo </w:t>
            </w:r>
            <w:r>
              <w:rPr>
                <w:rFonts w:ascii="Times New Roman" w:hAnsi="Times New Roman"/>
                <w:sz w:val="24"/>
              </w:rPr>
              <w:t xml:space="preserve">12 (buvęs </w:t>
            </w:r>
            <w:r w:rsidRPr="00121E90">
              <w:rPr>
                <w:rFonts w:ascii="Times New Roman" w:hAnsi="Times New Roman"/>
                <w:sz w:val="24"/>
              </w:rPr>
              <w:t>13 p.) gebėjimo vykdyti funkcijas aptarimas.</w:t>
            </w:r>
          </w:p>
        </w:tc>
        <w:tc>
          <w:tcPr>
            <w:tcW w:w="6634" w:type="dxa"/>
          </w:tcPr>
          <w:p w14:paraId="39111766" w14:textId="77777777" w:rsidR="00901681" w:rsidRPr="00F3208A" w:rsidRDefault="00901681" w:rsidP="009016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08A">
              <w:rPr>
                <w:rFonts w:ascii="Times New Roman" w:hAnsi="Times New Roman" w:cs="Times New Roman"/>
                <w:b/>
                <w:sz w:val="24"/>
                <w:szCs w:val="24"/>
              </w:rPr>
              <w:t>Iš dalies atsižvelgta</w:t>
            </w:r>
            <w:r w:rsidR="00996E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307FBE" w14:textId="77777777" w:rsidR="00EC56C8" w:rsidRDefault="007D74D9" w:rsidP="00163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Aprašo </w:t>
            </w:r>
            <w:r w:rsidR="00901681">
              <w:rPr>
                <w:rFonts w:ascii="Times New Roman" w:hAnsi="Times New Roman" w:cs="Times New Roman"/>
                <w:sz w:val="24"/>
                <w:szCs w:val="24"/>
              </w:rPr>
              <w:t>12 (buvęs 13) pu</w:t>
            </w:r>
            <w:r w:rsidR="00EC56C8">
              <w:rPr>
                <w:rFonts w:ascii="Times New Roman" w:hAnsi="Times New Roman" w:cs="Times New Roman"/>
                <w:sz w:val="24"/>
                <w:szCs w:val="24"/>
              </w:rPr>
              <w:t>nkte šios nuostatos atsisakyta.</w:t>
            </w:r>
          </w:p>
          <w:p w14:paraId="37D0C0BE" w14:textId="23A14F0D" w:rsidR="00901681" w:rsidRPr="00A239C0" w:rsidRDefault="00901681" w:rsidP="00163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Analogija išlaikyta.</w:t>
            </w:r>
          </w:p>
        </w:tc>
      </w:tr>
      <w:tr w:rsidR="00C64ACB" w14:paraId="66EF4393" w14:textId="77777777" w:rsidTr="001631F8">
        <w:tc>
          <w:tcPr>
            <w:tcW w:w="1696" w:type="dxa"/>
            <w:vMerge w:val="restart"/>
          </w:tcPr>
          <w:p w14:paraId="4A938A83" w14:textId="2E450037" w:rsidR="00C64ACB" w:rsidRDefault="008308D3" w:rsidP="0059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miesto savivaldybės administracijos Žmogiškųjų išteklių valdymo skyriaus </w:t>
            </w:r>
            <w:r w:rsidR="00C64AC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 xml:space="preserve"> m. gruodžio </w:t>
            </w:r>
            <w:r w:rsidR="00C64A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4A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96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4ACB">
              <w:rPr>
                <w:rFonts w:ascii="Times New Roman" w:hAnsi="Times New Roman" w:cs="Times New Roman"/>
                <w:sz w:val="24"/>
                <w:szCs w:val="24"/>
              </w:rPr>
              <w:t xml:space="preserve"> raštas</w:t>
            </w:r>
          </w:p>
        </w:tc>
        <w:tc>
          <w:tcPr>
            <w:tcW w:w="6946" w:type="dxa"/>
          </w:tcPr>
          <w:p w14:paraId="19359364" w14:textId="4122B0AA" w:rsidR="00C64ACB" w:rsidRPr="00121E90" w:rsidRDefault="00C64ACB" w:rsidP="00C64ACB">
            <w:pPr>
              <w:jc w:val="both"/>
              <w:rPr>
                <w:rFonts w:ascii="Times New Roman" w:hAnsi="Times New Roman"/>
                <w:sz w:val="24"/>
              </w:rPr>
            </w:pPr>
            <w:r w:rsidRPr="00C64ACB">
              <w:rPr>
                <w:rFonts w:ascii="Times New Roman" w:hAnsi="Times New Roman" w:cs="Times New Roman"/>
                <w:sz w:val="24"/>
              </w:rPr>
              <w:t xml:space="preserve">Manome, kad aprašo </w:t>
            </w:r>
            <w:r>
              <w:rPr>
                <w:rFonts w:ascii="Times New Roman" w:hAnsi="Times New Roman" w:cs="Times New Roman"/>
                <w:sz w:val="24"/>
              </w:rPr>
              <w:t>9 (buvęs 10)</w:t>
            </w:r>
            <w:r w:rsidRPr="00C64AC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punkte</w:t>
            </w:r>
            <w:r w:rsidRPr="00C64ACB">
              <w:rPr>
                <w:rFonts w:ascii="Times New Roman" w:hAnsi="Times New Roman" w:cs="Times New Roman"/>
                <w:sz w:val="24"/>
              </w:rPr>
              <w:t xml:space="preserve"> įtvirtinta nuostata, kad darbuotojas gali pasikviesti savo atstovą į veiklos vertinimo pokalbį, yra perteklinė. Siūlome palikti šio metu galiojančią nuostatą dėl darbuotojo atstovo, kuomet atstovas dalyvauja tik pakartotiname darbuotojo veiklos vertinime.</w:t>
            </w:r>
          </w:p>
        </w:tc>
        <w:tc>
          <w:tcPr>
            <w:tcW w:w="6634" w:type="dxa"/>
          </w:tcPr>
          <w:p w14:paraId="376427F7" w14:textId="77777777" w:rsidR="00C64ACB" w:rsidRPr="00A239C0" w:rsidRDefault="00C64ACB" w:rsidP="00C64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C0">
              <w:rPr>
                <w:rFonts w:ascii="Times New Roman" w:hAnsi="Times New Roman" w:cs="Times New Roman"/>
                <w:b/>
                <w:sz w:val="24"/>
                <w:szCs w:val="24"/>
              </w:rPr>
              <w:t>Neatsižvelgta.</w:t>
            </w:r>
          </w:p>
          <w:p w14:paraId="185DF0E5" w14:textId="2612FA8D" w:rsidR="00C64ACB" w:rsidRPr="00D33D83" w:rsidRDefault="00BF247C" w:rsidP="005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2">
              <w:rPr>
                <w:rFonts w:ascii="Times New Roman" w:hAnsi="Times New Roman" w:cs="Times New Roman"/>
                <w:sz w:val="24"/>
                <w:szCs w:val="24"/>
              </w:rPr>
              <w:t>Minėta nuostata suteikia papildomą galimybę darbuotojui, kai jis mano, kad vertinimas gali būti neobjektyvus, ir toki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D3FA2">
              <w:rPr>
                <w:rFonts w:ascii="Times New Roman" w:hAnsi="Times New Roman" w:cs="Times New Roman"/>
                <w:sz w:val="24"/>
                <w:szCs w:val="24"/>
              </w:rPr>
              <w:t xml:space="preserve"> atveju išvengti pakartotinio pokalbio.</w:t>
            </w:r>
          </w:p>
        </w:tc>
      </w:tr>
      <w:tr w:rsidR="00C64ACB" w14:paraId="2E7FC723" w14:textId="77777777" w:rsidTr="001631F8">
        <w:tc>
          <w:tcPr>
            <w:tcW w:w="1696" w:type="dxa"/>
            <w:vMerge/>
          </w:tcPr>
          <w:p w14:paraId="04005C10" w14:textId="77777777" w:rsidR="00C64ACB" w:rsidRDefault="00C64ACB" w:rsidP="00121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742334B" w14:textId="71D1DCB3" w:rsidR="00C64ACB" w:rsidRPr="00121E90" w:rsidRDefault="00C64ACB" w:rsidP="001E66E6">
            <w:pPr>
              <w:jc w:val="both"/>
              <w:rPr>
                <w:rFonts w:ascii="Times New Roman" w:hAnsi="Times New Roman"/>
                <w:sz w:val="24"/>
              </w:rPr>
            </w:pPr>
            <w:r w:rsidRPr="00C64ACB">
              <w:rPr>
                <w:rFonts w:ascii="Times New Roman" w:hAnsi="Times New Roman" w:cs="Times New Roman"/>
                <w:sz w:val="24"/>
              </w:rPr>
              <w:t xml:space="preserve">Aprašo </w:t>
            </w:r>
            <w:r w:rsidR="003822CC">
              <w:rPr>
                <w:rFonts w:ascii="Times New Roman" w:hAnsi="Times New Roman" w:cs="Times New Roman"/>
                <w:sz w:val="24"/>
              </w:rPr>
              <w:t xml:space="preserve">11 (buvęs </w:t>
            </w:r>
            <w:r w:rsidRPr="00C64ACB">
              <w:rPr>
                <w:rFonts w:ascii="Times New Roman" w:hAnsi="Times New Roman" w:cs="Times New Roman"/>
                <w:sz w:val="24"/>
              </w:rPr>
              <w:t>12</w:t>
            </w:r>
            <w:r w:rsidR="003822CC">
              <w:rPr>
                <w:rFonts w:ascii="Times New Roman" w:hAnsi="Times New Roman" w:cs="Times New Roman"/>
                <w:sz w:val="24"/>
              </w:rPr>
              <w:t>)</w:t>
            </w:r>
            <w:r w:rsidRPr="00C64ACB">
              <w:rPr>
                <w:rFonts w:ascii="Times New Roman" w:hAnsi="Times New Roman" w:cs="Times New Roman"/>
                <w:sz w:val="24"/>
              </w:rPr>
              <w:t xml:space="preserve"> ir </w:t>
            </w:r>
            <w:r w:rsidR="003822CC">
              <w:rPr>
                <w:rFonts w:ascii="Times New Roman" w:hAnsi="Times New Roman" w:cs="Times New Roman"/>
                <w:sz w:val="24"/>
              </w:rPr>
              <w:t xml:space="preserve">12 (buvęs </w:t>
            </w:r>
            <w:r w:rsidRPr="00C64ACB">
              <w:rPr>
                <w:rFonts w:ascii="Times New Roman" w:hAnsi="Times New Roman" w:cs="Times New Roman"/>
                <w:sz w:val="24"/>
              </w:rPr>
              <w:t>13</w:t>
            </w:r>
            <w:r w:rsidR="003822CC">
              <w:rPr>
                <w:rFonts w:ascii="Times New Roman" w:hAnsi="Times New Roman" w:cs="Times New Roman"/>
                <w:sz w:val="24"/>
              </w:rPr>
              <w:t>)</w:t>
            </w:r>
            <w:r w:rsidRPr="00C64ACB">
              <w:rPr>
                <w:rFonts w:ascii="Times New Roman" w:hAnsi="Times New Roman" w:cs="Times New Roman"/>
                <w:sz w:val="24"/>
              </w:rPr>
              <w:t xml:space="preserve"> dalyse numatytos nuostatos, kurios išplaukia iš Lietuvos Respublikos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4ACB">
              <w:rPr>
                <w:rFonts w:ascii="Times New Roman" w:hAnsi="Times New Roman" w:cs="Times New Roman"/>
                <w:sz w:val="24"/>
              </w:rPr>
              <w:t>valstybės ir savivaldybių įstaigų darbuotojų ir komisijų narių darbo apmokėjimo įstatymo Nr.</w:t>
            </w:r>
            <w:r w:rsidR="001E66E6">
              <w:rPr>
                <w:rFonts w:ascii="Times New Roman" w:hAnsi="Times New Roman" w:cs="Times New Roman"/>
                <w:sz w:val="24"/>
              </w:rPr>
              <w:t> </w:t>
            </w:r>
            <w:r w:rsidRPr="00C64ACB">
              <w:rPr>
                <w:rFonts w:ascii="Times New Roman" w:hAnsi="Times New Roman" w:cs="Times New Roman"/>
                <w:sz w:val="24"/>
              </w:rPr>
              <w:t>XIII-198 pakeitimo įstatymo XIII-2606 14 str. 4 ir 8 p. sudaro prielaidas vertinti darbuotoją ir biudžetinės įstaigos vadovą jiems neišdirbus įstaigoje 6</w:t>
            </w:r>
            <w:r w:rsidR="00596CA5">
              <w:rPr>
                <w:rFonts w:ascii="Times New Roman" w:hAnsi="Times New Roman" w:cs="Times New Roman"/>
                <w:sz w:val="24"/>
              </w:rPr>
              <w:t> </w:t>
            </w:r>
            <w:r w:rsidRPr="00C64ACB">
              <w:rPr>
                <w:rFonts w:ascii="Times New Roman" w:hAnsi="Times New Roman" w:cs="Times New Roman"/>
                <w:sz w:val="24"/>
              </w:rPr>
              <w:t>mėn. Manome, kad ši nuostata sukuria nelygias sąlygas įstaigos darbuotojams ir valstybės tarnautojams vertinant jų veiklą, tokiu būdu prieštarauja Lygių galimybių įstatymo 3 str. 1 p. ir 5 str. 3 p. Pažymime, kad pagal Valstybės tarnybos įstatymo 27 str. 4</w:t>
            </w:r>
            <w:r w:rsidR="001E66E6">
              <w:rPr>
                <w:rFonts w:ascii="Times New Roman" w:hAnsi="Times New Roman" w:cs="Times New Roman"/>
                <w:sz w:val="24"/>
              </w:rPr>
              <w:t> </w:t>
            </w:r>
            <w:bookmarkStart w:id="0" w:name="_GoBack"/>
            <w:bookmarkEnd w:id="0"/>
            <w:r w:rsidRPr="00C64ACB">
              <w:rPr>
                <w:rFonts w:ascii="Times New Roman" w:hAnsi="Times New Roman" w:cs="Times New Roman"/>
                <w:sz w:val="24"/>
              </w:rPr>
              <w:t xml:space="preserve">p. valstybės tarnautojų veikla vertinama tik tuomet, jei jie ne trumpiau kaip 6 mėnesius per kalendorinius metus eina pareigas toje valstybės ar savivaldybės institucijoje ar įstaigoje. Taip pat šių nuostatų įgyvendinimui prireiks papildomai valstybės ir savivaldybės biudžeto </w:t>
            </w:r>
            <w:r w:rsidR="001631F8">
              <w:rPr>
                <w:rFonts w:ascii="Times New Roman" w:hAnsi="Times New Roman" w:cs="Times New Roman"/>
                <w:sz w:val="24"/>
              </w:rPr>
              <w:t>lėšų.</w:t>
            </w:r>
          </w:p>
        </w:tc>
        <w:tc>
          <w:tcPr>
            <w:tcW w:w="6634" w:type="dxa"/>
          </w:tcPr>
          <w:p w14:paraId="01B685BD" w14:textId="77777777" w:rsidR="00C64ACB" w:rsidRPr="00A239C0" w:rsidRDefault="00C64ACB" w:rsidP="00C64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C0">
              <w:rPr>
                <w:rFonts w:ascii="Times New Roman" w:hAnsi="Times New Roman" w:cs="Times New Roman"/>
                <w:b/>
                <w:sz w:val="24"/>
                <w:szCs w:val="24"/>
              </w:rPr>
              <w:t>Neatsižvelgta.</w:t>
            </w:r>
          </w:p>
          <w:p w14:paraId="52354DB2" w14:textId="435DA0D9" w:rsidR="00BF247C" w:rsidRDefault="007D74D9" w:rsidP="002B1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</w:t>
            </w:r>
            <w:r w:rsidR="002B122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teikiam</w:t>
            </w:r>
            <w:r w:rsidR="002B122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="002B122A" w:rsidRPr="003C42F4">
              <w:rPr>
                <w:rFonts w:ascii="Times New Roman" w:hAnsi="Times New Roman" w:cs="Times New Roman"/>
                <w:sz w:val="24"/>
                <w:szCs w:val="24"/>
              </w:rPr>
              <w:t>2019 m. gruodžio 5 d.</w:t>
            </w:r>
            <w:r w:rsidR="002B122A">
              <w:rPr>
                <w:rFonts w:ascii="Times New Roman" w:hAnsi="Times New Roman" w:cs="Times New Roman"/>
                <w:sz w:val="24"/>
                <w:szCs w:val="24"/>
              </w:rPr>
              <w:t xml:space="preserve"> priimt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B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CB">
              <w:rPr>
                <w:rFonts w:ascii="Times New Roman" w:hAnsi="Times New Roman" w:cs="Times New Roman"/>
                <w:sz w:val="24"/>
              </w:rPr>
              <w:t>Lietuvos Respublikos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4ACB">
              <w:rPr>
                <w:rFonts w:ascii="Times New Roman" w:hAnsi="Times New Roman" w:cs="Times New Roman"/>
                <w:sz w:val="24"/>
              </w:rPr>
              <w:t>valstybės ir savivaldybių įstaigų darbuotojų ir komisijų narių darbo apmokėjimo įstatymo Nr.</w:t>
            </w:r>
            <w:r w:rsidR="00646824">
              <w:rPr>
                <w:rFonts w:ascii="Times New Roman" w:hAnsi="Times New Roman" w:cs="Times New Roman"/>
                <w:sz w:val="24"/>
              </w:rPr>
              <w:t> </w:t>
            </w:r>
            <w:hyperlink r:id="rId8" w:history="1">
              <w:r w:rsidRPr="007974B0">
                <w:rPr>
                  <w:rStyle w:val="Hyperlink"/>
                  <w:rFonts w:ascii="Times New Roman" w:hAnsi="Times New Roman" w:cs="Times New Roman"/>
                  <w:sz w:val="24"/>
                </w:rPr>
                <w:t>XIII-198</w:t>
              </w:r>
            </w:hyperlink>
            <w:r w:rsidRPr="00C64ACB">
              <w:rPr>
                <w:rFonts w:ascii="Times New Roman" w:hAnsi="Times New Roman" w:cs="Times New Roman"/>
                <w:sz w:val="24"/>
              </w:rPr>
              <w:t xml:space="preserve"> pakeitimo įstatym</w:t>
            </w:r>
            <w:r w:rsidR="0064682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B1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2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F27BAF" w14:textId="30459327" w:rsidR="00C64ACB" w:rsidRPr="00C64ACB" w:rsidRDefault="0007560D" w:rsidP="002B1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F">
              <w:rPr>
                <w:rFonts w:ascii="Times New Roman" w:hAnsi="Times New Roman" w:cs="Times New Roman"/>
                <w:sz w:val="24"/>
              </w:rPr>
              <w:t xml:space="preserve">Šio Nutarimo pakeitimai nesusiję su papildomų </w:t>
            </w:r>
            <w:r w:rsidRPr="0007560D">
              <w:rPr>
                <w:rFonts w:ascii="Times New Roman" w:hAnsi="Times New Roman" w:cs="Times New Roman"/>
                <w:sz w:val="24"/>
              </w:rPr>
              <w:t>lėšų</w:t>
            </w:r>
            <w:r w:rsidRPr="007F069F">
              <w:rPr>
                <w:rFonts w:ascii="Times New Roman" w:hAnsi="Times New Roman" w:cs="Times New Roman"/>
                <w:sz w:val="24"/>
              </w:rPr>
              <w:t xml:space="preserve"> poreikiu.</w:t>
            </w:r>
          </w:p>
        </w:tc>
      </w:tr>
    </w:tbl>
    <w:p w14:paraId="13B49473" w14:textId="77777777" w:rsidR="000D48D8" w:rsidRPr="00E0004D" w:rsidRDefault="000D48D8">
      <w:pPr>
        <w:rPr>
          <w:sz w:val="24"/>
          <w:szCs w:val="24"/>
        </w:rPr>
      </w:pPr>
    </w:p>
    <w:sectPr w:rsidR="000D48D8" w:rsidRPr="00E0004D" w:rsidSect="00295ED0">
      <w:headerReference w:type="default" r:id="rId9"/>
      <w:pgSz w:w="16838" w:h="11906" w:orient="landscape"/>
      <w:pgMar w:top="1701" w:right="170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C255A" w14:textId="77777777" w:rsidR="00B033B6" w:rsidRDefault="00B033B6" w:rsidP="00D854FF">
      <w:pPr>
        <w:spacing w:after="0" w:line="240" w:lineRule="auto"/>
      </w:pPr>
      <w:r>
        <w:separator/>
      </w:r>
    </w:p>
  </w:endnote>
  <w:endnote w:type="continuationSeparator" w:id="0">
    <w:p w14:paraId="6D980AFA" w14:textId="77777777" w:rsidR="00B033B6" w:rsidRDefault="00B033B6" w:rsidP="00D8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6B18C" w14:textId="77777777" w:rsidR="00B033B6" w:rsidRDefault="00B033B6" w:rsidP="00D854FF">
      <w:pPr>
        <w:spacing w:after="0" w:line="240" w:lineRule="auto"/>
      </w:pPr>
      <w:r>
        <w:separator/>
      </w:r>
    </w:p>
  </w:footnote>
  <w:footnote w:type="continuationSeparator" w:id="0">
    <w:p w14:paraId="1E3F849F" w14:textId="77777777" w:rsidR="00B033B6" w:rsidRDefault="00B033B6" w:rsidP="00D8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423696"/>
      <w:docPartObj>
        <w:docPartGallery w:val="Page Numbers (Top of Page)"/>
        <w:docPartUnique/>
      </w:docPartObj>
    </w:sdtPr>
    <w:sdtEndPr/>
    <w:sdtContent>
      <w:p w14:paraId="6B07E62A" w14:textId="77777777" w:rsidR="00340E6B" w:rsidRDefault="00340E6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6E6">
          <w:rPr>
            <w:noProof/>
          </w:rPr>
          <w:t>2</w:t>
        </w:r>
        <w:r>
          <w:fldChar w:fldCharType="end"/>
        </w:r>
      </w:p>
    </w:sdtContent>
  </w:sdt>
  <w:p w14:paraId="2915C382" w14:textId="77777777" w:rsidR="00D854FF" w:rsidRDefault="00D854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DF4"/>
    <w:multiLevelType w:val="multilevel"/>
    <w:tmpl w:val="90C8C58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757723C4"/>
    <w:multiLevelType w:val="hybridMultilevel"/>
    <w:tmpl w:val="1F3C95C2"/>
    <w:lvl w:ilvl="0" w:tplc="48CE86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80"/>
    <w:rsid w:val="000101E8"/>
    <w:rsid w:val="00014A73"/>
    <w:rsid w:val="000161ED"/>
    <w:rsid w:val="00026854"/>
    <w:rsid w:val="000348F5"/>
    <w:rsid w:val="00035756"/>
    <w:rsid w:val="00041D6F"/>
    <w:rsid w:val="00053585"/>
    <w:rsid w:val="00062A7A"/>
    <w:rsid w:val="00071A18"/>
    <w:rsid w:val="0007560D"/>
    <w:rsid w:val="00096DE5"/>
    <w:rsid w:val="000A1513"/>
    <w:rsid w:val="000C3F1F"/>
    <w:rsid w:val="000C6831"/>
    <w:rsid w:val="000D48D8"/>
    <w:rsid w:val="000E4E81"/>
    <w:rsid w:val="000F0739"/>
    <w:rsid w:val="001116E2"/>
    <w:rsid w:val="00120ED7"/>
    <w:rsid w:val="00121E90"/>
    <w:rsid w:val="001250D7"/>
    <w:rsid w:val="00134F83"/>
    <w:rsid w:val="001515AB"/>
    <w:rsid w:val="00155E2C"/>
    <w:rsid w:val="00156A3B"/>
    <w:rsid w:val="001631F8"/>
    <w:rsid w:val="0017153E"/>
    <w:rsid w:val="00186B6C"/>
    <w:rsid w:val="00187852"/>
    <w:rsid w:val="00196734"/>
    <w:rsid w:val="001A74E8"/>
    <w:rsid w:val="001B32E9"/>
    <w:rsid w:val="001B6E50"/>
    <w:rsid w:val="001B79AF"/>
    <w:rsid w:val="001B7A00"/>
    <w:rsid w:val="001C1936"/>
    <w:rsid w:val="001C7D2E"/>
    <w:rsid w:val="001D3A0F"/>
    <w:rsid w:val="001D655D"/>
    <w:rsid w:val="001E0743"/>
    <w:rsid w:val="001E66E6"/>
    <w:rsid w:val="001F7AE6"/>
    <w:rsid w:val="00203239"/>
    <w:rsid w:val="00203AB9"/>
    <w:rsid w:val="00215EE3"/>
    <w:rsid w:val="0021608B"/>
    <w:rsid w:val="00241EFC"/>
    <w:rsid w:val="00242D5D"/>
    <w:rsid w:val="002625EE"/>
    <w:rsid w:val="00271A7F"/>
    <w:rsid w:val="002741AA"/>
    <w:rsid w:val="00286C79"/>
    <w:rsid w:val="00286DFA"/>
    <w:rsid w:val="00291B9D"/>
    <w:rsid w:val="00294AE9"/>
    <w:rsid w:val="00295ED0"/>
    <w:rsid w:val="00296144"/>
    <w:rsid w:val="002A300B"/>
    <w:rsid w:val="002A370A"/>
    <w:rsid w:val="002B122A"/>
    <w:rsid w:val="002B766B"/>
    <w:rsid w:val="002C4F5B"/>
    <w:rsid w:val="002C50DC"/>
    <w:rsid w:val="002C6BB7"/>
    <w:rsid w:val="002D177E"/>
    <w:rsid w:val="002E6669"/>
    <w:rsid w:val="002F1DC6"/>
    <w:rsid w:val="002F2A69"/>
    <w:rsid w:val="00305A61"/>
    <w:rsid w:val="003064B2"/>
    <w:rsid w:val="00332A92"/>
    <w:rsid w:val="00332D35"/>
    <w:rsid w:val="00337AAD"/>
    <w:rsid w:val="00340E6B"/>
    <w:rsid w:val="00342ED2"/>
    <w:rsid w:val="00347F4A"/>
    <w:rsid w:val="003618D4"/>
    <w:rsid w:val="003822CC"/>
    <w:rsid w:val="00397E78"/>
    <w:rsid w:val="003B0353"/>
    <w:rsid w:val="003C48BC"/>
    <w:rsid w:val="003D1A38"/>
    <w:rsid w:val="003D2785"/>
    <w:rsid w:val="003D3443"/>
    <w:rsid w:val="003D3B99"/>
    <w:rsid w:val="003D657F"/>
    <w:rsid w:val="003E7F32"/>
    <w:rsid w:val="003F3C2C"/>
    <w:rsid w:val="00404127"/>
    <w:rsid w:val="004161BF"/>
    <w:rsid w:val="0042406D"/>
    <w:rsid w:val="00432551"/>
    <w:rsid w:val="004407F9"/>
    <w:rsid w:val="0044114E"/>
    <w:rsid w:val="004454CF"/>
    <w:rsid w:val="00457D8A"/>
    <w:rsid w:val="00477616"/>
    <w:rsid w:val="0048011F"/>
    <w:rsid w:val="00484952"/>
    <w:rsid w:val="00486600"/>
    <w:rsid w:val="004906DF"/>
    <w:rsid w:val="00492122"/>
    <w:rsid w:val="00492D9D"/>
    <w:rsid w:val="004950A5"/>
    <w:rsid w:val="004C7A03"/>
    <w:rsid w:val="004D00F3"/>
    <w:rsid w:val="004E0E89"/>
    <w:rsid w:val="004E7CA6"/>
    <w:rsid w:val="004F499F"/>
    <w:rsid w:val="004F5433"/>
    <w:rsid w:val="0051146E"/>
    <w:rsid w:val="0051770A"/>
    <w:rsid w:val="00526891"/>
    <w:rsid w:val="00543AB0"/>
    <w:rsid w:val="00550C8F"/>
    <w:rsid w:val="00556FFB"/>
    <w:rsid w:val="00557856"/>
    <w:rsid w:val="00560373"/>
    <w:rsid w:val="00561297"/>
    <w:rsid w:val="00572CD7"/>
    <w:rsid w:val="005730C3"/>
    <w:rsid w:val="005743CB"/>
    <w:rsid w:val="00582A42"/>
    <w:rsid w:val="0058630F"/>
    <w:rsid w:val="00596CA5"/>
    <w:rsid w:val="005B6CDD"/>
    <w:rsid w:val="005C10D6"/>
    <w:rsid w:val="005C11D1"/>
    <w:rsid w:val="005C2B40"/>
    <w:rsid w:val="005C71FB"/>
    <w:rsid w:val="005D0B81"/>
    <w:rsid w:val="005D3877"/>
    <w:rsid w:val="005D6CB1"/>
    <w:rsid w:val="005D7328"/>
    <w:rsid w:val="005E53EB"/>
    <w:rsid w:val="005F331D"/>
    <w:rsid w:val="005F419B"/>
    <w:rsid w:val="005F4502"/>
    <w:rsid w:val="005F50D9"/>
    <w:rsid w:val="00602E1D"/>
    <w:rsid w:val="00613932"/>
    <w:rsid w:val="00627586"/>
    <w:rsid w:val="00646824"/>
    <w:rsid w:val="00650DFD"/>
    <w:rsid w:val="0065400C"/>
    <w:rsid w:val="00654415"/>
    <w:rsid w:val="006562EB"/>
    <w:rsid w:val="0066417B"/>
    <w:rsid w:val="00664926"/>
    <w:rsid w:val="0067086E"/>
    <w:rsid w:val="006948CF"/>
    <w:rsid w:val="006A3A47"/>
    <w:rsid w:val="006C121A"/>
    <w:rsid w:val="006D387B"/>
    <w:rsid w:val="006D7192"/>
    <w:rsid w:val="006F3116"/>
    <w:rsid w:val="00707ABC"/>
    <w:rsid w:val="00707F1C"/>
    <w:rsid w:val="007229A9"/>
    <w:rsid w:val="00756683"/>
    <w:rsid w:val="00760391"/>
    <w:rsid w:val="00765B2C"/>
    <w:rsid w:val="00791692"/>
    <w:rsid w:val="007917F1"/>
    <w:rsid w:val="007974B0"/>
    <w:rsid w:val="00797ECB"/>
    <w:rsid w:val="007A1E0A"/>
    <w:rsid w:val="007A5974"/>
    <w:rsid w:val="007A7FE9"/>
    <w:rsid w:val="007B2C96"/>
    <w:rsid w:val="007C0B87"/>
    <w:rsid w:val="007D74D9"/>
    <w:rsid w:val="007D7CB6"/>
    <w:rsid w:val="007F069F"/>
    <w:rsid w:val="007F77B7"/>
    <w:rsid w:val="00801430"/>
    <w:rsid w:val="00803219"/>
    <w:rsid w:val="008035A7"/>
    <w:rsid w:val="00807236"/>
    <w:rsid w:val="00810928"/>
    <w:rsid w:val="00814D7B"/>
    <w:rsid w:val="00826772"/>
    <w:rsid w:val="008308D3"/>
    <w:rsid w:val="00831967"/>
    <w:rsid w:val="00835579"/>
    <w:rsid w:val="00850EB0"/>
    <w:rsid w:val="0085325E"/>
    <w:rsid w:val="00853299"/>
    <w:rsid w:val="00853F80"/>
    <w:rsid w:val="00855230"/>
    <w:rsid w:val="008719D4"/>
    <w:rsid w:val="00883963"/>
    <w:rsid w:val="00886556"/>
    <w:rsid w:val="00890DAE"/>
    <w:rsid w:val="0089283A"/>
    <w:rsid w:val="008A749F"/>
    <w:rsid w:val="008B242C"/>
    <w:rsid w:val="008B363B"/>
    <w:rsid w:val="008B4456"/>
    <w:rsid w:val="008C5086"/>
    <w:rsid w:val="008D4E22"/>
    <w:rsid w:val="008E75AB"/>
    <w:rsid w:val="008F4947"/>
    <w:rsid w:val="009006F6"/>
    <w:rsid w:val="00901681"/>
    <w:rsid w:val="0090597D"/>
    <w:rsid w:val="00911B06"/>
    <w:rsid w:val="00912FD0"/>
    <w:rsid w:val="0091592D"/>
    <w:rsid w:val="00915DF9"/>
    <w:rsid w:val="00920A15"/>
    <w:rsid w:val="00923931"/>
    <w:rsid w:val="00934C00"/>
    <w:rsid w:val="009401FA"/>
    <w:rsid w:val="0095356E"/>
    <w:rsid w:val="009651AF"/>
    <w:rsid w:val="009657E7"/>
    <w:rsid w:val="00976B46"/>
    <w:rsid w:val="00981524"/>
    <w:rsid w:val="00996C67"/>
    <w:rsid w:val="00996E9A"/>
    <w:rsid w:val="009A0141"/>
    <w:rsid w:val="009B1BB4"/>
    <w:rsid w:val="009E1F84"/>
    <w:rsid w:val="009E5A56"/>
    <w:rsid w:val="009E5F37"/>
    <w:rsid w:val="009E6203"/>
    <w:rsid w:val="009F29CB"/>
    <w:rsid w:val="009F7DE0"/>
    <w:rsid w:val="00A000AF"/>
    <w:rsid w:val="00A01E44"/>
    <w:rsid w:val="00A04098"/>
    <w:rsid w:val="00A13BF8"/>
    <w:rsid w:val="00A16E6E"/>
    <w:rsid w:val="00A17316"/>
    <w:rsid w:val="00A2036C"/>
    <w:rsid w:val="00A239C0"/>
    <w:rsid w:val="00A25780"/>
    <w:rsid w:val="00A46D15"/>
    <w:rsid w:val="00A645A6"/>
    <w:rsid w:val="00A8082F"/>
    <w:rsid w:val="00A80D81"/>
    <w:rsid w:val="00A82494"/>
    <w:rsid w:val="00A830B8"/>
    <w:rsid w:val="00A8678E"/>
    <w:rsid w:val="00A946F0"/>
    <w:rsid w:val="00AC37D6"/>
    <w:rsid w:val="00AC60B4"/>
    <w:rsid w:val="00AD00C6"/>
    <w:rsid w:val="00AD3D20"/>
    <w:rsid w:val="00AD3FA2"/>
    <w:rsid w:val="00AE6825"/>
    <w:rsid w:val="00AF2484"/>
    <w:rsid w:val="00B033B6"/>
    <w:rsid w:val="00B07853"/>
    <w:rsid w:val="00B310C1"/>
    <w:rsid w:val="00B47C9D"/>
    <w:rsid w:val="00B75078"/>
    <w:rsid w:val="00B837E4"/>
    <w:rsid w:val="00B8416B"/>
    <w:rsid w:val="00B90C0C"/>
    <w:rsid w:val="00B911D0"/>
    <w:rsid w:val="00BA3704"/>
    <w:rsid w:val="00BA514A"/>
    <w:rsid w:val="00BC0773"/>
    <w:rsid w:val="00BC1CEA"/>
    <w:rsid w:val="00BD0365"/>
    <w:rsid w:val="00BF0CC0"/>
    <w:rsid w:val="00BF247C"/>
    <w:rsid w:val="00BF57FE"/>
    <w:rsid w:val="00BF5943"/>
    <w:rsid w:val="00C2306C"/>
    <w:rsid w:val="00C30AF3"/>
    <w:rsid w:val="00C32DF9"/>
    <w:rsid w:val="00C37BD1"/>
    <w:rsid w:val="00C41F47"/>
    <w:rsid w:val="00C50533"/>
    <w:rsid w:val="00C62D46"/>
    <w:rsid w:val="00C64ACB"/>
    <w:rsid w:val="00C742B0"/>
    <w:rsid w:val="00C75944"/>
    <w:rsid w:val="00C75D10"/>
    <w:rsid w:val="00C94BA2"/>
    <w:rsid w:val="00CA4FF5"/>
    <w:rsid w:val="00CB4BA9"/>
    <w:rsid w:val="00CC12C4"/>
    <w:rsid w:val="00CC3E94"/>
    <w:rsid w:val="00CC40ED"/>
    <w:rsid w:val="00CC4C9C"/>
    <w:rsid w:val="00CC6D91"/>
    <w:rsid w:val="00CF263B"/>
    <w:rsid w:val="00CF4520"/>
    <w:rsid w:val="00D01689"/>
    <w:rsid w:val="00D05B71"/>
    <w:rsid w:val="00D07F83"/>
    <w:rsid w:val="00D10B1E"/>
    <w:rsid w:val="00D11008"/>
    <w:rsid w:val="00D12DB0"/>
    <w:rsid w:val="00D17488"/>
    <w:rsid w:val="00D178E9"/>
    <w:rsid w:val="00D277EE"/>
    <w:rsid w:val="00D33D83"/>
    <w:rsid w:val="00D55EE7"/>
    <w:rsid w:val="00D6075F"/>
    <w:rsid w:val="00D854FF"/>
    <w:rsid w:val="00DA56AF"/>
    <w:rsid w:val="00DB3F66"/>
    <w:rsid w:val="00DD298C"/>
    <w:rsid w:val="00DD3EA8"/>
    <w:rsid w:val="00DD667B"/>
    <w:rsid w:val="00DE36EA"/>
    <w:rsid w:val="00DF6E5C"/>
    <w:rsid w:val="00DF7126"/>
    <w:rsid w:val="00E0004D"/>
    <w:rsid w:val="00E047AB"/>
    <w:rsid w:val="00E142C3"/>
    <w:rsid w:val="00E36F45"/>
    <w:rsid w:val="00E45B28"/>
    <w:rsid w:val="00E4734E"/>
    <w:rsid w:val="00E54F3F"/>
    <w:rsid w:val="00E55D01"/>
    <w:rsid w:val="00E643D3"/>
    <w:rsid w:val="00E70325"/>
    <w:rsid w:val="00E80E36"/>
    <w:rsid w:val="00E83E78"/>
    <w:rsid w:val="00E877B6"/>
    <w:rsid w:val="00EA1900"/>
    <w:rsid w:val="00EA5B1B"/>
    <w:rsid w:val="00EC56C8"/>
    <w:rsid w:val="00ED1DDB"/>
    <w:rsid w:val="00F03B7E"/>
    <w:rsid w:val="00F05801"/>
    <w:rsid w:val="00F13C28"/>
    <w:rsid w:val="00F14689"/>
    <w:rsid w:val="00F14F7A"/>
    <w:rsid w:val="00F208D4"/>
    <w:rsid w:val="00F3208A"/>
    <w:rsid w:val="00F35264"/>
    <w:rsid w:val="00F3555C"/>
    <w:rsid w:val="00F36560"/>
    <w:rsid w:val="00F37CDE"/>
    <w:rsid w:val="00F5257B"/>
    <w:rsid w:val="00F66135"/>
    <w:rsid w:val="00F719C3"/>
    <w:rsid w:val="00F80346"/>
    <w:rsid w:val="00F922A8"/>
    <w:rsid w:val="00F961A9"/>
    <w:rsid w:val="00FA1A0B"/>
    <w:rsid w:val="00FA3E40"/>
    <w:rsid w:val="00FA5197"/>
    <w:rsid w:val="00FB3EDB"/>
    <w:rsid w:val="00FB4D09"/>
    <w:rsid w:val="00FB5C46"/>
    <w:rsid w:val="00FC043E"/>
    <w:rsid w:val="00FC313C"/>
    <w:rsid w:val="00FC38EB"/>
    <w:rsid w:val="00FC5EBD"/>
    <w:rsid w:val="00FD13A7"/>
    <w:rsid w:val="00FD356A"/>
    <w:rsid w:val="00FE206C"/>
    <w:rsid w:val="00FE6A52"/>
    <w:rsid w:val="00FE7D48"/>
    <w:rsid w:val="00FF1E29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F03ED"/>
  <w15:docId w15:val="{393D77ED-8519-4B0F-A5BC-6C27AA36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Normal"/>
    <w:rsid w:val="0095356E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56E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3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7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3704"/>
    <w:pPr>
      <w:spacing w:after="0" w:line="240" w:lineRule="auto"/>
    </w:pPr>
  </w:style>
  <w:style w:type="paragraph" w:styleId="Header">
    <w:name w:val="header"/>
    <w:aliases w:val=" Char,Char"/>
    <w:basedOn w:val="Normal"/>
    <w:link w:val="HeaderChar"/>
    <w:uiPriority w:val="99"/>
    <w:unhideWhenUsed/>
    <w:rsid w:val="00D85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D854FF"/>
  </w:style>
  <w:style w:type="paragraph" w:styleId="Footer">
    <w:name w:val="footer"/>
    <w:basedOn w:val="Normal"/>
    <w:link w:val="FooterChar"/>
    <w:uiPriority w:val="99"/>
    <w:unhideWhenUsed/>
    <w:rsid w:val="00D85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FF"/>
  </w:style>
  <w:style w:type="character" w:styleId="Hyperlink">
    <w:name w:val="Hyperlink"/>
    <w:basedOn w:val="DefaultParagraphFont"/>
    <w:uiPriority w:val="99"/>
    <w:unhideWhenUsed/>
    <w:rsid w:val="007974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D/8e9f40831b4b11eaa4a5fa76770768ee?positionInSearchResults=0&amp;searchModelUUID=82c9a508-4dbd-4541-9710-4d9fb29c3eb5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5BEE2-09EF-44F0-9BC6-3458C291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3543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2019-12-16T09:27:00Z</dcterms:created>
  <dc:creator>Vanda Dudienė</dc:creator>
  <cp:lastModifiedBy>Viktorija Trachimovič</cp:lastModifiedBy>
  <cp:lastPrinted>2017-05-26T06:01:00Z</cp:lastPrinted>
  <dcterms:modified xsi:type="dcterms:W3CDTF">2019-12-16T10:00:00Z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591665258</vt:i4>
  </property>
  <property fmtid="{D5CDD505-2E9C-101B-9397-08002B2CF9AE}" pid="4" name="_EmailSubject">
    <vt:lpwstr>visus pakeitimus patikrinau, derinimo pažymą pataisiau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ReviewingToolsShownOnce">
    <vt:lpwstr/>
  </property>
</Properties>
</file>