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D9" w:rsidRDefault="003613D9" w:rsidP="003613D9">
      <w:pPr>
        <w:tabs>
          <w:tab w:val="left" w:pos="7513"/>
        </w:tabs>
        <w:ind w:left="6480" w:firstLine="750"/>
        <w:jc w:val="both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 xml:space="preserve"> Projekto</w:t>
      </w:r>
    </w:p>
    <w:p w:rsidR="00CD6725" w:rsidRDefault="003613D9" w:rsidP="003613D9">
      <w:pPr>
        <w:tabs>
          <w:tab w:val="left" w:pos="7513"/>
        </w:tabs>
        <w:ind w:left="6480" w:firstLine="750"/>
        <w:jc w:val="both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 xml:space="preserve"> lyginamasis variantas</w:t>
      </w:r>
      <w:r w:rsidR="00CD6725">
        <w:rPr>
          <w:b/>
          <w:bCs/>
          <w:color w:val="00000A"/>
          <w:szCs w:val="24"/>
        </w:rPr>
        <w:t xml:space="preserve">  </w:t>
      </w:r>
    </w:p>
    <w:p w:rsidR="00CD6725" w:rsidRDefault="00CD6725" w:rsidP="003613D9">
      <w:pPr>
        <w:tabs>
          <w:tab w:val="center" w:pos="4153"/>
          <w:tab w:val="right" w:pos="8306"/>
        </w:tabs>
        <w:spacing w:line="276" w:lineRule="auto"/>
        <w:ind w:left="7200"/>
        <w:rPr>
          <w:color w:val="00000A"/>
        </w:rPr>
      </w:pPr>
    </w:p>
    <w:p w:rsidR="003613D9" w:rsidRDefault="003613D9" w:rsidP="003613D9">
      <w:pPr>
        <w:spacing w:line="276" w:lineRule="auto"/>
        <w:jc w:val="center"/>
        <w:rPr>
          <w:b/>
          <w:bCs/>
          <w:color w:val="00000A"/>
          <w:szCs w:val="24"/>
        </w:rPr>
      </w:pPr>
    </w:p>
    <w:p w:rsidR="00CD6725" w:rsidRDefault="00CD6725" w:rsidP="003613D9">
      <w:pPr>
        <w:spacing w:line="276" w:lineRule="auto"/>
        <w:jc w:val="center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>LIETUVOS RESPUBLIKOS VYRIAUSYBĖ</w:t>
      </w:r>
    </w:p>
    <w:p w:rsidR="00CD6725" w:rsidRDefault="00CD6725" w:rsidP="003613D9">
      <w:pPr>
        <w:spacing w:line="276" w:lineRule="auto"/>
        <w:jc w:val="center"/>
        <w:rPr>
          <w:b/>
          <w:bCs/>
          <w:color w:val="00000A"/>
          <w:szCs w:val="24"/>
        </w:rPr>
      </w:pPr>
    </w:p>
    <w:p w:rsidR="00CD6725" w:rsidRDefault="00CD6725" w:rsidP="003613D9">
      <w:pPr>
        <w:spacing w:line="276" w:lineRule="auto"/>
        <w:jc w:val="center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>NUTARIMAS</w:t>
      </w:r>
    </w:p>
    <w:p w:rsidR="00CD6725" w:rsidRDefault="00CD6725" w:rsidP="003613D9">
      <w:pPr>
        <w:keepNext/>
        <w:spacing w:line="276" w:lineRule="auto"/>
        <w:jc w:val="center"/>
        <w:outlineLvl w:val="1"/>
        <w:rPr>
          <w:b/>
          <w:bCs/>
          <w:iCs/>
          <w:color w:val="00000A"/>
          <w:szCs w:val="24"/>
        </w:rPr>
      </w:pPr>
      <w:r>
        <w:rPr>
          <w:b/>
          <w:bCs/>
          <w:iCs/>
          <w:color w:val="00000A"/>
          <w:szCs w:val="24"/>
        </w:rPr>
        <w:t xml:space="preserve">DĖL LIETUVOS RESPUBLIKOS VYRIAUSYBĖS 2011 M. BIRŽELIO 15 D. NUTARIMO NR. 739 „DĖL </w:t>
      </w:r>
      <w:r>
        <w:rPr>
          <w:b/>
          <w:bCs/>
          <w:color w:val="000000"/>
          <w:szCs w:val="24"/>
          <w:shd w:val="clear" w:color="auto" w:fill="FFFFFF"/>
        </w:rPr>
        <w:t>GINKLŲ,</w:t>
      </w:r>
      <w:r>
        <w:rPr>
          <w:color w:val="000000"/>
          <w:szCs w:val="24"/>
          <w:shd w:val="clear" w:color="auto" w:fill="FFFFFF"/>
        </w:rPr>
        <w:t> </w:t>
      </w:r>
      <w:r>
        <w:rPr>
          <w:b/>
          <w:bCs/>
          <w:color w:val="000000"/>
          <w:szCs w:val="24"/>
          <w:shd w:val="clear" w:color="auto" w:fill="FFFFFF"/>
        </w:rPr>
        <w:t>GINKLŲ PRIEDĖLIŲ, ŠAUDMENŲ, JŲ DALIŲ</w:t>
      </w:r>
      <w:r>
        <w:rPr>
          <w:color w:val="000000"/>
          <w:szCs w:val="24"/>
          <w:shd w:val="clear" w:color="auto" w:fill="FFFFFF"/>
        </w:rPr>
        <w:t> </w:t>
      </w:r>
      <w:r>
        <w:rPr>
          <w:b/>
          <w:bCs/>
          <w:color w:val="000000"/>
          <w:szCs w:val="24"/>
          <w:shd w:val="clear" w:color="auto" w:fill="FFFFFF"/>
        </w:rPr>
        <w:t>EKSPORTO, IMPORTO, VEŽIMO</w:t>
      </w:r>
      <w:r>
        <w:rPr>
          <w:color w:val="000000"/>
          <w:szCs w:val="24"/>
          <w:shd w:val="clear" w:color="auto" w:fill="FFFFFF"/>
        </w:rPr>
        <w:t> </w:t>
      </w:r>
      <w:r>
        <w:rPr>
          <w:b/>
          <w:bCs/>
          <w:color w:val="000000"/>
          <w:szCs w:val="24"/>
          <w:shd w:val="clear" w:color="auto" w:fill="FFFFFF"/>
        </w:rPr>
        <w:t>IR GABENIMO TRANZITU</w:t>
      </w:r>
      <w:r>
        <w:rPr>
          <w:b/>
          <w:bCs/>
          <w:iCs/>
          <w:color w:val="00000A"/>
          <w:szCs w:val="24"/>
        </w:rPr>
        <w:t>“ PAKEITIMO</w:t>
      </w:r>
    </w:p>
    <w:p w:rsidR="00CD6725" w:rsidRDefault="00CD6725" w:rsidP="003613D9">
      <w:pPr>
        <w:spacing w:line="276" w:lineRule="auto"/>
        <w:rPr>
          <w:color w:val="00000A"/>
          <w:szCs w:val="24"/>
        </w:rPr>
      </w:pPr>
    </w:p>
    <w:p w:rsidR="00CD6725" w:rsidRDefault="00CD6725" w:rsidP="003613D9">
      <w:pPr>
        <w:spacing w:line="276" w:lineRule="auto"/>
        <w:jc w:val="center"/>
        <w:rPr>
          <w:color w:val="00000A"/>
        </w:rPr>
      </w:pPr>
      <w:r>
        <w:rPr>
          <w:color w:val="00000A"/>
          <w:szCs w:val="24"/>
        </w:rPr>
        <w:t xml:space="preserve">Nr. </w:t>
      </w:r>
    </w:p>
    <w:p w:rsidR="00CD6725" w:rsidRDefault="00CD6725" w:rsidP="003613D9">
      <w:pPr>
        <w:spacing w:line="276" w:lineRule="auto"/>
        <w:ind w:left="3888" w:firstLine="620"/>
        <w:rPr>
          <w:color w:val="00000A"/>
          <w:szCs w:val="24"/>
        </w:rPr>
      </w:pPr>
      <w:r>
        <w:rPr>
          <w:color w:val="00000A"/>
          <w:szCs w:val="24"/>
        </w:rPr>
        <w:t>Vilnius</w:t>
      </w:r>
    </w:p>
    <w:p w:rsidR="00CD6725" w:rsidRDefault="00CD6725" w:rsidP="003613D9">
      <w:pPr>
        <w:spacing w:line="276" w:lineRule="auto"/>
        <w:ind w:left="3888"/>
        <w:rPr>
          <w:color w:val="00000A"/>
          <w:szCs w:val="24"/>
        </w:rPr>
      </w:pPr>
    </w:p>
    <w:p w:rsidR="00CD6725" w:rsidRDefault="00CD6725" w:rsidP="00D278F9">
      <w:pPr>
        <w:tabs>
          <w:tab w:val="left" w:pos="851"/>
          <w:tab w:val="left" w:pos="6237"/>
        </w:tabs>
        <w:ind w:firstLine="851"/>
        <w:jc w:val="both"/>
        <w:rPr>
          <w:color w:val="00000A"/>
          <w:szCs w:val="24"/>
        </w:rPr>
      </w:pPr>
      <w:r>
        <w:rPr>
          <w:color w:val="00000A"/>
          <w:szCs w:val="24"/>
        </w:rPr>
        <w:t>Lietuvos Respublikos Vyriausybė</w:t>
      </w:r>
      <w:r>
        <w:rPr>
          <w:color w:val="00000A"/>
          <w:spacing w:val="100"/>
          <w:szCs w:val="24"/>
        </w:rPr>
        <w:t xml:space="preserve"> nutaria</w:t>
      </w:r>
      <w:r>
        <w:rPr>
          <w:color w:val="00000A"/>
          <w:szCs w:val="24"/>
        </w:rPr>
        <w:t>:</w:t>
      </w:r>
    </w:p>
    <w:p w:rsidR="00CD6725" w:rsidRDefault="00CD6725" w:rsidP="00D278F9">
      <w:pPr>
        <w:tabs>
          <w:tab w:val="left" w:pos="851"/>
          <w:tab w:val="left" w:pos="1080"/>
        </w:tabs>
        <w:ind w:firstLine="851"/>
        <w:jc w:val="both"/>
        <w:rPr>
          <w:color w:val="00000A"/>
        </w:rPr>
      </w:pPr>
      <w:r>
        <w:rPr>
          <w:color w:val="00000A"/>
          <w:szCs w:val="24"/>
        </w:rPr>
        <w:t xml:space="preserve">1. Pakeisti Lietuvos Respublikos Vyriausybės 2011 m. birželio 15 d. nutarimą Nr. 739 „Dėl </w:t>
      </w:r>
      <w:r>
        <w:rPr>
          <w:bCs/>
          <w:color w:val="00000A"/>
          <w:szCs w:val="24"/>
        </w:rPr>
        <w:t>ginklų, ginklų priedėlių, šaudmenų, jų dalių eksporto, importo, vežimo ir gabenimo tranzitu“</w:t>
      </w:r>
      <w:r>
        <w:rPr>
          <w:color w:val="00000A"/>
        </w:rPr>
        <w:t>:</w:t>
      </w:r>
    </w:p>
    <w:p w:rsidR="00CD6725" w:rsidRDefault="00CD6725" w:rsidP="00D278F9">
      <w:pPr>
        <w:tabs>
          <w:tab w:val="left" w:pos="851"/>
          <w:tab w:val="left" w:pos="1080"/>
        </w:tabs>
        <w:ind w:firstLine="851"/>
        <w:jc w:val="both"/>
        <w:rPr>
          <w:color w:val="000000"/>
          <w:szCs w:val="24"/>
        </w:rPr>
      </w:pPr>
      <w:r>
        <w:rPr>
          <w:color w:val="00000A"/>
        </w:rPr>
        <w:t xml:space="preserve">1.1. </w:t>
      </w:r>
      <w:r w:rsidRPr="007A5E3D">
        <w:rPr>
          <w:color w:val="00000A"/>
          <w:szCs w:val="24"/>
        </w:rPr>
        <w:t xml:space="preserve">Pakeisti </w:t>
      </w:r>
      <w:r>
        <w:rPr>
          <w:color w:val="00000A"/>
          <w:szCs w:val="24"/>
        </w:rPr>
        <w:t>nurodytu</w:t>
      </w:r>
      <w:r w:rsidRPr="007A5E3D">
        <w:rPr>
          <w:color w:val="00000A"/>
          <w:szCs w:val="24"/>
        </w:rPr>
        <w:t xml:space="preserve"> nutarimu patvirtintas </w:t>
      </w:r>
      <w:r w:rsidRPr="007A5E3D">
        <w:rPr>
          <w:color w:val="000000"/>
          <w:szCs w:val="24"/>
        </w:rPr>
        <w:t>Ginklų, ginklų priedėlių, šaudmenų, jų dalių eksporto, importo, vežimo, gabenimo tranzitu per Lietuvos Respubliką taisykles</w:t>
      </w:r>
      <w:r w:rsidR="00F1292B">
        <w:rPr>
          <w:color w:val="000000"/>
          <w:szCs w:val="24"/>
        </w:rPr>
        <w:t xml:space="preserve"> ir 36 punktą išdėstyti taip</w:t>
      </w:r>
      <w:r>
        <w:rPr>
          <w:color w:val="000000"/>
          <w:szCs w:val="24"/>
        </w:rPr>
        <w:t>:</w:t>
      </w:r>
    </w:p>
    <w:p w:rsidR="003613D9" w:rsidRPr="003613D9" w:rsidRDefault="003613D9" w:rsidP="00D278F9">
      <w:pPr>
        <w:tabs>
          <w:tab w:val="left" w:pos="1260"/>
        </w:tabs>
        <w:ind w:firstLine="851"/>
        <w:jc w:val="both"/>
      </w:pPr>
      <w:r>
        <w:rPr>
          <w:color w:val="000000"/>
          <w:szCs w:val="24"/>
        </w:rPr>
        <w:t>„</w:t>
      </w:r>
      <w:r w:rsidRPr="003613D9">
        <w:rPr>
          <w:strike/>
          <w:color w:val="000000"/>
          <w:szCs w:val="24"/>
        </w:rPr>
        <w:t xml:space="preserve">36. </w:t>
      </w:r>
      <w:r w:rsidRPr="003613D9">
        <w:rPr>
          <w:strike/>
        </w:rPr>
        <w:t>Asmuo, norintis vežti ginklus užsienio valstybėse įregistruotais civiliniais orlaiviais, jų vežimo sąlygas turi iš anksto raštu</w:t>
      </w:r>
      <w:r w:rsidRPr="003613D9">
        <w:rPr>
          <w:strike/>
          <w:color w:val="FF0000"/>
        </w:rPr>
        <w:t xml:space="preserve"> </w:t>
      </w:r>
      <w:r w:rsidRPr="003613D9">
        <w:rPr>
          <w:strike/>
        </w:rPr>
        <w:t>suderinti su oro vežėju. Taisyklių 35.2 ir 35.4 papunkčiuose nurodytais atvejais kiekvienas ginklų vežimas turi būti iš anksto raštu</w:t>
      </w:r>
      <w:r w:rsidRPr="003613D9">
        <w:rPr>
          <w:b/>
          <w:strike/>
        </w:rPr>
        <w:t xml:space="preserve"> </w:t>
      </w:r>
      <w:r w:rsidRPr="003613D9">
        <w:rPr>
          <w:strike/>
        </w:rPr>
        <w:t>suderintas ir su viešąja įstaiga Transporto kompetencijų agentūra, jai pateikiant atitinkamą Lietuvos Respublikos ginklų ir šaudmenų kontrolės įstatymo 37 straipsnio</w:t>
      </w:r>
      <w:bookmarkStart w:id="0" w:name="_GoBack"/>
      <w:bookmarkEnd w:id="0"/>
      <w:r w:rsidRPr="003613D9">
        <w:rPr>
          <w:strike/>
        </w:rPr>
        <w:t xml:space="preserve"> 5 ar 6 dalyje nurodytą leidimą ir suderinimo su oro vežėju raštą. Su viešąja įstaiga Transporto kompetencijų agentūra suderinimo raštas pateikiamas oro vežėjo atstovui.</w:t>
      </w:r>
      <w:r w:rsidRPr="003613D9">
        <w:t>“</w:t>
      </w:r>
    </w:p>
    <w:p w:rsidR="00F1292B" w:rsidRPr="003613D9" w:rsidRDefault="00F1292B" w:rsidP="00D278F9">
      <w:pPr>
        <w:tabs>
          <w:tab w:val="left" w:pos="1080"/>
        </w:tabs>
        <w:ind w:firstLine="851"/>
        <w:jc w:val="both"/>
        <w:rPr>
          <w:b/>
        </w:rPr>
      </w:pPr>
      <w:r>
        <w:rPr>
          <w:color w:val="000000"/>
        </w:rPr>
        <w:t>„</w:t>
      </w:r>
      <w:r w:rsidRPr="003613D9">
        <w:rPr>
          <w:b/>
        </w:rPr>
        <w:t>36. Galutinio vartotojo sertifikatas neišduodamas, jeigu:</w:t>
      </w:r>
    </w:p>
    <w:p w:rsidR="00F1292B" w:rsidRPr="003613D9" w:rsidRDefault="00F1292B" w:rsidP="00D278F9">
      <w:pPr>
        <w:tabs>
          <w:tab w:val="left" w:pos="1260"/>
        </w:tabs>
        <w:ind w:firstLine="851"/>
        <w:jc w:val="both"/>
        <w:rPr>
          <w:b/>
        </w:rPr>
      </w:pPr>
      <w:r w:rsidRPr="003613D9">
        <w:rPr>
          <w:b/>
        </w:rPr>
        <w:t xml:space="preserve">36.1. pateikti ne visi reikiami dokumentai arba jie netinkamai įforminti; </w:t>
      </w:r>
    </w:p>
    <w:p w:rsidR="00F1292B" w:rsidRPr="003613D9" w:rsidRDefault="00F1292B" w:rsidP="00D278F9">
      <w:pPr>
        <w:tabs>
          <w:tab w:val="left" w:pos="1260"/>
        </w:tabs>
        <w:ind w:firstLine="851"/>
        <w:jc w:val="both"/>
        <w:rPr>
          <w:b/>
        </w:rPr>
      </w:pPr>
      <w:r w:rsidRPr="003613D9">
        <w:rPr>
          <w:b/>
        </w:rPr>
        <w:t>36.2. Europos juridiniam ar Europos fiziniam asmeniui panaikintas leidimo importuoti ginklus galiojimas;</w:t>
      </w:r>
    </w:p>
    <w:p w:rsidR="00F1292B" w:rsidRDefault="00F1292B" w:rsidP="00D278F9">
      <w:pPr>
        <w:tabs>
          <w:tab w:val="left" w:pos="1260"/>
        </w:tabs>
        <w:ind w:firstLine="851"/>
        <w:jc w:val="both"/>
      </w:pPr>
      <w:r w:rsidRPr="003613D9">
        <w:rPr>
          <w:b/>
        </w:rPr>
        <w:t>36.3. Lietuvos Respublikoje negalima užtikrinti, kad į Lietuvos Respubliką importuoti ginklai nebus eksportuojami ar reeksportuojami</w:t>
      </w:r>
      <w:r>
        <w:t>.“</w:t>
      </w:r>
    </w:p>
    <w:p w:rsidR="00F1292B" w:rsidRDefault="00F1292B" w:rsidP="00D278F9">
      <w:pPr>
        <w:tabs>
          <w:tab w:val="left" w:pos="851"/>
          <w:tab w:val="left" w:pos="1080"/>
        </w:tabs>
        <w:ind w:firstLine="851"/>
        <w:jc w:val="both"/>
        <w:rPr>
          <w:color w:val="000000"/>
          <w:szCs w:val="24"/>
        </w:rPr>
      </w:pPr>
      <w:r>
        <w:t xml:space="preserve">1.2. </w:t>
      </w:r>
      <w:r w:rsidRPr="007A5E3D">
        <w:rPr>
          <w:color w:val="00000A"/>
          <w:szCs w:val="24"/>
        </w:rPr>
        <w:t xml:space="preserve">Pakeisti </w:t>
      </w:r>
      <w:r>
        <w:rPr>
          <w:color w:val="00000A"/>
          <w:szCs w:val="24"/>
        </w:rPr>
        <w:t>nurodytu</w:t>
      </w:r>
      <w:r w:rsidRPr="007A5E3D">
        <w:rPr>
          <w:color w:val="00000A"/>
          <w:szCs w:val="24"/>
        </w:rPr>
        <w:t xml:space="preserve"> nutarimu patvirtintas </w:t>
      </w:r>
      <w:r>
        <w:rPr>
          <w:color w:val="00000A"/>
        </w:rPr>
        <w:t>Pavienių</w:t>
      </w:r>
      <w:r>
        <w:rPr>
          <w:b/>
          <w:color w:val="00000A"/>
        </w:rPr>
        <w:t xml:space="preserve"> </w:t>
      </w:r>
      <w:r>
        <w:rPr>
          <w:color w:val="00000A"/>
        </w:rPr>
        <w:t>ginklų įvežimo, išvežimo, vežimo, gabenimo tranzitu,</w:t>
      </w:r>
      <w:r>
        <w:rPr>
          <w:b/>
          <w:color w:val="00000A"/>
        </w:rPr>
        <w:t xml:space="preserve"> </w:t>
      </w:r>
      <w:r>
        <w:rPr>
          <w:color w:val="00000A"/>
        </w:rPr>
        <w:t>vežimo Lietuvos Respublikoje ir informacijos apie pavienių ginklų</w:t>
      </w:r>
      <w:r>
        <w:rPr>
          <w:b/>
          <w:color w:val="00000A"/>
        </w:rPr>
        <w:t xml:space="preserve"> </w:t>
      </w:r>
      <w:r>
        <w:rPr>
          <w:color w:val="00000A"/>
        </w:rPr>
        <w:t>vežimą pateikimo užsienio valstybėms taisykles</w:t>
      </w:r>
      <w:r>
        <w:rPr>
          <w:color w:val="000000"/>
          <w:szCs w:val="24"/>
        </w:rPr>
        <w:t xml:space="preserve"> ir 36 punktą išdėstyti taip:</w:t>
      </w:r>
    </w:p>
    <w:p w:rsidR="003613D9" w:rsidRPr="005C2362" w:rsidRDefault="003613D9">
      <w:pPr>
        <w:ind w:firstLine="851"/>
        <w:jc w:val="both"/>
      </w:pPr>
      <w:r w:rsidRPr="0059717D">
        <w:t xml:space="preserve">„36. </w:t>
      </w:r>
      <w:r w:rsidRPr="00851A9A">
        <w:rPr>
          <w:szCs w:val="24"/>
          <w:lang w:eastAsia="lt-LT"/>
        </w:rPr>
        <w:t>Asmuo, norintis vežti ginklus užsienio valstybėse įregistruotais civiliniais orlaiviais, jų vežimo sąlygas turi iš anksto raštu</w:t>
      </w:r>
      <w:r w:rsidRPr="00851A9A">
        <w:rPr>
          <w:color w:val="FF0000"/>
          <w:szCs w:val="24"/>
          <w:lang w:eastAsia="lt-LT"/>
        </w:rPr>
        <w:t xml:space="preserve"> </w:t>
      </w:r>
      <w:r w:rsidRPr="00851A9A">
        <w:rPr>
          <w:szCs w:val="24"/>
          <w:lang w:eastAsia="lt-LT"/>
        </w:rPr>
        <w:t xml:space="preserve">suderinti su oro vežėju. Taisyklių </w:t>
      </w:r>
      <w:r w:rsidRPr="00F57417">
        <w:rPr>
          <w:szCs w:val="24"/>
          <w:lang w:eastAsia="lt-LT"/>
        </w:rPr>
        <w:t>35.2 ir</w:t>
      </w:r>
      <w:r w:rsidRPr="00851A9A">
        <w:rPr>
          <w:szCs w:val="24"/>
          <w:lang w:eastAsia="lt-LT"/>
        </w:rPr>
        <w:t xml:space="preserve"> 35.4</w:t>
      </w:r>
      <w:r>
        <w:rPr>
          <w:szCs w:val="24"/>
          <w:lang w:eastAsia="lt-LT"/>
        </w:rPr>
        <w:t> </w:t>
      </w:r>
      <w:r w:rsidRPr="00851A9A">
        <w:rPr>
          <w:szCs w:val="24"/>
          <w:lang w:eastAsia="lt-LT"/>
        </w:rPr>
        <w:t xml:space="preserve">papunkčiuose nurodytais atvejais kiekvienas ginklų vežimas turi būti iš anksto </w:t>
      </w:r>
      <w:r>
        <w:rPr>
          <w:b/>
          <w:szCs w:val="24"/>
          <w:lang w:eastAsia="lt-LT"/>
        </w:rPr>
        <w:t xml:space="preserve">raštu </w:t>
      </w:r>
      <w:r w:rsidRPr="00851A9A">
        <w:rPr>
          <w:szCs w:val="24"/>
          <w:lang w:eastAsia="lt-LT"/>
        </w:rPr>
        <w:t xml:space="preserve">suderintas ir su viešąja įstaiga Transporto kompetencijų agentūra, jai pateikiant </w:t>
      </w:r>
      <w:r w:rsidRPr="00B85AA0">
        <w:rPr>
          <w:strike/>
          <w:szCs w:val="24"/>
          <w:lang w:eastAsia="lt-LT"/>
        </w:rPr>
        <w:t xml:space="preserve">Policijos departamento, Valstybės saugumo departamento ar Krašto apsaugos ministerijos išduotą </w:t>
      </w:r>
      <w:r>
        <w:rPr>
          <w:b/>
          <w:szCs w:val="24"/>
          <w:lang w:eastAsia="lt-LT"/>
        </w:rPr>
        <w:t>atitinkamą</w:t>
      </w:r>
      <w:r>
        <w:rPr>
          <w:szCs w:val="24"/>
          <w:lang w:eastAsia="lt-LT"/>
        </w:rPr>
        <w:t xml:space="preserve"> </w:t>
      </w:r>
      <w:r w:rsidRPr="00E71254">
        <w:rPr>
          <w:b/>
          <w:szCs w:val="24"/>
          <w:lang w:eastAsia="lt-LT"/>
        </w:rPr>
        <w:t xml:space="preserve">Lietuvos Respublikos ginklų ir šaudmenų kontrolės įstatymo </w:t>
      </w:r>
      <w:r>
        <w:rPr>
          <w:b/>
          <w:szCs w:val="24"/>
          <w:lang w:eastAsia="lt-LT"/>
        </w:rPr>
        <w:t>37 strai</w:t>
      </w:r>
      <w:r w:rsidRPr="00E71254">
        <w:rPr>
          <w:b/>
          <w:szCs w:val="24"/>
          <w:lang w:eastAsia="lt-LT"/>
        </w:rPr>
        <w:t>p</w:t>
      </w:r>
      <w:r>
        <w:rPr>
          <w:b/>
          <w:szCs w:val="24"/>
          <w:lang w:eastAsia="lt-LT"/>
        </w:rPr>
        <w:t>snio 5 ar 6 dalyje nurodytą</w:t>
      </w:r>
      <w:r>
        <w:rPr>
          <w:szCs w:val="24"/>
          <w:lang w:eastAsia="lt-LT"/>
        </w:rPr>
        <w:t xml:space="preserve"> </w:t>
      </w:r>
      <w:r w:rsidRPr="00851A9A">
        <w:rPr>
          <w:szCs w:val="24"/>
          <w:lang w:eastAsia="lt-LT"/>
        </w:rPr>
        <w:t>leidimą ir suderinimo su oro vežėju raštą. Su viešąja įstaiga Transporto kompetencijų agentūra suderinimo raštas pateikiamas oro vežėjo atstovui.</w:t>
      </w:r>
      <w:r>
        <w:rPr>
          <w:szCs w:val="24"/>
          <w:lang w:eastAsia="lt-LT"/>
        </w:rPr>
        <w:t>“</w:t>
      </w:r>
    </w:p>
    <w:p w:rsidR="003613D9" w:rsidRDefault="00CD6725" w:rsidP="003613D9">
      <w:pPr>
        <w:pStyle w:val="tajtip"/>
        <w:tabs>
          <w:tab w:val="left" w:pos="851"/>
        </w:tabs>
        <w:spacing w:line="276" w:lineRule="auto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="003613D9">
        <w:rPr>
          <w:color w:val="00000A"/>
        </w:rPr>
        <w:tab/>
      </w:r>
      <w:r w:rsidR="003613D9">
        <w:rPr>
          <w:color w:val="00000A"/>
        </w:rPr>
        <w:tab/>
      </w:r>
      <w:r w:rsidR="003613D9">
        <w:rPr>
          <w:color w:val="00000A"/>
        </w:rPr>
        <w:tab/>
      </w:r>
      <w:r w:rsidR="003613D9">
        <w:rPr>
          <w:color w:val="00000A"/>
        </w:rPr>
        <w:tab/>
      </w:r>
      <w:r w:rsidR="003613D9">
        <w:rPr>
          <w:color w:val="00000A"/>
        </w:rPr>
        <w:tab/>
      </w:r>
    </w:p>
    <w:p w:rsidR="00CD6725" w:rsidRDefault="00CD6725" w:rsidP="003613D9">
      <w:pPr>
        <w:pStyle w:val="tajtip"/>
        <w:tabs>
          <w:tab w:val="left" w:pos="851"/>
        </w:tabs>
        <w:spacing w:line="276" w:lineRule="auto"/>
        <w:jc w:val="both"/>
        <w:rPr>
          <w:color w:val="00000A"/>
        </w:rPr>
      </w:pPr>
      <w:r>
        <w:rPr>
          <w:color w:val="00000A"/>
        </w:rPr>
        <w:t>Ministras Pirmininkas</w:t>
      </w:r>
    </w:p>
    <w:p w:rsidR="00897318" w:rsidRDefault="00897318" w:rsidP="003613D9">
      <w:pPr>
        <w:tabs>
          <w:tab w:val="left" w:pos="1080"/>
        </w:tabs>
        <w:spacing w:line="276" w:lineRule="auto"/>
        <w:jc w:val="both"/>
        <w:rPr>
          <w:color w:val="00000A"/>
          <w:szCs w:val="24"/>
          <w:lang w:eastAsia="lt-LT"/>
        </w:rPr>
      </w:pPr>
    </w:p>
    <w:p w:rsidR="001C3FC6" w:rsidRPr="003613D9" w:rsidRDefault="00CD6725" w:rsidP="003613D9">
      <w:pPr>
        <w:tabs>
          <w:tab w:val="left" w:pos="1080"/>
        </w:tabs>
        <w:spacing w:line="276" w:lineRule="auto"/>
        <w:jc w:val="both"/>
        <w:rPr>
          <w:color w:val="00000A"/>
          <w:szCs w:val="24"/>
        </w:rPr>
      </w:pPr>
      <w:r>
        <w:rPr>
          <w:color w:val="00000A"/>
          <w:szCs w:val="24"/>
          <w:lang w:eastAsia="lt-LT"/>
        </w:rPr>
        <w:t>Vidaus reikalų ministras</w:t>
      </w:r>
    </w:p>
    <w:sectPr w:rsidR="001C3FC6" w:rsidRPr="00361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3B" w:rsidRDefault="00FC593B">
      <w:r>
        <w:separator/>
      </w:r>
    </w:p>
  </w:endnote>
  <w:endnote w:type="continuationSeparator" w:id="0">
    <w:p w:rsidR="00FC593B" w:rsidRDefault="00F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FC593B">
    <w:pPr>
      <w:tabs>
        <w:tab w:val="center" w:pos="4986"/>
        <w:tab w:val="right" w:pos="9972"/>
      </w:tabs>
      <w:rPr>
        <w:color w:val="00000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FC593B">
    <w:pPr>
      <w:tabs>
        <w:tab w:val="center" w:pos="4819"/>
        <w:tab w:val="right" w:pos="9638"/>
      </w:tabs>
      <w:rPr>
        <w:color w:val="00000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FC593B">
    <w:pPr>
      <w:tabs>
        <w:tab w:val="center" w:pos="4819"/>
        <w:tab w:val="right" w:pos="9638"/>
      </w:tabs>
      <w:rPr>
        <w:color w:val="0000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3B" w:rsidRDefault="00FC593B">
      <w:r>
        <w:separator/>
      </w:r>
    </w:p>
  </w:footnote>
  <w:footnote w:type="continuationSeparator" w:id="0">
    <w:p w:rsidR="00FC593B" w:rsidRDefault="00FC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FC593B">
    <w:pPr>
      <w:tabs>
        <w:tab w:val="center" w:pos="4986"/>
        <w:tab w:val="right" w:pos="9972"/>
      </w:tabs>
      <w:rPr>
        <w:color w:val="00000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CD6725">
    <w:pPr>
      <w:tabs>
        <w:tab w:val="center" w:pos="4153"/>
        <w:tab w:val="right" w:pos="8306"/>
      </w:tabs>
      <w:jc w:val="center"/>
      <w:rPr>
        <w:color w:val="00000A"/>
      </w:rPr>
    </w:pPr>
    <w:r>
      <w:rPr>
        <w:color w:val="00000A"/>
      </w:rPr>
      <w:fldChar w:fldCharType="begin"/>
    </w:r>
    <w:r>
      <w:rPr>
        <w:color w:val="00000A"/>
      </w:rPr>
      <w:instrText>PAGE</w:instrText>
    </w:r>
    <w:r>
      <w:rPr>
        <w:color w:val="00000A"/>
      </w:rPr>
      <w:fldChar w:fldCharType="separate"/>
    </w:r>
    <w:r w:rsidR="003613D9">
      <w:rPr>
        <w:noProof/>
        <w:color w:val="00000A"/>
      </w:rPr>
      <w:t>2</w:t>
    </w:r>
    <w:r>
      <w:rPr>
        <w:color w:val="00000A"/>
      </w:rPr>
      <w:fldChar w:fldCharType="end"/>
    </w:r>
  </w:p>
  <w:p w:rsidR="00932F90" w:rsidRDefault="00FC593B">
    <w:pPr>
      <w:tabs>
        <w:tab w:val="center" w:pos="4153"/>
        <w:tab w:val="right" w:pos="8306"/>
      </w:tabs>
      <w:rPr>
        <w:color w:val="00000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90" w:rsidRDefault="00FC593B">
    <w:pPr>
      <w:tabs>
        <w:tab w:val="center" w:pos="4986"/>
        <w:tab w:val="right" w:pos="9972"/>
      </w:tabs>
      <w:rPr>
        <w:color w:val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25"/>
    <w:rsid w:val="00133D01"/>
    <w:rsid w:val="001558C9"/>
    <w:rsid w:val="001C3FC6"/>
    <w:rsid w:val="00325F40"/>
    <w:rsid w:val="003613D9"/>
    <w:rsid w:val="00535038"/>
    <w:rsid w:val="006F6BB7"/>
    <w:rsid w:val="008530DF"/>
    <w:rsid w:val="00897318"/>
    <w:rsid w:val="00991404"/>
    <w:rsid w:val="00CD6725"/>
    <w:rsid w:val="00D278F9"/>
    <w:rsid w:val="00D903B6"/>
    <w:rsid w:val="00EE54B0"/>
    <w:rsid w:val="00F1292B"/>
    <w:rsid w:val="00FC4B24"/>
    <w:rsid w:val="00FC593B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B5CB-9D10-4737-B29C-E975BF74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7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CD6725"/>
    <w:pPr>
      <w:spacing w:after="150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B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2020-07-09T06:15:00Z</dcterms:created>
  <dc:creator>Kristijonas Gudalevičius</dc:creator>
  <cp:lastModifiedBy>Kristijonas Gudalevičius</cp:lastModifiedBy>
  <dcterms:modified xsi:type="dcterms:W3CDTF">2020-07-09T06:17:00Z</dcterms:modified>
  <cp:revision>4</cp:revision>
</cp:coreProperties>
</file>