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5CED4" w14:textId="77777777" w:rsidR="007C278B" w:rsidRPr="00C325B2" w:rsidRDefault="004F5343" w:rsidP="00384348">
      <w:pPr>
        <w:jc w:val="center"/>
        <w:rPr>
          <w:b/>
        </w:rPr>
      </w:pPr>
      <w:r w:rsidRPr="004F5343">
        <w:rPr>
          <w:b/>
        </w:rPr>
        <w:t xml:space="preserve">2008 M. RUGSĖJO 24 D. EUROPOS PARLAMENTO IR TARYBOS REGLAMENTO (EB) NR. 1008/2008 DĖL ORO SUSISIEKIMO PASLAUGŲ TEIKIMO BENDRIJOJE </w:t>
      </w:r>
      <w:r w:rsidR="00C325B2" w:rsidRPr="00C325B2">
        <w:rPr>
          <w:b/>
        </w:rPr>
        <w:t>BENDRŲJŲ TAISYKLIŲ IR LIETUVOS RESPUBLIKOS VYRIAUSYBĖS NUTARIMO „DĖL LIETUVOS RESPUBLIKOS VYRIAUSYBĖS 2004 M. BALANDŽIO 28 D. NUTARIMO NR. 483 „DĖL LICENCIJŲ VYKDYTI ORO SUSISIEKIMĄ IŠDAVIMO TAISYKLIŲ PATVIRTINIMO“ PAKEITIMO“ PROJEKTO</w:t>
      </w:r>
    </w:p>
    <w:p w14:paraId="681C84F6" w14:textId="77777777" w:rsidR="001331C8" w:rsidRPr="00C325B2" w:rsidRDefault="00C325B2" w:rsidP="00AA0C68">
      <w:pPr>
        <w:pStyle w:val="statymopavad0"/>
        <w:rPr>
          <w:b/>
        </w:rPr>
      </w:pPr>
      <w:r w:rsidRPr="00C325B2">
        <w:rPr>
          <w:b/>
          <w:caps w:val="0"/>
        </w:rPr>
        <w:t xml:space="preserve"> ATITIKTIES LENTELĖ</w:t>
      </w:r>
    </w:p>
    <w:p w14:paraId="2925CB6D" w14:textId="77777777"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14:paraId="0DC68296" w14:textId="77777777" w:rsidTr="0076388A">
        <w:tc>
          <w:tcPr>
            <w:tcW w:w="4248" w:type="dxa"/>
          </w:tcPr>
          <w:p w14:paraId="29F9EA51" w14:textId="77777777" w:rsidR="008F5FF8" w:rsidRDefault="008F5FF8" w:rsidP="008F5FF8">
            <w:pPr>
              <w:rPr>
                <w:b/>
              </w:rPr>
            </w:pPr>
            <w:smartTag w:uri="schemas-tilde-lv/tildestengine" w:element="metric2">
              <w:smartTagPr>
                <w:attr w:name="metric_value" w:val="2008"/>
                <w:attr w:name="metric_text" w:val="m"/>
              </w:smartTagPr>
              <w:r w:rsidRPr="008E50B9">
                <w:rPr>
                  <w:b/>
                </w:rPr>
                <w:t>2008 m</w:t>
              </w:r>
            </w:smartTag>
            <w:r w:rsidRPr="008E50B9">
              <w:rPr>
                <w:b/>
              </w:rPr>
              <w:t>. rugsėjo 24 d. Europos Parlamento ir Tarybos reglamentas (EB) Nr. 1008/2008 dėl oro susisiekimo paslaugų teikimo Bendrijoje bendrųjų taisyklių</w:t>
            </w:r>
          </w:p>
          <w:p w14:paraId="739EF778" w14:textId="77777777" w:rsidR="008F5FF8" w:rsidRPr="003A113C" w:rsidRDefault="008F5FF8" w:rsidP="008F5FF8">
            <w:pPr>
              <w:rPr>
                <w:b/>
              </w:rPr>
            </w:pPr>
          </w:p>
        </w:tc>
        <w:tc>
          <w:tcPr>
            <w:tcW w:w="3780" w:type="dxa"/>
          </w:tcPr>
          <w:p w14:paraId="3488B2D3" w14:textId="77777777" w:rsidR="001331C8" w:rsidRPr="00C325B2" w:rsidRDefault="00C325B2" w:rsidP="00AA0C68">
            <w:pPr>
              <w:pStyle w:val="HTMLiankstoformatuota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Lietuvos Respublikos Vyriausybės nutarimo „Dėl Lietuvos Respublikos Vyriausybės 2004 m. balandžio 28 d. nutarimo Nr. 483 „Dėl Licencijų vykdyti oro susisiekimą išdavimo taisyklių patvirtinimo“ pakeitimo“ projektas</w:t>
            </w:r>
          </w:p>
        </w:tc>
        <w:tc>
          <w:tcPr>
            <w:tcW w:w="1800" w:type="dxa"/>
          </w:tcPr>
          <w:p w14:paraId="7B4128C8" w14:textId="77777777"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7712A4" w14:paraId="5853F646" w14:textId="77777777" w:rsidTr="0076388A">
        <w:tc>
          <w:tcPr>
            <w:tcW w:w="4248" w:type="dxa"/>
          </w:tcPr>
          <w:p w14:paraId="37F4C775" w14:textId="77777777" w:rsidR="007712A4" w:rsidRPr="007712A4" w:rsidRDefault="007712A4" w:rsidP="007712A4">
            <w:pPr>
              <w:pStyle w:val="CM4"/>
              <w:rPr>
                <w:color w:val="000000"/>
              </w:rPr>
            </w:pPr>
            <w:r w:rsidRPr="007712A4">
              <w:rPr>
                <w:i/>
                <w:iCs/>
                <w:color w:val="000000"/>
              </w:rPr>
              <w:t xml:space="preserve">10 straipsnis </w:t>
            </w:r>
          </w:p>
          <w:p w14:paraId="4494AD1F" w14:textId="77777777" w:rsidR="007712A4" w:rsidRPr="007712A4" w:rsidRDefault="007712A4" w:rsidP="007712A4">
            <w:pPr>
              <w:pStyle w:val="CM4"/>
              <w:rPr>
                <w:color w:val="000000"/>
              </w:rPr>
            </w:pPr>
            <w:r w:rsidRPr="007712A4">
              <w:rPr>
                <w:b/>
                <w:bCs/>
                <w:color w:val="000000"/>
              </w:rPr>
              <w:t xml:space="preserve">Sprendimai dėl licencijų oro susisiekimui vykdyti </w:t>
            </w:r>
          </w:p>
          <w:p w14:paraId="16C25209" w14:textId="77777777" w:rsidR="007712A4" w:rsidRPr="007712A4" w:rsidRDefault="007712A4" w:rsidP="007712A4">
            <w:pPr>
              <w:pStyle w:val="CM4"/>
              <w:rPr>
                <w:color w:val="000000"/>
              </w:rPr>
            </w:pPr>
            <w:r w:rsidRPr="007712A4">
              <w:rPr>
                <w:color w:val="000000"/>
              </w:rPr>
              <w:t>&lt;...&gt;</w:t>
            </w:r>
          </w:p>
          <w:p w14:paraId="37D1D998" w14:textId="77777777" w:rsidR="007712A4" w:rsidRPr="007712A4" w:rsidRDefault="007712A4" w:rsidP="007712A4">
            <w:pPr>
              <w:autoSpaceDE w:val="0"/>
              <w:autoSpaceDN w:val="0"/>
              <w:adjustRightInd w:val="0"/>
            </w:pPr>
            <w:r w:rsidRPr="007712A4">
              <w:rPr>
                <w:color w:val="000000"/>
              </w:rPr>
              <w:t>2. Kompetentingos licencijas išduodančios institucijos viešai paskelbia licencijų oro susisiekimui vykdyti išdavimo, sustabdymo ir atšaukimo tvarką ir apie tai informuoja Komisiją.</w:t>
            </w:r>
          </w:p>
        </w:tc>
        <w:tc>
          <w:tcPr>
            <w:tcW w:w="3780" w:type="dxa"/>
          </w:tcPr>
          <w:p w14:paraId="4B704064" w14:textId="77777777" w:rsidR="00151C5A" w:rsidRPr="008175B9" w:rsidRDefault="00151C5A" w:rsidP="004A2893">
            <w:r w:rsidRPr="008175B9">
              <w:t xml:space="preserve">Lietuvos Respublikos Vyriausybė </w:t>
            </w:r>
          </w:p>
          <w:p w14:paraId="45EE0CF6" w14:textId="25AF26CD" w:rsidR="00151C5A" w:rsidRPr="008175B9" w:rsidRDefault="00151C5A" w:rsidP="004A2893">
            <w:r w:rsidRPr="008175B9">
              <w:t>n u t a r i a:</w:t>
            </w:r>
          </w:p>
          <w:p w14:paraId="58740292" w14:textId="075A48AB" w:rsidR="00151C5A" w:rsidRPr="008175B9" w:rsidRDefault="00151C5A" w:rsidP="004A2893">
            <w:pPr>
              <w:pStyle w:val="Sraopastraipa"/>
              <w:numPr>
                <w:ilvl w:val="0"/>
                <w:numId w:val="9"/>
              </w:numPr>
              <w:tabs>
                <w:tab w:val="left" w:pos="322"/>
              </w:tabs>
              <w:ind w:left="0" w:firstLine="0"/>
              <w:rPr>
                <w:szCs w:val="24"/>
              </w:rPr>
            </w:pPr>
            <w:bookmarkStart w:id="0" w:name="part_46d31fdbfb1f4993a27b2ef834c5daf2"/>
            <w:bookmarkEnd w:id="0"/>
            <w:r w:rsidRPr="008175B9">
              <w:rPr>
                <w:szCs w:val="24"/>
              </w:rPr>
              <w:t xml:space="preserve">Pakeisti Lietuvos Respublikos Vyriausybės 2004 m. balandžio </w:t>
            </w:r>
            <w:r w:rsidRPr="008175B9">
              <w:rPr>
                <w:szCs w:val="24"/>
              </w:rPr>
              <w:t xml:space="preserve">     </w:t>
            </w:r>
            <w:r w:rsidRPr="008175B9">
              <w:rPr>
                <w:szCs w:val="24"/>
              </w:rPr>
              <w:t>28 d. nutarimą Nr. 483 „Dėl Licencijų vykdyti oro susisiekimą išdavimo taisyklių patvirtinimo“ ir jį išdėstyti nauja redakcija:</w:t>
            </w:r>
          </w:p>
          <w:p w14:paraId="759386A2" w14:textId="77777777" w:rsidR="00151C5A" w:rsidRPr="008175B9" w:rsidRDefault="00151C5A" w:rsidP="004A2893">
            <w:pPr>
              <w:ind w:firstLine="720"/>
            </w:pPr>
          </w:p>
          <w:p w14:paraId="37A0EEC3" w14:textId="77777777" w:rsidR="00151C5A" w:rsidRPr="008175B9" w:rsidRDefault="00151C5A" w:rsidP="004A2893">
            <w:pPr>
              <w:jc w:val="center"/>
              <w:rPr>
                <w:b/>
                <w:color w:val="000000"/>
              </w:rPr>
            </w:pPr>
            <w:r w:rsidRPr="008175B9">
              <w:rPr>
                <w:bCs/>
                <w:color w:val="000000"/>
              </w:rPr>
              <w:t>„</w:t>
            </w:r>
            <w:r w:rsidRPr="008175B9">
              <w:rPr>
                <w:b/>
                <w:color w:val="000000"/>
              </w:rPr>
              <w:t>LIETUVOS RESPUBLIKOS VYRIAUSYBĖ</w:t>
            </w:r>
          </w:p>
          <w:p w14:paraId="33F476B2" w14:textId="77777777" w:rsidR="00151C5A" w:rsidRPr="008175B9" w:rsidRDefault="00151C5A" w:rsidP="004A2893">
            <w:pPr>
              <w:jc w:val="center"/>
              <w:rPr>
                <w:b/>
                <w:color w:val="000000"/>
              </w:rPr>
            </w:pPr>
          </w:p>
          <w:p w14:paraId="447A6BEC" w14:textId="77777777" w:rsidR="00151C5A" w:rsidRPr="008175B9" w:rsidRDefault="00151C5A" w:rsidP="004A2893">
            <w:pPr>
              <w:jc w:val="center"/>
              <w:rPr>
                <w:b/>
                <w:color w:val="000000"/>
              </w:rPr>
            </w:pPr>
            <w:r w:rsidRPr="008175B9">
              <w:rPr>
                <w:b/>
                <w:color w:val="000000"/>
              </w:rPr>
              <w:t>NUTARIMAS</w:t>
            </w:r>
          </w:p>
          <w:p w14:paraId="278B0DBC" w14:textId="77777777" w:rsidR="00151C5A" w:rsidRPr="008175B9" w:rsidRDefault="00151C5A" w:rsidP="004A2893">
            <w:pPr>
              <w:jc w:val="center"/>
              <w:rPr>
                <w:b/>
                <w:bCs/>
              </w:rPr>
            </w:pPr>
            <w:r w:rsidRPr="008175B9">
              <w:rPr>
                <w:b/>
                <w:bCs/>
              </w:rPr>
              <w:t>DĖL ORO SUSISIEKIMO LICENCIJAVIMO TAISYKLIŲ PATVIRTINIMO</w:t>
            </w:r>
          </w:p>
          <w:p w14:paraId="1C9AA656" w14:textId="77777777" w:rsidR="00151C5A" w:rsidRPr="008175B9" w:rsidRDefault="00151C5A" w:rsidP="004A2893">
            <w:pPr>
              <w:rPr>
                <w:color w:val="000000"/>
              </w:rPr>
            </w:pPr>
          </w:p>
          <w:p w14:paraId="4E2C8D8E" w14:textId="77777777" w:rsidR="00151C5A" w:rsidRPr="008175B9" w:rsidRDefault="00151C5A" w:rsidP="004A2893">
            <w:pPr>
              <w:rPr>
                <w:color w:val="000000"/>
              </w:rPr>
            </w:pPr>
            <w:bookmarkStart w:id="1" w:name="part_4b6f03a951a6490d8e6af5723c29183d"/>
            <w:bookmarkStart w:id="2" w:name="part_9d1e140ac7c04a219818fe23112d3584"/>
            <w:bookmarkEnd w:id="1"/>
            <w:bookmarkEnd w:id="2"/>
            <w:r w:rsidRPr="008175B9">
              <w:rPr>
                <w:color w:val="000000"/>
              </w:rPr>
              <w:t xml:space="preserve">Vadovaudamasi Lietuvos Respublikos aviacijos įstatymo </w:t>
            </w:r>
          </w:p>
          <w:p w14:paraId="0214DB66" w14:textId="77777777" w:rsidR="00151C5A" w:rsidRPr="008175B9" w:rsidRDefault="00151C5A" w:rsidP="004A2893">
            <w:pPr>
              <w:rPr>
                <w:color w:val="000000"/>
              </w:rPr>
            </w:pPr>
            <w:r w:rsidRPr="008175B9">
              <w:t>34</w:t>
            </w:r>
            <w:r w:rsidRPr="008175B9">
              <w:rPr>
                <w:b/>
                <w:bCs/>
              </w:rPr>
              <w:t xml:space="preserve"> </w:t>
            </w:r>
            <w:r w:rsidRPr="008175B9">
              <w:rPr>
                <w:color w:val="000000"/>
              </w:rPr>
              <w:t xml:space="preserve">straipsnio 2 dalimi ir siekdama užtikrinti 2008 m. rugsėjo 24 d. Europos Parlamento ir Tarybos reglamento (EB) Nr. 1008/2008 dėl oro susisiekimo paslaugų teikimo Bendrijoje bendrųjų taisyklių (OL 2008 L 293, p. 3) </w:t>
            </w:r>
            <w:r w:rsidRPr="008175B9">
              <w:rPr>
                <w:bCs/>
              </w:rPr>
              <w:t xml:space="preserve">su paskutiniais pakeitimais, padarytais </w:t>
            </w:r>
            <w:r w:rsidRPr="008175B9">
              <w:rPr>
                <w:bCs/>
                <w:color w:val="000000" w:themeColor="text1"/>
              </w:rPr>
              <w:t xml:space="preserve">2018 m. gruodžio 11 d. Europos Parlamento ir Tarybos reglamentu (ES) 2019/2 </w:t>
            </w:r>
            <w:r w:rsidRPr="008175B9">
              <w:rPr>
                <w:bCs/>
              </w:rPr>
              <w:t>(OL 2019 L 11, p. 1),</w:t>
            </w:r>
            <w:r w:rsidRPr="008175B9">
              <w:rPr>
                <w:b/>
              </w:rPr>
              <w:t xml:space="preserve"> </w:t>
            </w:r>
            <w:r w:rsidRPr="008175B9">
              <w:rPr>
                <w:color w:val="000000"/>
              </w:rPr>
              <w:t xml:space="preserve">taikymą, Lietuvos Respublikos Vyriausybė </w:t>
            </w:r>
          </w:p>
          <w:p w14:paraId="73EBFE31" w14:textId="1E3F6BBC" w:rsidR="00151C5A" w:rsidRPr="008175B9" w:rsidRDefault="00151C5A" w:rsidP="004A2893">
            <w:r w:rsidRPr="008175B9">
              <w:t>n u t a r i a:</w:t>
            </w:r>
          </w:p>
          <w:p w14:paraId="6715E3AF" w14:textId="3F838C8C" w:rsidR="0043571D" w:rsidRPr="008175B9" w:rsidRDefault="00151C5A" w:rsidP="004A2893">
            <w:pPr>
              <w:pStyle w:val="Sraopastraipa"/>
              <w:widowControl w:val="0"/>
              <w:tabs>
                <w:tab w:val="left" w:pos="458"/>
              </w:tabs>
              <w:ind w:left="0"/>
              <w:rPr>
                <w:szCs w:val="24"/>
              </w:rPr>
            </w:pPr>
            <w:r w:rsidRPr="008175B9">
              <w:rPr>
                <w:szCs w:val="24"/>
              </w:rPr>
              <w:t>Patvirtinti O</w:t>
            </w:r>
            <w:r w:rsidRPr="008175B9">
              <w:rPr>
                <w:color w:val="000000"/>
                <w:szCs w:val="24"/>
              </w:rPr>
              <w:t>ro susisiekimo</w:t>
            </w:r>
            <w:bookmarkStart w:id="3" w:name="_GoBack"/>
            <w:bookmarkEnd w:id="3"/>
            <w:r w:rsidRPr="008175B9">
              <w:rPr>
                <w:color w:val="000000"/>
                <w:szCs w:val="24"/>
              </w:rPr>
              <w:t xml:space="preserve"> licencijavimo </w:t>
            </w:r>
            <w:r w:rsidRPr="008175B9">
              <w:rPr>
                <w:szCs w:val="24"/>
              </w:rPr>
              <w:t>taisykles (pridedama).“</w:t>
            </w:r>
          </w:p>
          <w:p w14:paraId="6863562E" w14:textId="6173ADBF" w:rsidR="00151C5A" w:rsidRPr="008175B9" w:rsidRDefault="00686792" w:rsidP="004A2893">
            <w:pPr>
              <w:pStyle w:val="Sraopastraipa"/>
              <w:widowControl w:val="0"/>
              <w:tabs>
                <w:tab w:val="left" w:pos="458"/>
              </w:tabs>
              <w:ind w:left="0"/>
              <w:rPr>
                <w:szCs w:val="24"/>
              </w:rPr>
            </w:pPr>
            <w:r>
              <w:rPr>
                <w:szCs w:val="24"/>
              </w:rPr>
              <w:t>&lt;...&gt;.</w:t>
            </w:r>
          </w:p>
          <w:p w14:paraId="4DCC8D09" w14:textId="77777777" w:rsidR="007712A4" w:rsidRPr="00E81632" w:rsidRDefault="007712A4" w:rsidP="002A0FBB">
            <w:r w:rsidRPr="00E81632">
              <w:lastRenderedPageBreak/>
              <w:t>Priėmus nutarimo projektą, licencijas išduodanti institucija</w:t>
            </w:r>
            <w:r w:rsidR="00926CBF" w:rsidRPr="00E81632">
              <w:t xml:space="preserve"> </w:t>
            </w:r>
            <w:r w:rsidRPr="00E81632">
              <w:t>informuos Europos Komisiją apie Licencijų vykdyti oro susisiekimą išdavimo taisyklių</w:t>
            </w:r>
            <w:r w:rsidRPr="00E81632">
              <w:rPr>
                <w:b/>
                <w:bCs/>
              </w:rPr>
              <w:t xml:space="preserve"> </w:t>
            </w:r>
            <w:r w:rsidRPr="00E81632">
              <w:t>pakeitimą.</w:t>
            </w:r>
          </w:p>
        </w:tc>
        <w:tc>
          <w:tcPr>
            <w:tcW w:w="1800" w:type="dxa"/>
          </w:tcPr>
          <w:p w14:paraId="3B4B71A7" w14:textId="77777777" w:rsidR="007712A4" w:rsidRDefault="00406EC5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Visiškas.</w:t>
            </w:r>
          </w:p>
        </w:tc>
      </w:tr>
    </w:tbl>
    <w:p w14:paraId="281BB6C5" w14:textId="77777777"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14:paraId="4A3F6727" w14:textId="77777777"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14:paraId="7D6516DC" w14:textId="77777777"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357F5" w14:textId="77777777" w:rsidR="002A078F" w:rsidRDefault="002A078F" w:rsidP="00044E05">
      <w:r>
        <w:separator/>
      </w:r>
    </w:p>
  </w:endnote>
  <w:endnote w:type="continuationSeparator" w:id="0">
    <w:p w14:paraId="0C5A1485" w14:textId="77777777" w:rsidR="002A078F" w:rsidRDefault="002A078F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8F64B" w14:textId="77777777" w:rsidR="002A078F" w:rsidRDefault="002A078F" w:rsidP="00044E05">
      <w:r>
        <w:separator/>
      </w:r>
    </w:p>
  </w:footnote>
  <w:footnote w:type="continuationSeparator" w:id="0">
    <w:p w14:paraId="408B4D09" w14:textId="77777777" w:rsidR="002A078F" w:rsidRDefault="002A078F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52FAB" w14:textId="77777777"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42DE">
      <w:rPr>
        <w:noProof/>
      </w:rPr>
      <w:t>2</w:t>
    </w:r>
    <w:r>
      <w:fldChar w:fldCharType="end"/>
    </w:r>
  </w:p>
  <w:p w14:paraId="5E629427" w14:textId="77777777"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783D"/>
    <w:multiLevelType w:val="hybridMultilevel"/>
    <w:tmpl w:val="7706C090"/>
    <w:lvl w:ilvl="0" w:tplc="4516E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EB37B3"/>
    <w:multiLevelType w:val="multilevel"/>
    <w:tmpl w:val="F97003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1CD25C7"/>
    <w:multiLevelType w:val="hybridMultilevel"/>
    <w:tmpl w:val="6532B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4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4E05"/>
    <w:rsid w:val="000458A4"/>
    <w:rsid w:val="00086F99"/>
    <w:rsid w:val="000B5E59"/>
    <w:rsid w:val="000C0AFE"/>
    <w:rsid w:val="000D20F8"/>
    <w:rsid w:val="000F4B6B"/>
    <w:rsid w:val="001114C0"/>
    <w:rsid w:val="0013089A"/>
    <w:rsid w:val="001331C8"/>
    <w:rsid w:val="001358F5"/>
    <w:rsid w:val="00151C5A"/>
    <w:rsid w:val="00164CD6"/>
    <w:rsid w:val="00175117"/>
    <w:rsid w:val="001758FF"/>
    <w:rsid w:val="00184D1D"/>
    <w:rsid w:val="001A3942"/>
    <w:rsid w:val="001A55E7"/>
    <w:rsid w:val="001B515A"/>
    <w:rsid w:val="001D6CF4"/>
    <w:rsid w:val="00203BD9"/>
    <w:rsid w:val="00215D51"/>
    <w:rsid w:val="00231FEC"/>
    <w:rsid w:val="002368F2"/>
    <w:rsid w:val="00256EAE"/>
    <w:rsid w:val="00260D29"/>
    <w:rsid w:val="00272BE1"/>
    <w:rsid w:val="00280F04"/>
    <w:rsid w:val="0029139F"/>
    <w:rsid w:val="00292677"/>
    <w:rsid w:val="002A078F"/>
    <w:rsid w:val="002A0FBB"/>
    <w:rsid w:val="002B022D"/>
    <w:rsid w:val="002B7E4C"/>
    <w:rsid w:val="002F0D8E"/>
    <w:rsid w:val="003215BA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A113C"/>
    <w:rsid w:val="003C2C77"/>
    <w:rsid w:val="00406EC5"/>
    <w:rsid w:val="00431C66"/>
    <w:rsid w:val="004338FD"/>
    <w:rsid w:val="0043571D"/>
    <w:rsid w:val="004357F8"/>
    <w:rsid w:val="004564D6"/>
    <w:rsid w:val="004725FC"/>
    <w:rsid w:val="00480755"/>
    <w:rsid w:val="004816BA"/>
    <w:rsid w:val="00496716"/>
    <w:rsid w:val="00496F2F"/>
    <w:rsid w:val="004A2893"/>
    <w:rsid w:val="004D7C63"/>
    <w:rsid w:val="004E3B66"/>
    <w:rsid w:val="004F11A3"/>
    <w:rsid w:val="004F5343"/>
    <w:rsid w:val="0053009D"/>
    <w:rsid w:val="00561328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76538"/>
    <w:rsid w:val="00686792"/>
    <w:rsid w:val="006C6447"/>
    <w:rsid w:val="006E6EC2"/>
    <w:rsid w:val="006F7E6A"/>
    <w:rsid w:val="00706978"/>
    <w:rsid w:val="007120FB"/>
    <w:rsid w:val="00716770"/>
    <w:rsid w:val="00725FF5"/>
    <w:rsid w:val="00727D41"/>
    <w:rsid w:val="00736B11"/>
    <w:rsid w:val="00740131"/>
    <w:rsid w:val="007479D8"/>
    <w:rsid w:val="00754B10"/>
    <w:rsid w:val="0076388A"/>
    <w:rsid w:val="0077042C"/>
    <w:rsid w:val="007712A4"/>
    <w:rsid w:val="00787DA4"/>
    <w:rsid w:val="007B32F7"/>
    <w:rsid w:val="007C278B"/>
    <w:rsid w:val="007C3843"/>
    <w:rsid w:val="007C5E17"/>
    <w:rsid w:val="007D443F"/>
    <w:rsid w:val="008175B9"/>
    <w:rsid w:val="00830FAF"/>
    <w:rsid w:val="008B66AC"/>
    <w:rsid w:val="008C2C31"/>
    <w:rsid w:val="008C328F"/>
    <w:rsid w:val="008C732B"/>
    <w:rsid w:val="008E48B1"/>
    <w:rsid w:val="008E50B9"/>
    <w:rsid w:val="008F5FF8"/>
    <w:rsid w:val="00926CBF"/>
    <w:rsid w:val="009426ED"/>
    <w:rsid w:val="00947358"/>
    <w:rsid w:val="009648F6"/>
    <w:rsid w:val="00970094"/>
    <w:rsid w:val="00992D53"/>
    <w:rsid w:val="009973D3"/>
    <w:rsid w:val="009F5DAF"/>
    <w:rsid w:val="00A12B3D"/>
    <w:rsid w:val="00A247F2"/>
    <w:rsid w:val="00A27BD4"/>
    <w:rsid w:val="00A35327"/>
    <w:rsid w:val="00A42BF5"/>
    <w:rsid w:val="00A90D83"/>
    <w:rsid w:val="00A96D93"/>
    <w:rsid w:val="00AA0C68"/>
    <w:rsid w:val="00AB048B"/>
    <w:rsid w:val="00AB409A"/>
    <w:rsid w:val="00AE7135"/>
    <w:rsid w:val="00AF3A20"/>
    <w:rsid w:val="00B142DE"/>
    <w:rsid w:val="00B17DB4"/>
    <w:rsid w:val="00B414F5"/>
    <w:rsid w:val="00B67422"/>
    <w:rsid w:val="00B8516D"/>
    <w:rsid w:val="00B86618"/>
    <w:rsid w:val="00BB3481"/>
    <w:rsid w:val="00BC0A98"/>
    <w:rsid w:val="00BD642B"/>
    <w:rsid w:val="00BF2BF7"/>
    <w:rsid w:val="00C325B2"/>
    <w:rsid w:val="00C431F7"/>
    <w:rsid w:val="00C80733"/>
    <w:rsid w:val="00CD1F9A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632"/>
    <w:rsid w:val="00E8172C"/>
    <w:rsid w:val="00E82A60"/>
    <w:rsid w:val="00E94421"/>
    <w:rsid w:val="00EC2242"/>
    <w:rsid w:val="00EC7816"/>
    <w:rsid w:val="00EF29C2"/>
    <w:rsid w:val="00EF6A6F"/>
    <w:rsid w:val="00EF7EC9"/>
    <w:rsid w:val="00F00148"/>
    <w:rsid w:val="00F417F3"/>
    <w:rsid w:val="00F46F8A"/>
    <w:rsid w:val="00F65710"/>
    <w:rsid w:val="00F663C7"/>
    <w:rsid w:val="00F81D54"/>
    <w:rsid w:val="00F95CD3"/>
    <w:rsid w:val="00F97848"/>
    <w:rsid w:val="00FA0A06"/>
    <w:rsid w:val="00FC5648"/>
    <w:rsid w:val="00FC7279"/>
    <w:rsid w:val="00FD52B3"/>
    <w:rsid w:val="00FD7225"/>
    <w:rsid w:val="00FE2AD2"/>
    <w:rsid w:val="00FE4666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7B9120F4"/>
  <w15:chartTrackingRefBased/>
  <w15:docId w15:val="{F39D43A9-E142-4C57-BED1-4AA67A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036A-A155-4F08-8778-8BDE7411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2019-12-02T09:51:00Z</dcterms:created>
  <dc:creator>SM</dc:creator>
  <cp:lastModifiedBy>Vlada Žegunienė</cp:lastModifiedBy>
  <cp:lastPrinted>2009-05-26T09:45:00Z</cp:lastPrinted>
  <dcterms:modified xsi:type="dcterms:W3CDTF">2019-12-02T09:58:00Z</dcterms:modified>
  <cp:revision>9</cp:revision>
  <dc:title>ES TEISĖS AKTO IR LIETUVOS RESPUBLIKOS</dc:title>
</cp:coreProperties>
</file>