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1D5E" w:rsidRDefault="00FD1D5E" w:rsidP="00FD1D5E">
      <w:pPr>
        <w:suppressAutoHyphens/>
        <w:autoSpaceDE w:val="0"/>
        <w:autoSpaceDN w:val="0"/>
        <w:spacing w:after="0" w:line="240" w:lineRule="auto"/>
        <w:jc w:val="center"/>
        <w:textAlignment w:val="baseline"/>
        <w:rPr>
          <w:rFonts w:ascii="Times New Roman" w:eastAsia="Times New Roman" w:hAnsi="Times New Roman" w:cs="Times New Roman"/>
          <w:b/>
          <w:bCs/>
          <w:caps/>
          <w:kern w:val="3"/>
          <w:sz w:val="24"/>
          <w:szCs w:val="24"/>
          <w:lang w:val="en-US" w:eastAsia="zh-CN"/>
        </w:rPr>
      </w:pPr>
      <w:r w:rsidRPr="00ED5701">
        <w:rPr>
          <w:rFonts w:ascii="Times New Roman" w:eastAsia="Times New Roman" w:hAnsi="Times New Roman" w:cs="Times New Roman"/>
          <w:b/>
          <w:bCs/>
          <w:caps/>
          <w:kern w:val="3"/>
          <w:sz w:val="24"/>
          <w:szCs w:val="24"/>
          <w:lang w:val="en-US" w:eastAsia="zh-CN"/>
        </w:rPr>
        <w:t xml:space="preserve">DERINIMO PAŽYMA </w:t>
      </w:r>
    </w:p>
    <w:p w:rsidR="00FD1D5E" w:rsidRPr="00FD1D5E" w:rsidRDefault="00FD1D5E" w:rsidP="00FD1D5E">
      <w:pPr>
        <w:suppressAutoHyphens/>
        <w:autoSpaceDE w:val="0"/>
        <w:autoSpaceDN w:val="0"/>
        <w:spacing w:after="0" w:line="240" w:lineRule="auto"/>
        <w:jc w:val="center"/>
        <w:textAlignment w:val="baseline"/>
        <w:rPr>
          <w:rFonts w:ascii="Times New Roman" w:eastAsia="Times New Roman" w:hAnsi="Times New Roman" w:cs="Times New Roman"/>
          <w:b/>
          <w:bCs/>
          <w:caps/>
          <w:kern w:val="3"/>
          <w:sz w:val="24"/>
          <w:szCs w:val="24"/>
          <w:lang w:eastAsia="zh-CN"/>
        </w:rPr>
      </w:pPr>
      <w:bookmarkStart w:id="0" w:name="_Hlk513734621"/>
      <w:r>
        <w:rPr>
          <w:rFonts w:ascii="Times New Roman" w:eastAsia="Times New Roman" w:hAnsi="Times New Roman" w:cs="Times New Roman"/>
          <w:b/>
          <w:bCs/>
          <w:caps/>
          <w:kern w:val="3"/>
          <w:sz w:val="24"/>
          <w:szCs w:val="24"/>
          <w:lang w:val="en-US" w:eastAsia="zh-CN"/>
        </w:rPr>
        <w:t xml:space="preserve">DĖL Lietuvos respublikos vyriausybės nutarimo </w:t>
      </w:r>
      <w:r w:rsidRPr="00FD1D5E">
        <w:rPr>
          <w:rFonts w:ascii="Times New Roman" w:eastAsia="Times New Roman" w:hAnsi="Times New Roman" w:cs="Times New Roman"/>
          <w:b/>
          <w:bCs/>
          <w:caps/>
          <w:kern w:val="3"/>
          <w:sz w:val="24"/>
          <w:szCs w:val="24"/>
          <w:lang w:val="en-US" w:eastAsia="zh-CN"/>
        </w:rPr>
        <w:t>„</w:t>
      </w:r>
      <w:r w:rsidRPr="00FD1D5E">
        <w:rPr>
          <w:rFonts w:ascii="Times New Roman" w:eastAsia="Times New Roman" w:hAnsi="Times New Roman" w:cs="Times New Roman"/>
          <w:b/>
          <w:bCs/>
          <w:caps/>
          <w:kern w:val="3"/>
          <w:sz w:val="24"/>
          <w:szCs w:val="24"/>
          <w:lang w:eastAsia="zh-CN"/>
        </w:rPr>
        <w:t>DĖL VALSTYBINĖS VARTOTOJŲ APSAUGOS PLĖTROS 2019–2027 METŲ PROGRAMOS PATVIRTINIMO</w:t>
      </w:r>
      <w:r>
        <w:rPr>
          <w:rFonts w:ascii="Times New Roman" w:eastAsia="Times New Roman" w:hAnsi="Times New Roman" w:cs="Times New Roman"/>
          <w:b/>
          <w:bCs/>
          <w:caps/>
          <w:kern w:val="3"/>
          <w:sz w:val="24"/>
          <w:szCs w:val="24"/>
          <w:lang w:eastAsia="zh-CN"/>
        </w:rPr>
        <w:t>“</w:t>
      </w:r>
    </w:p>
    <w:p w:rsidR="00FD1D5E" w:rsidRPr="00ED5701" w:rsidRDefault="00FD1D5E" w:rsidP="00FD1D5E">
      <w:pPr>
        <w:suppressAutoHyphens/>
        <w:autoSpaceDE w:val="0"/>
        <w:autoSpaceDN w:val="0"/>
        <w:spacing w:after="0" w:line="240" w:lineRule="auto"/>
        <w:jc w:val="center"/>
        <w:textAlignment w:val="baseline"/>
        <w:rPr>
          <w:rFonts w:ascii="Times New Roman" w:eastAsia="Times New Roman" w:hAnsi="Times New Roman" w:cs="Times New Roman"/>
          <w:b/>
          <w:bCs/>
          <w:caps/>
          <w:kern w:val="3"/>
          <w:sz w:val="24"/>
          <w:szCs w:val="24"/>
          <w:lang w:val="en-US" w:eastAsia="zh-CN"/>
        </w:rPr>
      </w:pPr>
      <w:r w:rsidRPr="00ED5701">
        <w:rPr>
          <w:rFonts w:ascii="Times New Roman" w:eastAsia="Times New Roman" w:hAnsi="Times New Roman" w:cs="Times New Roman"/>
          <w:b/>
          <w:bCs/>
          <w:caps/>
          <w:kern w:val="3"/>
          <w:sz w:val="24"/>
          <w:szCs w:val="24"/>
          <w:lang w:val="en-US" w:eastAsia="zh-CN"/>
        </w:rPr>
        <w:t>PROJEKT</w:t>
      </w:r>
      <w:bookmarkEnd w:id="0"/>
      <w:r w:rsidRPr="00ED5701">
        <w:rPr>
          <w:rFonts w:ascii="Times New Roman" w:eastAsia="Times New Roman" w:hAnsi="Times New Roman" w:cs="Times New Roman"/>
          <w:b/>
          <w:bCs/>
          <w:caps/>
          <w:kern w:val="3"/>
          <w:sz w:val="24"/>
          <w:szCs w:val="24"/>
          <w:lang w:val="en-US" w:eastAsia="zh-CN"/>
        </w:rPr>
        <w:t>O</w:t>
      </w:r>
      <w:r>
        <w:rPr>
          <w:rFonts w:ascii="Times New Roman" w:eastAsia="Times New Roman" w:hAnsi="Times New Roman" w:cs="Times New Roman"/>
          <w:b/>
          <w:bCs/>
          <w:caps/>
          <w:kern w:val="3"/>
          <w:sz w:val="24"/>
          <w:szCs w:val="24"/>
          <w:lang w:val="en-US" w:eastAsia="zh-CN"/>
        </w:rPr>
        <w:t xml:space="preserve"> </w:t>
      </w:r>
    </w:p>
    <w:p w:rsidR="00FD1D5E" w:rsidRPr="00ED5701" w:rsidRDefault="00FD1D5E" w:rsidP="00FD1D5E">
      <w:pPr>
        <w:suppressAutoHyphens/>
        <w:autoSpaceDE w:val="0"/>
        <w:autoSpaceDN w:val="0"/>
        <w:spacing w:after="0" w:line="240" w:lineRule="auto"/>
        <w:jc w:val="center"/>
        <w:textAlignment w:val="baseline"/>
        <w:rPr>
          <w:rFonts w:ascii="Times New Roman" w:eastAsia="Times New Roman" w:hAnsi="Times New Roman" w:cs="Times New Roman"/>
          <w:b/>
          <w:bCs/>
          <w:caps/>
          <w:kern w:val="3"/>
          <w:sz w:val="24"/>
          <w:szCs w:val="24"/>
          <w:lang w:val="en-US" w:eastAsia="zh-CN"/>
        </w:rPr>
      </w:pPr>
    </w:p>
    <w:tbl>
      <w:tblPr>
        <w:tblStyle w:val="Lentelstinklelis"/>
        <w:tblW w:w="14737" w:type="dxa"/>
        <w:tblLook w:val="04A0" w:firstRow="1" w:lastRow="0" w:firstColumn="1" w:lastColumn="0" w:noHBand="0" w:noVBand="1"/>
      </w:tblPr>
      <w:tblGrid>
        <w:gridCol w:w="560"/>
        <w:gridCol w:w="1635"/>
        <w:gridCol w:w="6164"/>
        <w:gridCol w:w="6378"/>
      </w:tblGrid>
      <w:tr w:rsidR="00FD1D5E" w:rsidRPr="00835D10" w:rsidTr="00614D4E">
        <w:tc>
          <w:tcPr>
            <w:tcW w:w="560" w:type="dxa"/>
          </w:tcPr>
          <w:p w:rsidR="00FD1D5E" w:rsidRPr="00E55D90" w:rsidRDefault="00FD1D5E" w:rsidP="002E6C10">
            <w:pPr>
              <w:tabs>
                <w:tab w:val="left" w:pos="449"/>
              </w:tabs>
              <w:spacing w:after="80" w:line="264" w:lineRule="auto"/>
              <w:jc w:val="center"/>
              <w:rPr>
                <w:rFonts w:ascii="Times New Roman" w:hAnsi="Times New Roman" w:cs="Times New Roman"/>
                <w:bCs/>
                <w:sz w:val="24"/>
                <w:szCs w:val="24"/>
              </w:rPr>
            </w:pPr>
            <w:r w:rsidRPr="00E55D90">
              <w:rPr>
                <w:rFonts w:ascii="Times New Roman" w:hAnsi="Times New Roman" w:cs="Times New Roman"/>
                <w:bCs/>
                <w:sz w:val="24"/>
                <w:szCs w:val="24"/>
              </w:rPr>
              <w:t>Eil. Nr.</w:t>
            </w:r>
          </w:p>
        </w:tc>
        <w:tc>
          <w:tcPr>
            <w:tcW w:w="1635" w:type="dxa"/>
          </w:tcPr>
          <w:p w:rsidR="00FD1D5E" w:rsidRPr="00614D4E" w:rsidRDefault="00FD1D5E" w:rsidP="00614D4E">
            <w:pPr>
              <w:tabs>
                <w:tab w:val="left" w:pos="449"/>
              </w:tabs>
              <w:spacing w:after="80"/>
              <w:jc w:val="center"/>
              <w:rPr>
                <w:rFonts w:ascii="Times New Roman" w:hAnsi="Times New Roman" w:cs="Times New Roman"/>
                <w:sz w:val="24"/>
                <w:szCs w:val="24"/>
              </w:rPr>
            </w:pPr>
            <w:r w:rsidRPr="00614D4E">
              <w:rPr>
                <w:rFonts w:ascii="Times New Roman" w:hAnsi="Times New Roman" w:cs="Times New Roman"/>
                <w:bCs/>
                <w:sz w:val="24"/>
                <w:szCs w:val="24"/>
              </w:rPr>
              <w:t>Institucija, pateikusi pastabas ir  pasiūlymus</w:t>
            </w:r>
          </w:p>
        </w:tc>
        <w:tc>
          <w:tcPr>
            <w:tcW w:w="6164" w:type="dxa"/>
          </w:tcPr>
          <w:p w:rsidR="00FD1D5E" w:rsidRPr="00614D4E" w:rsidRDefault="00FD1D5E" w:rsidP="00614D4E">
            <w:pPr>
              <w:tabs>
                <w:tab w:val="left" w:pos="449"/>
              </w:tabs>
              <w:spacing w:after="80"/>
              <w:jc w:val="center"/>
              <w:rPr>
                <w:rFonts w:ascii="Times New Roman" w:hAnsi="Times New Roman" w:cs="Times New Roman"/>
                <w:sz w:val="24"/>
                <w:szCs w:val="24"/>
              </w:rPr>
            </w:pPr>
            <w:r w:rsidRPr="00614D4E">
              <w:rPr>
                <w:rFonts w:ascii="Times New Roman" w:eastAsia="Times New Roman" w:hAnsi="Times New Roman" w:cs="Times New Roman"/>
                <w:sz w:val="24"/>
                <w:szCs w:val="24"/>
              </w:rPr>
              <w:t>Pastabos ir pasiūlymai</w:t>
            </w:r>
          </w:p>
        </w:tc>
        <w:tc>
          <w:tcPr>
            <w:tcW w:w="6378" w:type="dxa"/>
          </w:tcPr>
          <w:p w:rsidR="00FD1D5E" w:rsidRPr="00E55D90" w:rsidRDefault="00FD1D5E" w:rsidP="002E6C10">
            <w:pPr>
              <w:spacing w:line="276" w:lineRule="auto"/>
              <w:jc w:val="center"/>
              <w:rPr>
                <w:rFonts w:ascii="Times New Roman" w:hAnsi="Times New Roman" w:cs="Times New Roman"/>
                <w:b/>
                <w:sz w:val="24"/>
                <w:szCs w:val="24"/>
              </w:rPr>
            </w:pPr>
            <w:r w:rsidRPr="00E55D90">
              <w:rPr>
                <w:rFonts w:ascii="Times New Roman" w:eastAsia="Times New Roman" w:hAnsi="Times New Roman" w:cs="Times New Roman"/>
                <w:sz w:val="24"/>
                <w:szCs w:val="24"/>
              </w:rPr>
              <w:t>Pastabų ir pasiūlymų įvertinimas</w:t>
            </w:r>
          </w:p>
        </w:tc>
      </w:tr>
      <w:tr w:rsidR="00FD1D5E" w:rsidRPr="00835D10" w:rsidTr="00614D4E">
        <w:tc>
          <w:tcPr>
            <w:tcW w:w="560" w:type="dxa"/>
          </w:tcPr>
          <w:p w:rsidR="00FD1D5E" w:rsidRPr="00E55D90" w:rsidRDefault="00FD1D5E" w:rsidP="002E6C10">
            <w:pPr>
              <w:autoSpaceDE w:val="0"/>
              <w:autoSpaceDN w:val="0"/>
              <w:adjustRightInd w:val="0"/>
              <w:spacing w:line="264" w:lineRule="auto"/>
              <w:rPr>
                <w:rFonts w:ascii="Times New Roman" w:hAnsi="Times New Roman" w:cs="Times New Roman"/>
                <w:bCs/>
                <w:sz w:val="24"/>
                <w:szCs w:val="24"/>
              </w:rPr>
            </w:pPr>
            <w:r w:rsidRPr="00E55D90">
              <w:rPr>
                <w:rFonts w:ascii="Times New Roman" w:hAnsi="Times New Roman" w:cs="Times New Roman"/>
                <w:bCs/>
                <w:sz w:val="24"/>
                <w:szCs w:val="24"/>
              </w:rPr>
              <w:t xml:space="preserve">1. </w:t>
            </w:r>
          </w:p>
        </w:tc>
        <w:tc>
          <w:tcPr>
            <w:tcW w:w="1635" w:type="dxa"/>
          </w:tcPr>
          <w:p w:rsidR="00FD1D5E" w:rsidRPr="00614D4E" w:rsidRDefault="00FD1D5E" w:rsidP="00614D4E">
            <w:pPr>
              <w:rPr>
                <w:rFonts w:ascii="Times New Roman" w:hAnsi="Times New Roman" w:cs="Times New Roman"/>
                <w:sz w:val="24"/>
                <w:szCs w:val="24"/>
              </w:rPr>
            </w:pPr>
            <w:r w:rsidRPr="00614D4E">
              <w:rPr>
                <w:rFonts w:ascii="Times New Roman" w:hAnsi="Times New Roman" w:cs="Times New Roman"/>
                <w:sz w:val="24"/>
                <w:szCs w:val="24"/>
              </w:rPr>
              <w:t>Lietuvos Respublikos ryšių reguliavimo tarnyba</w:t>
            </w:r>
          </w:p>
          <w:p w:rsidR="00FD1D5E" w:rsidRPr="00614D4E" w:rsidRDefault="00FD1D5E" w:rsidP="00614D4E">
            <w:pPr>
              <w:rPr>
                <w:rFonts w:ascii="Times New Roman" w:hAnsi="Times New Roman" w:cs="Times New Roman"/>
                <w:sz w:val="24"/>
                <w:szCs w:val="24"/>
              </w:rPr>
            </w:pPr>
            <w:r w:rsidRPr="00614D4E">
              <w:rPr>
                <w:rFonts w:ascii="Times New Roman" w:hAnsi="Times New Roman" w:cs="Times New Roman"/>
                <w:sz w:val="24"/>
                <w:szCs w:val="24"/>
              </w:rPr>
              <w:t>(2019-06-04 raštas Nr. (31.23)1B-1761</w:t>
            </w:r>
            <w:r w:rsidR="00FD3D85">
              <w:rPr>
                <w:rFonts w:ascii="Times New Roman" w:hAnsi="Times New Roman" w:cs="Times New Roman"/>
                <w:sz w:val="24"/>
                <w:szCs w:val="24"/>
              </w:rPr>
              <w:t>)</w:t>
            </w:r>
          </w:p>
        </w:tc>
        <w:tc>
          <w:tcPr>
            <w:tcW w:w="6164" w:type="dxa"/>
          </w:tcPr>
          <w:p w:rsidR="00FD1D5E" w:rsidRPr="00FD3D85" w:rsidRDefault="00FD3D85" w:rsidP="00FD3D85">
            <w:pPr>
              <w:tabs>
                <w:tab w:val="left" w:pos="449"/>
                <w:tab w:val="left" w:pos="669"/>
              </w:tabs>
              <w:spacing w:after="80"/>
              <w:jc w:val="both"/>
              <w:rPr>
                <w:rFonts w:ascii="Times New Roman" w:hAnsi="Times New Roman" w:cs="Times New Roman"/>
                <w:sz w:val="24"/>
                <w:szCs w:val="24"/>
              </w:rPr>
            </w:pPr>
            <w:r>
              <w:rPr>
                <w:rFonts w:ascii="Times New Roman" w:hAnsi="Times New Roman" w:cs="Times New Roman"/>
                <w:bCs/>
                <w:sz w:val="24"/>
                <w:szCs w:val="24"/>
              </w:rPr>
              <w:t xml:space="preserve">1. </w:t>
            </w:r>
            <w:r w:rsidR="00FD1D5E" w:rsidRPr="00FD3D85">
              <w:rPr>
                <w:rFonts w:ascii="Times New Roman" w:hAnsi="Times New Roman" w:cs="Times New Roman"/>
                <w:bCs/>
                <w:sz w:val="24"/>
                <w:szCs w:val="24"/>
              </w:rPr>
              <w:t>Dėl vertinimo kriterijaus P-1-2-3. RRT nuomone, svarstytinas šio kriterijaus tinkamumas. Pažymėtina, jog taikiai išspręstų vartojimo ginčų, išnagrinėtų ne teismo tvarka, dalis nepriklauso nuo institucijos, ne teismo tvarka nagrinėjančios vartojimo ginčus, veiksmų, t. y. neaišku, kokiu būdu institucija turėtų daryti įtaką tam, kad būtų pasiektas ne mažesnis nei nurodytas Programoje taikiai išspręstų vartojimo ginčų rodiklis, todėl toks kriterijus neturėtų būti taikomas Programos įgyvendinimo vertinimui.</w:t>
            </w:r>
          </w:p>
        </w:tc>
        <w:tc>
          <w:tcPr>
            <w:tcW w:w="6378" w:type="dxa"/>
          </w:tcPr>
          <w:p w:rsidR="005B20B0" w:rsidRDefault="006E7B10" w:rsidP="00FD3D85">
            <w:pPr>
              <w:jc w:val="both"/>
              <w:rPr>
                <w:rFonts w:ascii="Times New Roman" w:hAnsi="Times New Roman" w:cs="Times New Roman"/>
                <w:bCs/>
                <w:sz w:val="24"/>
                <w:szCs w:val="24"/>
              </w:rPr>
            </w:pPr>
            <w:r>
              <w:rPr>
                <w:rFonts w:ascii="Times New Roman" w:hAnsi="Times New Roman" w:cs="Times New Roman"/>
                <w:b/>
                <w:sz w:val="24"/>
                <w:szCs w:val="24"/>
              </w:rPr>
              <w:t>Neatsižvelgta.</w:t>
            </w:r>
            <w:r w:rsidRPr="00FD3D85">
              <w:rPr>
                <w:rFonts w:ascii="Times New Roman" w:hAnsi="Times New Roman" w:cs="Times New Roman"/>
                <w:sz w:val="24"/>
                <w:szCs w:val="24"/>
              </w:rPr>
              <w:t xml:space="preserve"> </w:t>
            </w:r>
            <w:r w:rsidR="00FD3D85" w:rsidRPr="00FD3D85">
              <w:rPr>
                <w:rFonts w:ascii="Times New Roman" w:hAnsi="Times New Roman" w:cs="Times New Roman"/>
                <w:sz w:val="24"/>
                <w:szCs w:val="24"/>
              </w:rPr>
              <w:t xml:space="preserve">Pagal </w:t>
            </w:r>
            <w:r w:rsidR="00FD3D85">
              <w:rPr>
                <w:rFonts w:ascii="Times New Roman" w:hAnsi="Times New Roman" w:cs="Times New Roman"/>
                <w:bCs/>
                <w:sz w:val="24"/>
                <w:szCs w:val="24"/>
              </w:rPr>
              <w:t>Lietuvos Resp</w:t>
            </w:r>
            <w:r w:rsidR="00FD3D85" w:rsidRPr="00FD3D85">
              <w:rPr>
                <w:rFonts w:ascii="Times New Roman" w:hAnsi="Times New Roman" w:cs="Times New Roman"/>
                <w:bCs/>
                <w:sz w:val="24"/>
                <w:szCs w:val="24"/>
              </w:rPr>
              <w:t>ublikos vartotojų teisių apsaugos įstatymo 25 straipsnio 9 dalį v</w:t>
            </w:r>
            <w:r w:rsidR="00FD3D85" w:rsidRPr="00FD3D85">
              <w:rPr>
                <w:rFonts w:ascii="Times New Roman" w:hAnsi="Times New Roman" w:cs="Times New Roman"/>
                <w:color w:val="000000"/>
                <w:sz w:val="24"/>
                <w:szCs w:val="24"/>
              </w:rPr>
              <w:t>artojimo ginčus nagrinėjanti institucija</w:t>
            </w:r>
            <w:r w:rsidR="00FD3D85">
              <w:rPr>
                <w:rFonts w:ascii="Times New Roman" w:hAnsi="Times New Roman" w:cs="Times New Roman"/>
                <w:color w:val="000000"/>
                <w:sz w:val="24"/>
                <w:szCs w:val="24"/>
              </w:rPr>
              <w:t>,</w:t>
            </w:r>
            <w:r w:rsidR="00FD3D85" w:rsidRPr="00FD3D85">
              <w:rPr>
                <w:rFonts w:ascii="Times New Roman" w:hAnsi="Times New Roman" w:cs="Times New Roman"/>
                <w:color w:val="000000"/>
                <w:sz w:val="24"/>
                <w:szCs w:val="24"/>
              </w:rPr>
              <w:t xml:space="preserve"> </w:t>
            </w:r>
            <w:r w:rsidR="00FD3D85">
              <w:rPr>
                <w:rFonts w:ascii="Times New Roman" w:hAnsi="Times New Roman" w:cs="Times New Roman"/>
                <w:color w:val="000000"/>
                <w:sz w:val="24"/>
                <w:szCs w:val="24"/>
              </w:rPr>
              <w:t xml:space="preserve">prieš nagrinėdama ginčą iš esmės, </w:t>
            </w:r>
            <w:r w:rsidR="00FD3D85" w:rsidRPr="00FD3D85">
              <w:rPr>
                <w:rFonts w:ascii="Times New Roman" w:hAnsi="Times New Roman" w:cs="Times New Roman"/>
                <w:color w:val="000000"/>
                <w:sz w:val="24"/>
                <w:szCs w:val="24"/>
              </w:rPr>
              <w:t>turi pareigą imtis priemonių vartotojui ir pardavėjui, paslaugų teikėjui sutaikinti.</w:t>
            </w:r>
            <w:r w:rsidR="00FD3D85">
              <w:rPr>
                <w:rFonts w:ascii="Times New Roman" w:hAnsi="Times New Roman" w:cs="Times New Roman"/>
                <w:color w:val="000000"/>
                <w:sz w:val="24"/>
                <w:szCs w:val="24"/>
              </w:rPr>
              <w:t xml:space="preserve"> Pažymėtina, kad t</w:t>
            </w:r>
            <w:r w:rsidR="005B20B0" w:rsidRPr="005B20B0">
              <w:rPr>
                <w:rFonts w:ascii="Times New Roman" w:hAnsi="Times New Roman" w:cs="Times New Roman"/>
                <w:bCs/>
                <w:sz w:val="24"/>
                <w:szCs w:val="24"/>
              </w:rPr>
              <w:t>aikiai išspręst</w:t>
            </w:r>
            <w:r w:rsidR="00FD3D85">
              <w:rPr>
                <w:rFonts w:ascii="Times New Roman" w:hAnsi="Times New Roman" w:cs="Times New Roman"/>
                <w:bCs/>
                <w:sz w:val="24"/>
                <w:szCs w:val="24"/>
              </w:rPr>
              <w:t>i</w:t>
            </w:r>
            <w:r w:rsidR="005B20B0" w:rsidRPr="005B20B0">
              <w:rPr>
                <w:rFonts w:ascii="Times New Roman" w:hAnsi="Times New Roman" w:cs="Times New Roman"/>
                <w:bCs/>
                <w:sz w:val="24"/>
                <w:szCs w:val="24"/>
              </w:rPr>
              <w:t xml:space="preserve"> vartojimo ginča</w:t>
            </w:r>
            <w:r w:rsidR="00FD3D85">
              <w:rPr>
                <w:rFonts w:ascii="Times New Roman" w:hAnsi="Times New Roman" w:cs="Times New Roman"/>
                <w:bCs/>
                <w:sz w:val="24"/>
                <w:szCs w:val="24"/>
              </w:rPr>
              <w:t>i</w:t>
            </w:r>
            <w:r w:rsidR="005B20B0" w:rsidRPr="005B20B0">
              <w:rPr>
                <w:rFonts w:ascii="Times New Roman" w:hAnsi="Times New Roman" w:cs="Times New Roman"/>
                <w:bCs/>
                <w:sz w:val="24"/>
                <w:szCs w:val="24"/>
              </w:rPr>
              <w:t xml:space="preserve"> sutaupo </w:t>
            </w:r>
            <w:r w:rsidR="00FD3D85">
              <w:rPr>
                <w:rFonts w:ascii="Times New Roman" w:hAnsi="Times New Roman" w:cs="Times New Roman"/>
                <w:bCs/>
                <w:sz w:val="24"/>
                <w:szCs w:val="24"/>
              </w:rPr>
              <w:t xml:space="preserve">ne tik ginčų šalių </w:t>
            </w:r>
            <w:r w:rsidR="005B20B0" w:rsidRPr="005B20B0">
              <w:rPr>
                <w:rFonts w:ascii="Times New Roman" w:hAnsi="Times New Roman" w:cs="Times New Roman"/>
                <w:bCs/>
                <w:sz w:val="24"/>
                <w:szCs w:val="24"/>
              </w:rPr>
              <w:t>laik</w:t>
            </w:r>
            <w:r w:rsidR="00FD3D85">
              <w:rPr>
                <w:rFonts w:ascii="Times New Roman" w:hAnsi="Times New Roman" w:cs="Times New Roman"/>
                <w:bCs/>
                <w:sz w:val="24"/>
                <w:szCs w:val="24"/>
              </w:rPr>
              <w:t>ą ir išteklius</w:t>
            </w:r>
            <w:r w:rsidR="005B20B0" w:rsidRPr="005B20B0">
              <w:rPr>
                <w:rFonts w:ascii="Times New Roman" w:hAnsi="Times New Roman" w:cs="Times New Roman"/>
                <w:bCs/>
                <w:sz w:val="24"/>
                <w:szCs w:val="24"/>
              </w:rPr>
              <w:t xml:space="preserve">, </w:t>
            </w:r>
            <w:r w:rsidR="00FD3D85">
              <w:rPr>
                <w:rFonts w:ascii="Times New Roman" w:hAnsi="Times New Roman" w:cs="Times New Roman"/>
                <w:bCs/>
                <w:sz w:val="24"/>
                <w:szCs w:val="24"/>
              </w:rPr>
              <w:t>bet ir užtikrina racionalų bei efektyvų vartojimo ginčus nagrinėjančių institucijų išteklių naudojimą.</w:t>
            </w:r>
            <w:r w:rsidR="005B20B0" w:rsidRPr="005B20B0">
              <w:rPr>
                <w:rFonts w:ascii="Times New Roman" w:hAnsi="Times New Roman" w:cs="Times New Roman"/>
                <w:bCs/>
                <w:sz w:val="24"/>
                <w:szCs w:val="24"/>
              </w:rPr>
              <w:t xml:space="preserve"> </w:t>
            </w:r>
          </w:p>
          <w:p w:rsidR="00937A4B" w:rsidRDefault="00FD3D85" w:rsidP="00FD3D85">
            <w:pPr>
              <w:jc w:val="both"/>
              <w:rPr>
                <w:rFonts w:ascii="Times New Roman" w:hAnsi="Times New Roman" w:cs="Times New Roman"/>
                <w:sz w:val="24"/>
                <w:szCs w:val="24"/>
              </w:rPr>
            </w:pPr>
            <w:r>
              <w:rPr>
                <w:rFonts w:ascii="Times New Roman" w:hAnsi="Times New Roman" w:cs="Times New Roman"/>
                <w:bCs/>
                <w:sz w:val="24"/>
                <w:szCs w:val="24"/>
              </w:rPr>
              <w:t>Be to, atkreiptinas dėmesys į tai, kad v</w:t>
            </w:r>
            <w:r w:rsidR="007D5AB7">
              <w:rPr>
                <w:rFonts w:ascii="Times New Roman" w:hAnsi="Times New Roman" w:cs="Times New Roman"/>
                <w:bCs/>
                <w:sz w:val="24"/>
                <w:szCs w:val="24"/>
              </w:rPr>
              <w:t>ertinimo kriterija</w:t>
            </w:r>
            <w:r w:rsidR="00FD1D5E" w:rsidRPr="007D5AB7">
              <w:rPr>
                <w:rFonts w:ascii="Times New Roman" w:hAnsi="Times New Roman" w:cs="Times New Roman"/>
                <w:bCs/>
                <w:sz w:val="24"/>
                <w:szCs w:val="24"/>
              </w:rPr>
              <w:t>us P-1-2-3</w:t>
            </w:r>
            <w:r w:rsidR="007D5AB7">
              <w:rPr>
                <w:rFonts w:ascii="Times New Roman" w:hAnsi="Times New Roman" w:cs="Times New Roman"/>
                <w:bCs/>
                <w:sz w:val="24"/>
                <w:szCs w:val="24"/>
              </w:rPr>
              <w:t xml:space="preserve"> „</w:t>
            </w:r>
            <w:r w:rsidR="007D5AB7" w:rsidRPr="007D5AB7">
              <w:rPr>
                <w:rFonts w:ascii="Times New Roman" w:hAnsi="Times New Roman" w:cs="Times New Roman"/>
                <w:bCs/>
                <w:sz w:val="24"/>
                <w:szCs w:val="24"/>
              </w:rPr>
              <w:t>Taikiai išspręstų vartojimo ginčų, išnagrinėtų ne teismo tvarka, dalis, proc.</w:t>
            </w:r>
            <w:r w:rsidR="007D5AB7">
              <w:rPr>
                <w:rFonts w:ascii="Times New Roman" w:hAnsi="Times New Roman" w:cs="Times New Roman"/>
                <w:bCs/>
                <w:sz w:val="24"/>
                <w:szCs w:val="24"/>
              </w:rPr>
              <w:t xml:space="preserve">“ reikšmė </w:t>
            </w:r>
            <w:r w:rsidR="00937A4B">
              <w:rPr>
                <w:rFonts w:ascii="Times New Roman" w:hAnsi="Times New Roman" w:cs="Times New Roman"/>
                <w:sz w:val="24"/>
                <w:szCs w:val="24"/>
              </w:rPr>
              <w:t xml:space="preserve">bus </w:t>
            </w:r>
            <w:r w:rsidR="007D5AB7">
              <w:rPr>
                <w:rFonts w:ascii="Times New Roman" w:hAnsi="Times New Roman" w:cs="Times New Roman"/>
                <w:sz w:val="24"/>
                <w:szCs w:val="24"/>
              </w:rPr>
              <w:t>skaičiuojama</w:t>
            </w:r>
            <w:r w:rsidR="00FD1D5E">
              <w:rPr>
                <w:rFonts w:ascii="Times New Roman" w:hAnsi="Times New Roman" w:cs="Times New Roman"/>
                <w:sz w:val="24"/>
                <w:szCs w:val="24"/>
              </w:rPr>
              <w:t xml:space="preserve"> </w:t>
            </w:r>
            <w:r>
              <w:rPr>
                <w:rFonts w:ascii="Times New Roman" w:hAnsi="Times New Roman" w:cs="Times New Roman"/>
                <w:sz w:val="24"/>
                <w:szCs w:val="24"/>
              </w:rPr>
              <w:t>nuo</w:t>
            </w:r>
            <w:r w:rsidR="007D5AB7">
              <w:rPr>
                <w:rFonts w:ascii="Times New Roman" w:hAnsi="Times New Roman" w:cs="Times New Roman"/>
                <w:sz w:val="24"/>
                <w:szCs w:val="24"/>
              </w:rPr>
              <w:t xml:space="preserve"> </w:t>
            </w:r>
            <w:r w:rsidR="00614D4E">
              <w:rPr>
                <w:rFonts w:ascii="Times New Roman" w:hAnsi="Times New Roman" w:cs="Times New Roman"/>
                <w:sz w:val="24"/>
                <w:szCs w:val="24"/>
              </w:rPr>
              <w:t>visų vartojimo ginčus nagrinėjančių institucijų taikiai išspręstų vartojimo ginčų</w:t>
            </w:r>
            <w:r w:rsidR="00937A4B">
              <w:rPr>
                <w:rFonts w:ascii="Times New Roman" w:hAnsi="Times New Roman" w:cs="Times New Roman"/>
                <w:sz w:val="24"/>
                <w:szCs w:val="24"/>
              </w:rPr>
              <w:t xml:space="preserve">. </w:t>
            </w:r>
          </w:p>
          <w:p w:rsidR="00796EC9" w:rsidRPr="00E55D90" w:rsidRDefault="00796EC9" w:rsidP="00FD3D85">
            <w:pPr>
              <w:jc w:val="both"/>
              <w:rPr>
                <w:rFonts w:ascii="Times New Roman" w:hAnsi="Times New Roman" w:cs="Times New Roman"/>
                <w:sz w:val="24"/>
                <w:szCs w:val="24"/>
              </w:rPr>
            </w:pPr>
            <w:bookmarkStart w:id="1" w:name="_GoBack"/>
            <w:bookmarkEnd w:id="1"/>
            <w:r>
              <w:rPr>
                <w:rFonts w:ascii="Times New Roman" w:hAnsi="Times New Roman" w:cs="Times New Roman"/>
                <w:sz w:val="24"/>
                <w:szCs w:val="24"/>
              </w:rPr>
              <w:t>P</w:t>
            </w:r>
            <w:r w:rsidRPr="00796EC9">
              <w:rPr>
                <w:rFonts w:ascii="Times New Roman" w:hAnsi="Times New Roman" w:cs="Times New Roman"/>
                <w:sz w:val="24"/>
                <w:szCs w:val="24"/>
              </w:rPr>
              <w:t>ažymėtina, kad nėra pasiūlytas joks kitas alternatyvus vertinimo kriterijus, susijęs su vartojimo ginčų neteisminio sprendimo efektyvumu.</w:t>
            </w:r>
          </w:p>
        </w:tc>
      </w:tr>
      <w:tr w:rsidR="006E7B10" w:rsidRPr="00835D10" w:rsidTr="00614D4E">
        <w:tc>
          <w:tcPr>
            <w:tcW w:w="560" w:type="dxa"/>
          </w:tcPr>
          <w:p w:rsidR="006E7B10" w:rsidRPr="00E55D90" w:rsidRDefault="006E7B10" w:rsidP="002E6C10">
            <w:pPr>
              <w:autoSpaceDE w:val="0"/>
              <w:autoSpaceDN w:val="0"/>
              <w:adjustRightInd w:val="0"/>
              <w:spacing w:line="264" w:lineRule="auto"/>
              <w:rPr>
                <w:rFonts w:ascii="Times New Roman" w:hAnsi="Times New Roman" w:cs="Times New Roman"/>
                <w:bCs/>
                <w:sz w:val="24"/>
                <w:szCs w:val="24"/>
              </w:rPr>
            </w:pPr>
          </w:p>
        </w:tc>
        <w:tc>
          <w:tcPr>
            <w:tcW w:w="1635" w:type="dxa"/>
          </w:tcPr>
          <w:p w:rsidR="006E7B10" w:rsidRPr="00614D4E" w:rsidRDefault="006E7B10" w:rsidP="00614D4E">
            <w:pPr>
              <w:rPr>
                <w:rFonts w:ascii="Times New Roman" w:hAnsi="Times New Roman" w:cs="Times New Roman"/>
                <w:sz w:val="24"/>
                <w:szCs w:val="24"/>
              </w:rPr>
            </w:pPr>
          </w:p>
        </w:tc>
        <w:tc>
          <w:tcPr>
            <w:tcW w:w="6164" w:type="dxa"/>
          </w:tcPr>
          <w:p w:rsidR="006E7B10" w:rsidRPr="006E7B10" w:rsidRDefault="006E7B10" w:rsidP="006E7B10">
            <w:pPr>
              <w:tabs>
                <w:tab w:val="left" w:pos="449"/>
                <w:tab w:val="left" w:pos="669"/>
              </w:tabs>
              <w:spacing w:after="80"/>
              <w:jc w:val="both"/>
              <w:rPr>
                <w:rFonts w:ascii="Times New Roman" w:hAnsi="Times New Roman" w:cs="Times New Roman"/>
                <w:bCs/>
                <w:sz w:val="24"/>
                <w:szCs w:val="24"/>
              </w:rPr>
            </w:pPr>
            <w:r w:rsidRPr="006E7B10">
              <w:rPr>
                <w:rFonts w:ascii="Times New Roman" w:hAnsi="Times New Roman" w:cs="Times New Roman"/>
                <w:bCs/>
                <w:sz w:val="24"/>
                <w:szCs w:val="24"/>
              </w:rPr>
              <w:t>3. Dėl vertinimo kriterijaus P-1-3-1. RRT nenumato vykdyti tarptautinių bendradarbiavimo projektų dėl vartotojų teisių apsaugos, todėl prašome grafoje „Už kriterijaus įgyvendinimą atsakinga institucija“ išbraukti „Ryšių reguliavimo tarnyba“.</w:t>
            </w:r>
          </w:p>
        </w:tc>
        <w:tc>
          <w:tcPr>
            <w:tcW w:w="6378" w:type="dxa"/>
          </w:tcPr>
          <w:p w:rsidR="006E7B10" w:rsidRPr="00FD1D5E" w:rsidRDefault="006E7B10" w:rsidP="00DA55D5">
            <w:pPr>
              <w:jc w:val="both"/>
              <w:rPr>
                <w:rFonts w:ascii="Times New Roman" w:hAnsi="Times New Roman" w:cs="Times New Roman"/>
                <w:b/>
                <w:sz w:val="24"/>
                <w:szCs w:val="24"/>
              </w:rPr>
            </w:pPr>
            <w:r>
              <w:rPr>
                <w:rFonts w:ascii="Times New Roman" w:hAnsi="Times New Roman" w:cs="Times New Roman"/>
                <w:b/>
                <w:sz w:val="24"/>
                <w:szCs w:val="24"/>
              </w:rPr>
              <w:t xml:space="preserve">Neatsižvelgta. </w:t>
            </w:r>
            <w:r w:rsidR="009475E6" w:rsidRPr="009475E6">
              <w:rPr>
                <w:rFonts w:ascii="Times New Roman" w:hAnsi="Times New Roman" w:cs="Times New Roman"/>
                <w:sz w:val="24"/>
                <w:szCs w:val="24"/>
              </w:rPr>
              <w:t xml:space="preserve">Programa yra </w:t>
            </w:r>
            <w:r w:rsidR="00DA55D5">
              <w:rPr>
                <w:rFonts w:ascii="Times New Roman" w:hAnsi="Times New Roman" w:cs="Times New Roman"/>
                <w:sz w:val="24"/>
                <w:szCs w:val="24"/>
              </w:rPr>
              <w:t xml:space="preserve">vidutinės trukmės </w:t>
            </w:r>
            <w:r w:rsidR="009475E6" w:rsidRPr="009475E6">
              <w:rPr>
                <w:rFonts w:ascii="Times New Roman" w:hAnsi="Times New Roman" w:cs="Times New Roman"/>
                <w:sz w:val="24"/>
                <w:szCs w:val="24"/>
              </w:rPr>
              <w:t>strateginio planavimo dokumentas</w:t>
            </w:r>
            <w:r w:rsidR="009475E6">
              <w:rPr>
                <w:rFonts w:ascii="Times New Roman" w:hAnsi="Times New Roman" w:cs="Times New Roman"/>
                <w:sz w:val="24"/>
                <w:szCs w:val="24"/>
              </w:rPr>
              <w:t xml:space="preserve">, </w:t>
            </w:r>
            <w:r w:rsidR="00DA55D5">
              <w:rPr>
                <w:rFonts w:ascii="Times New Roman" w:hAnsi="Times New Roman" w:cs="Times New Roman"/>
                <w:sz w:val="24"/>
                <w:szCs w:val="24"/>
              </w:rPr>
              <w:t xml:space="preserve">apimantis 2019–2027 m. laikotarpį, todėl ja siekiama apimti ir tas veiklas, kurių </w:t>
            </w:r>
            <w:r w:rsidR="009475E6">
              <w:rPr>
                <w:rFonts w:ascii="Times New Roman" w:hAnsi="Times New Roman" w:cs="Times New Roman"/>
                <w:sz w:val="24"/>
                <w:szCs w:val="24"/>
              </w:rPr>
              <w:t xml:space="preserve">šiuo metu institucijos </w:t>
            </w:r>
            <w:r w:rsidR="00DA55D5">
              <w:rPr>
                <w:rFonts w:ascii="Times New Roman" w:hAnsi="Times New Roman" w:cs="Times New Roman"/>
                <w:sz w:val="24"/>
                <w:szCs w:val="24"/>
              </w:rPr>
              <w:t xml:space="preserve">dar nėra detaliai </w:t>
            </w:r>
            <w:r w:rsidR="009475E6">
              <w:rPr>
                <w:rFonts w:ascii="Times New Roman" w:hAnsi="Times New Roman" w:cs="Times New Roman"/>
                <w:sz w:val="24"/>
                <w:szCs w:val="24"/>
              </w:rPr>
              <w:t xml:space="preserve">suplanavusios. </w:t>
            </w:r>
            <w:r w:rsidR="00DA55D5">
              <w:rPr>
                <w:rFonts w:ascii="Times New Roman" w:hAnsi="Times New Roman" w:cs="Times New Roman"/>
                <w:sz w:val="24"/>
                <w:szCs w:val="24"/>
              </w:rPr>
              <w:t>Pagal v</w:t>
            </w:r>
            <w:r w:rsidRPr="006E7B10">
              <w:rPr>
                <w:rFonts w:ascii="Times New Roman" w:hAnsi="Times New Roman" w:cs="Times New Roman"/>
                <w:sz w:val="24"/>
                <w:szCs w:val="24"/>
              </w:rPr>
              <w:t>ertinimo kriterij</w:t>
            </w:r>
            <w:r w:rsidR="00DA55D5">
              <w:rPr>
                <w:rFonts w:ascii="Times New Roman" w:hAnsi="Times New Roman" w:cs="Times New Roman"/>
                <w:sz w:val="24"/>
                <w:szCs w:val="24"/>
              </w:rPr>
              <w:t>ų</w:t>
            </w:r>
            <w:r w:rsidRPr="006E7B10">
              <w:rPr>
                <w:rFonts w:ascii="Times New Roman" w:hAnsi="Times New Roman" w:cs="Times New Roman"/>
                <w:sz w:val="24"/>
                <w:szCs w:val="24"/>
              </w:rPr>
              <w:t xml:space="preserve"> P-1-3-1 „Tarptautinių bendradarbiavimo projektų dėl vartotojų teisių apsaugos, kuriuose dalyva</w:t>
            </w:r>
            <w:r w:rsidRPr="00DA55D5">
              <w:rPr>
                <w:rFonts w:ascii="Times New Roman" w:hAnsi="Times New Roman" w:cs="Times New Roman"/>
                <w:sz w:val="24"/>
                <w:szCs w:val="24"/>
              </w:rPr>
              <w:t xml:space="preserve">uja Lietuvos institucijos, skaičius, vnt.“ bus skaičiuojamas </w:t>
            </w:r>
            <w:r w:rsidR="009475E6" w:rsidRPr="00DA55D5">
              <w:rPr>
                <w:rFonts w:ascii="Times New Roman" w:hAnsi="Times New Roman" w:cs="Times New Roman"/>
                <w:sz w:val="24"/>
                <w:szCs w:val="24"/>
              </w:rPr>
              <w:t>bendr</w:t>
            </w:r>
            <w:r w:rsidR="00DA55D5">
              <w:rPr>
                <w:rFonts w:ascii="Times New Roman" w:hAnsi="Times New Roman" w:cs="Times New Roman"/>
                <w:sz w:val="24"/>
                <w:szCs w:val="24"/>
              </w:rPr>
              <w:t>as</w:t>
            </w:r>
            <w:r w:rsidR="009475E6" w:rsidRPr="00DA55D5">
              <w:rPr>
                <w:rFonts w:ascii="Times New Roman" w:hAnsi="Times New Roman" w:cs="Times New Roman"/>
                <w:sz w:val="24"/>
                <w:szCs w:val="24"/>
              </w:rPr>
              <w:t xml:space="preserve"> </w:t>
            </w:r>
            <w:r w:rsidR="00DA55D5" w:rsidRPr="00DA55D5">
              <w:rPr>
                <w:rFonts w:ascii="Times New Roman" w:hAnsi="Times New Roman" w:cs="Times New Roman"/>
                <w:sz w:val="24"/>
                <w:szCs w:val="24"/>
              </w:rPr>
              <w:t>nurodytų atsakingų institucijų vykdomų t</w:t>
            </w:r>
            <w:r w:rsidR="00DA55D5" w:rsidRPr="00DA55D5">
              <w:rPr>
                <w:rFonts w:ascii="Times New Roman" w:hAnsi="Times New Roman" w:cs="Times New Roman"/>
                <w:sz w:val="24"/>
                <w:szCs w:val="24"/>
                <w:lang w:eastAsia="lt-LT"/>
              </w:rPr>
              <w:t xml:space="preserve">arptautinių bendradarbiavimo </w:t>
            </w:r>
            <w:r w:rsidR="00DA55D5">
              <w:rPr>
                <w:rFonts w:ascii="Times New Roman" w:hAnsi="Times New Roman" w:cs="Times New Roman"/>
                <w:sz w:val="24"/>
                <w:szCs w:val="24"/>
              </w:rPr>
              <w:t>projektų skaičius</w:t>
            </w:r>
            <w:r w:rsidR="009475E6" w:rsidRPr="00DA55D5">
              <w:rPr>
                <w:rFonts w:ascii="Times New Roman" w:hAnsi="Times New Roman" w:cs="Times New Roman"/>
                <w:sz w:val="24"/>
                <w:szCs w:val="24"/>
              </w:rPr>
              <w:t>, o ne kiekvienos institucijos</w:t>
            </w:r>
            <w:r w:rsidR="009475E6">
              <w:rPr>
                <w:rFonts w:ascii="Times New Roman" w:hAnsi="Times New Roman" w:cs="Times New Roman"/>
                <w:sz w:val="24"/>
                <w:szCs w:val="24"/>
              </w:rPr>
              <w:t xml:space="preserve"> atskirai.</w:t>
            </w:r>
          </w:p>
        </w:tc>
      </w:tr>
      <w:tr w:rsidR="00614D4E" w:rsidRPr="00835D10" w:rsidTr="00614D4E">
        <w:tc>
          <w:tcPr>
            <w:tcW w:w="560" w:type="dxa"/>
          </w:tcPr>
          <w:p w:rsidR="00614D4E" w:rsidRPr="00E55D90" w:rsidRDefault="00614D4E" w:rsidP="002E6C10">
            <w:pPr>
              <w:autoSpaceDE w:val="0"/>
              <w:autoSpaceDN w:val="0"/>
              <w:adjustRightInd w:val="0"/>
              <w:spacing w:line="264" w:lineRule="auto"/>
              <w:rPr>
                <w:rFonts w:ascii="Times New Roman" w:hAnsi="Times New Roman" w:cs="Times New Roman"/>
                <w:bCs/>
                <w:sz w:val="24"/>
                <w:szCs w:val="24"/>
              </w:rPr>
            </w:pPr>
            <w:r>
              <w:rPr>
                <w:rFonts w:ascii="Times New Roman" w:hAnsi="Times New Roman" w:cs="Times New Roman"/>
                <w:bCs/>
                <w:sz w:val="24"/>
                <w:szCs w:val="24"/>
              </w:rPr>
              <w:lastRenderedPageBreak/>
              <w:t>2.</w:t>
            </w:r>
          </w:p>
        </w:tc>
        <w:tc>
          <w:tcPr>
            <w:tcW w:w="1635" w:type="dxa"/>
          </w:tcPr>
          <w:p w:rsidR="00614D4E" w:rsidRPr="00614D4E" w:rsidRDefault="00614D4E" w:rsidP="00614D4E">
            <w:pPr>
              <w:rPr>
                <w:rFonts w:ascii="Times New Roman" w:hAnsi="Times New Roman" w:cs="Times New Roman"/>
                <w:sz w:val="24"/>
                <w:szCs w:val="24"/>
              </w:rPr>
            </w:pPr>
            <w:r w:rsidRPr="00614D4E">
              <w:rPr>
                <w:rFonts w:ascii="Times New Roman" w:hAnsi="Times New Roman" w:cs="Times New Roman"/>
                <w:sz w:val="24"/>
                <w:szCs w:val="24"/>
              </w:rPr>
              <w:t>Lietuvos bankas</w:t>
            </w:r>
          </w:p>
          <w:p w:rsidR="00614D4E" w:rsidRPr="00614D4E" w:rsidRDefault="00614D4E" w:rsidP="00FD3D85">
            <w:pPr>
              <w:rPr>
                <w:rFonts w:ascii="Times New Roman" w:hAnsi="Times New Roman" w:cs="Times New Roman"/>
                <w:sz w:val="24"/>
                <w:szCs w:val="24"/>
              </w:rPr>
            </w:pPr>
            <w:r w:rsidRPr="00614D4E">
              <w:rPr>
                <w:rFonts w:ascii="Times New Roman" w:hAnsi="Times New Roman" w:cs="Times New Roman"/>
                <w:sz w:val="24"/>
                <w:szCs w:val="24"/>
              </w:rPr>
              <w:t>(2019-06-04 raštas Nr. S 2019/21.4.E-2101-12-2979</w:t>
            </w:r>
            <w:r w:rsidR="00FD3D85">
              <w:rPr>
                <w:rFonts w:ascii="Times New Roman" w:hAnsi="Times New Roman" w:cs="Times New Roman"/>
                <w:sz w:val="24"/>
                <w:szCs w:val="24"/>
              </w:rPr>
              <w:t>)</w:t>
            </w:r>
          </w:p>
        </w:tc>
        <w:tc>
          <w:tcPr>
            <w:tcW w:w="6164" w:type="dxa"/>
          </w:tcPr>
          <w:p w:rsidR="00846126" w:rsidRDefault="00614D4E" w:rsidP="00846126">
            <w:pPr>
              <w:widowControl w:val="0"/>
              <w:tabs>
                <w:tab w:val="left" w:pos="851"/>
              </w:tabs>
              <w:autoSpaceDE w:val="0"/>
              <w:autoSpaceDN w:val="0"/>
              <w:adjustRightInd w:val="0"/>
              <w:jc w:val="both"/>
              <w:rPr>
                <w:rFonts w:ascii="Times New Roman" w:hAnsi="Times New Roman" w:cs="Times New Roman"/>
                <w:bCs/>
                <w:sz w:val="24"/>
                <w:szCs w:val="24"/>
              </w:rPr>
            </w:pPr>
            <w:r w:rsidRPr="00846126">
              <w:rPr>
                <w:rFonts w:ascii="Times New Roman" w:hAnsi="Times New Roman" w:cs="Times New Roman"/>
                <w:bCs/>
                <w:sz w:val="24"/>
                <w:szCs w:val="24"/>
              </w:rPr>
              <w:t xml:space="preserve">Dėl Programos priedo priemonės Nr. P-1-2-3 (Taikiai išspręstų vartojimo ginčų, išnagrinėtų ne teismo tvarka, dalis, proc.). </w:t>
            </w:r>
          </w:p>
          <w:p w:rsidR="00614D4E" w:rsidRPr="00614D4E" w:rsidRDefault="00614D4E" w:rsidP="00A15AE3">
            <w:pPr>
              <w:widowControl w:val="0"/>
              <w:tabs>
                <w:tab w:val="left" w:pos="851"/>
              </w:tabs>
              <w:autoSpaceDE w:val="0"/>
              <w:autoSpaceDN w:val="0"/>
              <w:adjustRightInd w:val="0"/>
              <w:jc w:val="both"/>
              <w:rPr>
                <w:rFonts w:ascii="Times New Roman" w:hAnsi="Times New Roman" w:cs="Times New Roman"/>
                <w:sz w:val="24"/>
                <w:szCs w:val="24"/>
              </w:rPr>
            </w:pPr>
            <w:r w:rsidRPr="00614D4E">
              <w:rPr>
                <w:rFonts w:ascii="Times New Roman" w:hAnsi="Times New Roman" w:cs="Times New Roman"/>
                <w:sz w:val="24"/>
                <w:szCs w:val="24"/>
              </w:rPr>
              <w:t>Siūlytume išbraukti Lietuvos banką iš</w:t>
            </w:r>
            <w:r w:rsidRPr="00614D4E">
              <w:rPr>
                <w:rFonts w:ascii="Times New Roman" w:hAnsi="Times New Roman" w:cs="Times New Roman"/>
                <w:b/>
                <w:bCs/>
                <w:sz w:val="24"/>
                <w:szCs w:val="24"/>
              </w:rPr>
              <w:t xml:space="preserve"> </w:t>
            </w:r>
            <w:r w:rsidRPr="00614D4E">
              <w:rPr>
                <w:rFonts w:ascii="Times New Roman" w:hAnsi="Times New Roman" w:cs="Times New Roman"/>
                <w:sz w:val="24"/>
                <w:szCs w:val="24"/>
              </w:rPr>
              <w:t>priemonės Nr. P-1-2-3, kadangi dėl finansinių paslaugų sudėtingumo ir ginčų dėl jų nagrinėjimo specifikos minėtoje priemonėje nurodytas vertinimo kriterijus nėra tinkamas ir visa apimtimi pritaikomas.</w:t>
            </w:r>
            <w:r w:rsidR="00A15AE3">
              <w:rPr>
                <w:rFonts w:ascii="Times New Roman" w:hAnsi="Times New Roman" w:cs="Times New Roman"/>
                <w:sz w:val="24"/>
                <w:szCs w:val="24"/>
              </w:rPr>
              <w:t xml:space="preserve"> </w:t>
            </w:r>
            <w:r w:rsidRPr="00614D4E">
              <w:rPr>
                <w:rFonts w:ascii="Times New Roman" w:hAnsi="Times New Roman" w:cs="Times New Roman"/>
                <w:sz w:val="24"/>
                <w:szCs w:val="24"/>
              </w:rPr>
              <w:t>Pagal 2018 m. neteisminio ginčų nagrinėjimo Lietuvos banke statistiką praeitais metais buvo pasiekta 16 proc. taikių susitarimų (85 taikūs susitarimai iš 535 išnagrinėtų ginčų), o 2017 m. – 15 proc. (76 taikūs susitarimai iš 506 išnagrinėtų ginčų).</w:t>
            </w:r>
          </w:p>
          <w:p w:rsidR="00614D4E" w:rsidRPr="00614D4E" w:rsidRDefault="00614D4E" w:rsidP="00846126">
            <w:pPr>
              <w:tabs>
                <w:tab w:val="left" w:pos="851"/>
              </w:tabs>
              <w:jc w:val="both"/>
              <w:rPr>
                <w:rFonts w:ascii="Times New Roman" w:hAnsi="Times New Roman" w:cs="Times New Roman"/>
                <w:sz w:val="24"/>
                <w:szCs w:val="24"/>
              </w:rPr>
            </w:pPr>
            <w:r w:rsidRPr="00614D4E">
              <w:rPr>
                <w:rFonts w:ascii="Times New Roman" w:hAnsi="Times New Roman" w:cs="Times New Roman"/>
                <w:sz w:val="24"/>
                <w:szCs w:val="24"/>
              </w:rPr>
              <w:t xml:space="preserve">Pažymime, kad Lietuvos bankas nagrinėdamas finansinių paslaugų vartotojų ginčus ne teismo tvarka visada pirmiausia siekia, kad ginčas būtų sprendžiamas taikiai. Dar daugiau, taikaus ginčų sprendimo skaičiaus didinimo Lietuvos bankas siekia ir reguliariai organizuodamas prevencinio pobūdžio susitikimus su finansų rinkos dalyviais (FRD), kuriuose aptariamos dažniausiai kylančių ginčų situacijos ir rinkai pateikiamas tokių ginčo situacijų išankstinis Lietuvos banko vertinimas. FRD visada pabrėžiame, kad jie turėtų siekti taikiai išspręsti kilusį ginčą dar iki vartotojui kreipiantis į Lietuvos banką, o pagrįstus vartotojų reikalavimus rekomenduojame tenkinti, kad vartotojui kreiptis į Lietuvos banką nebūtų poreikio. Taigi dalis pagrįstų vartotojų reikalavimų patenkinami dar iki jiems kreipiantis į Lietuvos banką, todėl tokie atvejai Lietuvos banko statistikoje neatsispindi. </w:t>
            </w:r>
          </w:p>
          <w:p w:rsidR="00614D4E" w:rsidRPr="00614D4E" w:rsidRDefault="00614D4E" w:rsidP="00846126">
            <w:pPr>
              <w:tabs>
                <w:tab w:val="left" w:pos="851"/>
              </w:tabs>
              <w:jc w:val="both"/>
              <w:rPr>
                <w:rFonts w:ascii="Times New Roman" w:hAnsi="Times New Roman" w:cs="Times New Roman"/>
                <w:sz w:val="24"/>
                <w:szCs w:val="24"/>
              </w:rPr>
            </w:pPr>
            <w:r w:rsidRPr="00614D4E">
              <w:rPr>
                <w:rFonts w:ascii="Times New Roman" w:hAnsi="Times New Roman" w:cs="Times New Roman"/>
                <w:sz w:val="24"/>
                <w:szCs w:val="24"/>
              </w:rPr>
              <w:t xml:space="preserve">Kaip tokių veiksmų rezultatą matome, kad mažėja tam tikro pobūdžio ginčų, kurių atvejais buvo pateikta Lietuvos banko pozicija dėl panašių ginčų situacijų vertinimo, taip pat, kad rinkos dalyviai linkę su vartotojais kilusią problemą išspręsti iki vartotojui kreipiantis į Lietuvos banką. </w:t>
            </w:r>
          </w:p>
          <w:p w:rsidR="00614D4E" w:rsidRPr="00614D4E" w:rsidRDefault="00614D4E" w:rsidP="00846126">
            <w:pPr>
              <w:tabs>
                <w:tab w:val="left" w:pos="851"/>
              </w:tabs>
              <w:jc w:val="both"/>
              <w:rPr>
                <w:rFonts w:ascii="Times New Roman" w:hAnsi="Times New Roman" w:cs="Times New Roman"/>
                <w:bCs/>
                <w:sz w:val="24"/>
                <w:szCs w:val="24"/>
              </w:rPr>
            </w:pPr>
            <w:r w:rsidRPr="00614D4E">
              <w:rPr>
                <w:rFonts w:ascii="Times New Roman" w:hAnsi="Times New Roman" w:cs="Times New Roman"/>
                <w:sz w:val="24"/>
                <w:szCs w:val="24"/>
              </w:rPr>
              <w:t xml:space="preserve">Pažymėtina, kad pagal 2018 m. neteisminio ginčų nagrinėjimo Lietuvos banke statistinius duomenis </w:t>
            </w:r>
            <w:r w:rsidRPr="00614D4E">
              <w:rPr>
                <w:rFonts w:ascii="Times New Roman" w:hAnsi="Times New Roman" w:cs="Times New Roman"/>
                <w:color w:val="000000"/>
                <w:sz w:val="24"/>
                <w:szCs w:val="24"/>
              </w:rPr>
              <w:t xml:space="preserve">visiškai arba iš dalies </w:t>
            </w:r>
            <w:r w:rsidRPr="00614D4E">
              <w:rPr>
                <w:rFonts w:ascii="Times New Roman" w:hAnsi="Times New Roman" w:cs="Times New Roman"/>
                <w:color w:val="000000"/>
                <w:sz w:val="24"/>
                <w:szCs w:val="24"/>
              </w:rPr>
              <w:lastRenderedPageBreak/>
              <w:t>buvo patenkinta 35 proc. vartotojų reikalavimų, priimant sprendimus dėl ginčų esmės</w:t>
            </w:r>
            <w:r w:rsidRPr="00614D4E">
              <w:rPr>
                <w:rFonts w:ascii="Times New Roman" w:hAnsi="Times New Roman" w:cs="Times New Roman"/>
                <w:sz w:val="24"/>
                <w:szCs w:val="24"/>
              </w:rPr>
              <w:t xml:space="preserve">. Kaip minėta, dėl 16 proc. ginčų FRD ir vartotojai susitarė taikiai, taigi 51 proc. vartotojų reikalavimų buvo pagrįsti ar iš dalies pagrįsti, o likę – nepagrįsti. Atsižvelgiant į tai, siekis reikšmingai didinti taikiai išspręstų vartotojų ginčų dalį finansinių paslaugų ginčų nagrinėjimo srityje galėtų reikšti, kad FRD būtų skatinami tenkinti ir nepagrįstus vartotojų reikalavimus. </w:t>
            </w:r>
          </w:p>
        </w:tc>
        <w:tc>
          <w:tcPr>
            <w:tcW w:w="6378" w:type="dxa"/>
          </w:tcPr>
          <w:p w:rsidR="00614D4E" w:rsidRDefault="00614D4E" w:rsidP="009475E6">
            <w:pPr>
              <w:jc w:val="both"/>
              <w:rPr>
                <w:rFonts w:ascii="Times New Roman" w:hAnsi="Times New Roman" w:cs="Times New Roman"/>
                <w:b/>
                <w:sz w:val="24"/>
                <w:szCs w:val="24"/>
              </w:rPr>
            </w:pPr>
            <w:r>
              <w:rPr>
                <w:rFonts w:ascii="Times New Roman" w:hAnsi="Times New Roman" w:cs="Times New Roman"/>
                <w:b/>
                <w:sz w:val="24"/>
                <w:szCs w:val="24"/>
              </w:rPr>
              <w:lastRenderedPageBreak/>
              <w:t>Neatsižvelgta.</w:t>
            </w:r>
          </w:p>
          <w:p w:rsidR="00A15AE3" w:rsidRDefault="00A15AE3" w:rsidP="00A15AE3">
            <w:pPr>
              <w:jc w:val="both"/>
              <w:rPr>
                <w:rFonts w:ascii="Times New Roman" w:hAnsi="Times New Roman" w:cs="Times New Roman"/>
                <w:bCs/>
                <w:sz w:val="24"/>
                <w:szCs w:val="24"/>
              </w:rPr>
            </w:pPr>
            <w:r w:rsidRPr="00FD3D85">
              <w:rPr>
                <w:rFonts w:ascii="Times New Roman" w:hAnsi="Times New Roman" w:cs="Times New Roman"/>
                <w:sz w:val="24"/>
                <w:szCs w:val="24"/>
              </w:rPr>
              <w:t xml:space="preserve">Pagal </w:t>
            </w:r>
            <w:r>
              <w:rPr>
                <w:rFonts w:ascii="Times New Roman" w:hAnsi="Times New Roman" w:cs="Times New Roman"/>
                <w:bCs/>
                <w:sz w:val="24"/>
                <w:szCs w:val="24"/>
              </w:rPr>
              <w:t>Lietuvos Resp</w:t>
            </w:r>
            <w:r w:rsidRPr="00FD3D85">
              <w:rPr>
                <w:rFonts w:ascii="Times New Roman" w:hAnsi="Times New Roman" w:cs="Times New Roman"/>
                <w:bCs/>
                <w:sz w:val="24"/>
                <w:szCs w:val="24"/>
              </w:rPr>
              <w:t>ublikos vartotojų teisių apsaugos įstatymo 25 straipsnio 9 dalį v</w:t>
            </w:r>
            <w:r w:rsidRPr="00FD3D85">
              <w:rPr>
                <w:rFonts w:ascii="Times New Roman" w:hAnsi="Times New Roman" w:cs="Times New Roman"/>
                <w:color w:val="000000"/>
                <w:sz w:val="24"/>
                <w:szCs w:val="24"/>
              </w:rPr>
              <w:t>artojimo ginčus nagrinėjanti institucija</w:t>
            </w:r>
            <w:r>
              <w:rPr>
                <w:rFonts w:ascii="Times New Roman" w:hAnsi="Times New Roman" w:cs="Times New Roman"/>
                <w:color w:val="000000"/>
                <w:sz w:val="24"/>
                <w:szCs w:val="24"/>
              </w:rPr>
              <w:t>,</w:t>
            </w:r>
            <w:r w:rsidRPr="00FD3D8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prieš nagrinėdama ginčą iš esmės, </w:t>
            </w:r>
            <w:r w:rsidRPr="00FD3D85">
              <w:rPr>
                <w:rFonts w:ascii="Times New Roman" w:hAnsi="Times New Roman" w:cs="Times New Roman"/>
                <w:color w:val="000000"/>
                <w:sz w:val="24"/>
                <w:szCs w:val="24"/>
              </w:rPr>
              <w:t>turi pareigą imtis priemonių vartotojui ir pardavėjui, paslaugų teikėjui sutaikinti.</w:t>
            </w:r>
            <w:r>
              <w:rPr>
                <w:rFonts w:ascii="Times New Roman" w:hAnsi="Times New Roman" w:cs="Times New Roman"/>
                <w:color w:val="000000"/>
                <w:sz w:val="24"/>
                <w:szCs w:val="24"/>
              </w:rPr>
              <w:t xml:space="preserve"> Pažymėtina, kad t</w:t>
            </w:r>
            <w:r w:rsidRPr="005B20B0">
              <w:rPr>
                <w:rFonts w:ascii="Times New Roman" w:hAnsi="Times New Roman" w:cs="Times New Roman"/>
                <w:bCs/>
                <w:sz w:val="24"/>
                <w:szCs w:val="24"/>
              </w:rPr>
              <w:t>aikiai išspręst</w:t>
            </w:r>
            <w:r>
              <w:rPr>
                <w:rFonts w:ascii="Times New Roman" w:hAnsi="Times New Roman" w:cs="Times New Roman"/>
                <w:bCs/>
                <w:sz w:val="24"/>
                <w:szCs w:val="24"/>
              </w:rPr>
              <w:t>i</w:t>
            </w:r>
            <w:r w:rsidRPr="005B20B0">
              <w:rPr>
                <w:rFonts w:ascii="Times New Roman" w:hAnsi="Times New Roman" w:cs="Times New Roman"/>
                <w:bCs/>
                <w:sz w:val="24"/>
                <w:szCs w:val="24"/>
              </w:rPr>
              <w:t xml:space="preserve"> vartojimo ginča</w:t>
            </w:r>
            <w:r>
              <w:rPr>
                <w:rFonts w:ascii="Times New Roman" w:hAnsi="Times New Roman" w:cs="Times New Roman"/>
                <w:bCs/>
                <w:sz w:val="24"/>
                <w:szCs w:val="24"/>
              </w:rPr>
              <w:t>i</w:t>
            </w:r>
            <w:r w:rsidRPr="005B20B0">
              <w:rPr>
                <w:rFonts w:ascii="Times New Roman" w:hAnsi="Times New Roman" w:cs="Times New Roman"/>
                <w:bCs/>
                <w:sz w:val="24"/>
                <w:szCs w:val="24"/>
              </w:rPr>
              <w:t xml:space="preserve"> sutaupo </w:t>
            </w:r>
            <w:r>
              <w:rPr>
                <w:rFonts w:ascii="Times New Roman" w:hAnsi="Times New Roman" w:cs="Times New Roman"/>
                <w:bCs/>
                <w:sz w:val="24"/>
                <w:szCs w:val="24"/>
              </w:rPr>
              <w:t xml:space="preserve">ne tik ginčų šalių </w:t>
            </w:r>
            <w:r w:rsidRPr="005B20B0">
              <w:rPr>
                <w:rFonts w:ascii="Times New Roman" w:hAnsi="Times New Roman" w:cs="Times New Roman"/>
                <w:bCs/>
                <w:sz w:val="24"/>
                <w:szCs w:val="24"/>
              </w:rPr>
              <w:t>laik</w:t>
            </w:r>
            <w:r>
              <w:rPr>
                <w:rFonts w:ascii="Times New Roman" w:hAnsi="Times New Roman" w:cs="Times New Roman"/>
                <w:bCs/>
                <w:sz w:val="24"/>
                <w:szCs w:val="24"/>
              </w:rPr>
              <w:t>ą ir išteklius</w:t>
            </w:r>
            <w:r w:rsidRPr="005B20B0">
              <w:rPr>
                <w:rFonts w:ascii="Times New Roman" w:hAnsi="Times New Roman" w:cs="Times New Roman"/>
                <w:bCs/>
                <w:sz w:val="24"/>
                <w:szCs w:val="24"/>
              </w:rPr>
              <w:t xml:space="preserve">, </w:t>
            </w:r>
            <w:r>
              <w:rPr>
                <w:rFonts w:ascii="Times New Roman" w:hAnsi="Times New Roman" w:cs="Times New Roman"/>
                <w:bCs/>
                <w:sz w:val="24"/>
                <w:szCs w:val="24"/>
              </w:rPr>
              <w:t>bet ir užtikrina racionalų bei efektyvų vartojimo ginčus nagrinėjančių institucijų išteklių naudojimą.</w:t>
            </w:r>
            <w:r w:rsidRPr="005B20B0">
              <w:rPr>
                <w:rFonts w:ascii="Times New Roman" w:hAnsi="Times New Roman" w:cs="Times New Roman"/>
                <w:bCs/>
                <w:sz w:val="24"/>
                <w:szCs w:val="24"/>
              </w:rPr>
              <w:t xml:space="preserve"> </w:t>
            </w:r>
          </w:p>
          <w:p w:rsidR="00614D4E" w:rsidRDefault="00A15AE3" w:rsidP="00A15AE3">
            <w:pPr>
              <w:jc w:val="both"/>
              <w:rPr>
                <w:rFonts w:ascii="Times New Roman" w:hAnsi="Times New Roman" w:cs="Times New Roman"/>
                <w:sz w:val="24"/>
                <w:szCs w:val="24"/>
              </w:rPr>
            </w:pPr>
            <w:r>
              <w:rPr>
                <w:rFonts w:ascii="Times New Roman" w:hAnsi="Times New Roman" w:cs="Times New Roman"/>
                <w:bCs/>
                <w:sz w:val="24"/>
                <w:szCs w:val="24"/>
              </w:rPr>
              <w:t>Be to, atkreiptinas dėmesys į tai, kad vertinimo kriterija</w:t>
            </w:r>
            <w:r w:rsidRPr="007D5AB7">
              <w:rPr>
                <w:rFonts w:ascii="Times New Roman" w:hAnsi="Times New Roman" w:cs="Times New Roman"/>
                <w:bCs/>
                <w:sz w:val="24"/>
                <w:szCs w:val="24"/>
              </w:rPr>
              <w:t>us P-1-2-3</w:t>
            </w:r>
            <w:r>
              <w:rPr>
                <w:rFonts w:ascii="Times New Roman" w:hAnsi="Times New Roman" w:cs="Times New Roman"/>
                <w:bCs/>
                <w:sz w:val="24"/>
                <w:szCs w:val="24"/>
              </w:rPr>
              <w:t xml:space="preserve"> „</w:t>
            </w:r>
            <w:r w:rsidRPr="007D5AB7">
              <w:rPr>
                <w:rFonts w:ascii="Times New Roman" w:hAnsi="Times New Roman" w:cs="Times New Roman"/>
                <w:bCs/>
                <w:sz w:val="24"/>
                <w:szCs w:val="24"/>
              </w:rPr>
              <w:t>Taikiai išspręstų vartojimo ginčų, išnagrinėtų ne teismo tvarka, dalis, proc.</w:t>
            </w:r>
            <w:r>
              <w:rPr>
                <w:rFonts w:ascii="Times New Roman" w:hAnsi="Times New Roman" w:cs="Times New Roman"/>
                <w:bCs/>
                <w:sz w:val="24"/>
                <w:szCs w:val="24"/>
              </w:rPr>
              <w:t xml:space="preserve">“ reikšmė </w:t>
            </w:r>
            <w:r>
              <w:rPr>
                <w:rFonts w:ascii="Times New Roman" w:hAnsi="Times New Roman" w:cs="Times New Roman"/>
                <w:sz w:val="24"/>
                <w:szCs w:val="24"/>
              </w:rPr>
              <w:t xml:space="preserve">bus skaičiuojama nuo visų vartojimo ginčus nagrinėjančių institucijų taikiai išspręstų vartojimo ginčų. </w:t>
            </w:r>
          </w:p>
          <w:p w:rsidR="00A15AE3" w:rsidRPr="00FD1D5E" w:rsidRDefault="00A15AE3" w:rsidP="00A15AE3">
            <w:pPr>
              <w:jc w:val="both"/>
              <w:rPr>
                <w:rFonts w:ascii="Times New Roman" w:hAnsi="Times New Roman" w:cs="Times New Roman"/>
                <w:b/>
                <w:sz w:val="24"/>
                <w:szCs w:val="24"/>
              </w:rPr>
            </w:pPr>
            <w:r>
              <w:rPr>
                <w:rFonts w:ascii="Times New Roman" w:hAnsi="Times New Roman" w:cs="Times New Roman"/>
                <w:sz w:val="24"/>
                <w:szCs w:val="24"/>
              </w:rPr>
              <w:t xml:space="preserve">Galiausiai pažymėtina, kad nėra pasiūlytas joks kitas alternatyvus vertinimo kriterijus, susijęs su vartojimo ginčų neteisminio sprendimo efektyvumu. </w:t>
            </w:r>
          </w:p>
        </w:tc>
      </w:tr>
      <w:tr w:rsidR="009475E6" w:rsidRPr="00835D10" w:rsidTr="00614D4E">
        <w:tc>
          <w:tcPr>
            <w:tcW w:w="560" w:type="dxa"/>
          </w:tcPr>
          <w:p w:rsidR="009475E6" w:rsidRDefault="009475E6" w:rsidP="002E6C10">
            <w:pPr>
              <w:autoSpaceDE w:val="0"/>
              <w:autoSpaceDN w:val="0"/>
              <w:adjustRightInd w:val="0"/>
              <w:spacing w:line="264" w:lineRule="auto"/>
              <w:rPr>
                <w:rFonts w:ascii="Times New Roman" w:hAnsi="Times New Roman" w:cs="Times New Roman"/>
                <w:bCs/>
                <w:sz w:val="24"/>
                <w:szCs w:val="24"/>
              </w:rPr>
            </w:pPr>
            <w:r>
              <w:rPr>
                <w:rFonts w:ascii="Times New Roman" w:hAnsi="Times New Roman" w:cs="Times New Roman"/>
                <w:bCs/>
                <w:sz w:val="24"/>
                <w:szCs w:val="24"/>
              </w:rPr>
              <w:lastRenderedPageBreak/>
              <w:t>3.</w:t>
            </w:r>
          </w:p>
        </w:tc>
        <w:tc>
          <w:tcPr>
            <w:tcW w:w="1635" w:type="dxa"/>
          </w:tcPr>
          <w:p w:rsidR="009475E6" w:rsidRPr="00614D4E" w:rsidRDefault="009475E6" w:rsidP="00614D4E">
            <w:pPr>
              <w:rPr>
                <w:rFonts w:ascii="Times New Roman" w:hAnsi="Times New Roman" w:cs="Times New Roman"/>
                <w:sz w:val="24"/>
                <w:szCs w:val="24"/>
              </w:rPr>
            </w:pPr>
            <w:r>
              <w:rPr>
                <w:rFonts w:ascii="Times New Roman" w:hAnsi="Times New Roman" w:cs="Times New Roman"/>
                <w:sz w:val="24"/>
                <w:szCs w:val="24"/>
              </w:rPr>
              <w:t>Valstybinė maisto ir veterinarijos tarnyba (2019-06-04 raštas Nr. B6-(1.19)-1649</w:t>
            </w:r>
            <w:r w:rsidR="00FD3D85">
              <w:rPr>
                <w:rFonts w:ascii="Times New Roman" w:hAnsi="Times New Roman" w:cs="Times New Roman"/>
                <w:sz w:val="24"/>
                <w:szCs w:val="24"/>
              </w:rPr>
              <w:t>)</w:t>
            </w:r>
          </w:p>
        </w:tc>
        <w:tc>
          <w:tcPr>
            <w:tcW w:w="6164" w:type="dxa"/>
          </w:tcPr>
          <w:p w:rsidR="009475E6" w:rsidRPr="009475E6" w:rsidRDefault="009475E6" w:rsidP="009475E6">
            <w:pPr>
              <w:widowControl w:val="0"/>
              <w:tabs>
                <w:tab w:val="left" w:pos="851"/>
              </w:tabs>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1.</w:t>
            </w:r>
            <w:r w:rsidR="00A15AE3">
              <w:rPr>
                <w:rFonts w:ascii="Times New Roman" w:hAnsi="Times New Roman" w:cs="Times New Roman"/>
                <w:bCs/>
                <w:sz w:val="24"/>
                <w:szCs w:val="24"/>
              </w:rPr>
              <w:t xml:space="preserve"> </w:t>
            </w:r>
            <w:r w:rsidR="00C12AFA">
              <w:rPr>
                <w:rFonts w:ascii="Times New Roman" w:hAnsi="Times New Roman" w:cs="Times New Roman"/>
                <w:bCs/>
                <w:sz w:val="24"/>
                <w:szCs w:val="24"/>
              </w:rPr>
              <w:t xml:space="preserve">VMVT informuoja, kad šiuo metu nėra suplanavusi tarptautinių bendradarbiavimo projektų dėl vartotojų teisių apsaugos, todėl, atsižvelgdama į tai, prašo iš Projekto priede pateikiamo už numatyto vertinimo kriterijaus P-1-3-1 „Tarptautinių bendradarbiavimo projektų dėl </w:t>
            </w:r>
            <w:r w:rsidR="00C12AFA" w:rsidRPr="00C12AFA">
              <w:rPr>
                <w:rFonts w:ascii="Times New Roman" w:hAnsi="Times New Roman" w:cs="Times New Roman"/>
                <w:bCs/>
                <w:sz w:val="24"/>
                <w:szCs w:val="24"/>
              </w:rPr>
              <w:t>vartotojų teisių apsaugos, kuriuose dalyvauja Lietuvos institucijos, skaičius, vnt.“</w:t>
            </w:r>
            <w:r w:rsidR="00C12AFA">
              <w:rPr>
                <w:rFonts w:ascii="Times New Roman" w:hAnsi="Times New Roman" w:cs="Times New Roman"/>
                <w:bCs/>
                <w:sz w:val="24"/>
                <w:szCs w:val="24"/>
              </w:rPr>
              <w:t xml:space="preserve"> įgyvendinimą atsakingų institucijų sąrašo išbraukti VMVT.</w:t>
            </w:r>
          </w:p>
        </w:tc>
        <w:tc>
          <w:tcPr>
            <w:tcW w:w="6378" w:type="dxa"/>
          </w:tcPr>
          <w:p w:rsidR="009475E6" w:rsidRDefault="00C12AFA" w:rsidP="00BE57EF">
            <w:pPr>
              <w:jc w:val="both"/>
              <w:rPr>
                <w:rFonts w:ascii="Times New Roman" w:hAnsi="Times New Roman" w:cs="Times New Roman"/>
                <w:b/>
                <w:sz w:val="24"/>
                <w:szCs w:val="24"/>
              </w:rPr>
            </w:pPr>
            <w:r w:rsidRPr="00C12AFA">
              <w:rPr>
                <w:rFonts w:ascii="Times New Roman" w:hAnsi="Times New Roman" w:cs="Times New Roman"/>
                <w:b/>
                <w:sz w:val="24"/>
                <w:szCs w:val="24"/>
              </w:rPr>
              <w:t xml:space="preserve">Neatsižvelgta. </w:t>
            </w:r>
            <w:r w:rsidR="00BE57EF" w:rsidRPr="009475E6">
              <w:rPr>
                <w:rFonts w:ascii="Times New Roman" w:hAnsi="Times New Roman" w:cs="Times New Roman"/>
                <w:sz w:val="24"/>
                <w:szCs w:val="24"/>
              </w:rPr>
              <w:t xml:space="preserve">Programa yra </w:t>
            </w:r>
            <w:r w:rsidR="00BE57EF">
              <w:rPr>
                <w:rFonts w:ascii="Times New Roman" w:hAnsi="Times New Roman" w:cs="Times New Roman"/>
                <w:sz w:val="24"/>
                <w:szCs w:val="24"/>
              </w:rPr>
              <w:t xml:space="preserve">vidutinės trukmės </w:t>
            </w:r>
            <w:r w:rsidR="00BE57EF" w:rsidRPr="009475E6">
              <w:rPr>
                <w:rFonts w:ascii="Times New Roman" w:hAnsi="Times New Roman" w:cs="Times New Roman"/>
                <w:sz w:val="24"/>
                <w:szCs w:val="24"/>
              </w:rPr>
              <w:t>strateginio planavimo dokumentas</w:t>
            </w:r>
            <w:r w:rsidR="00BE57EF">
              <w:rPr>
                <w:rFonts w:ascii="Times New Roman" w:hAnsi="Times New Roman" w:cs="Times New Roman"/>
                <w:sz w:val="24"/>
                <w:szCs w:val="24"/>
              </w:rPr>
              <w:t>, apimantis 2019–2027 m. laikotarpį, todėl ja siekiama apimti ir tas veiklas, kurių šiuo metu institucijos dar nėra detaliai suplanavusios. Pagal v</w:t>
            </w:r>
            <w:r w:rsidR="00BE57EF" w:rsidRPr="006E7B10">
              <w:rPr>
                <w:rFonts w:ascii="Times New Roman" w:hAnsi="Times New Roman" w:cs="Times New Roman"/>
                <w:sz w:val="24"/>
                <w:szCs w:val="24"/>
              </w:rPr>
              <w:t>ertinimo kriterij</w:t>
            </w:r>
            <w:r w:rsidR="00BE57EF">
              <w:rPr>
                <w:rFonts w:ascii="Times New Roman" w:hAnsi="Times New Roman" w:cs="Times New Roman"/>
                <w:sz w:val="24"/>
                <w:szCs w:val="24"/>
              </w:rPr>
              <w:t>ų</w:t>
            </w:r>
            <w:r w:rsidR="00BE57EF" w:rsidRPr="006E7B10">
              <w:rPr>
                <w:rFonts w:ascii="Times New Roman" w:hAnsi="Times New Roman" w:cs="Times New Roman"/>
                <w:sz w:val="24"/>
                <w:szCs w:val="24"/>
              </w:rPr>
              <w:t xml:space="preserve"> P-1-3-1 „Tarptautinių bendradarbiavimo projektų dėl vartotojų teisių apsaugos, kuriuose dalyva</w:t>
            </w:r>
            <w:r w:rsidR="00BE57EF" w:rsidRPr="00DA55D5">
              <w:rPr>
                <w:rFonts w:ascii="Times New Roman" w:hAnsi="Times New Roman" w:cs="Times New Roman"/>
                <w:sz w:val="24"/>
                <w:szCs w:val="24"/>
              </w:rPr>
              <w:t>uja Lietuvos institucijos, skaičius, vnt.“ bus skaičiuojamas bendr</w:t>
            </w:r>
            <w:r w:rsidR="00BE57EF">
              <w:rPr>
                <w:rFonts w:ascii="Times New Roman" w:hAnsi="Times New Roman" w:cs="Times New Roman"/>
                <w:sz w:val="24"/>
                <w:szCs w:val="24"/>
              </w:rPr>
              <w:t>as</w:t>
            </w:r>
            <w:r w:rsidR="00BE57EF" w:rsidRPr="00DA55D5">
              <w:rPr>
                <w:rFonts w:ascii="Times New Roman" w:hAnsi="Times New Roman" w:cs="Times New Roman"/>
                <w:sz w:val="24"/>
                <w:szCs w:val="24"/>
              </w:rPr>
              <w:t xml:space="preserve"> nurodytų atsakingų institucijų vykdomų t</w:t>
            </w:r>
            <w:r w:rsidR="00BE57EF" w:rsidRPr="00DA55D5">
              <w:rPr>
                <w:rFonts w:ascii="Times New Roman" w:hAnsi="Times New Roman" w:cs="Times New Roman"/>
                <w:sz w:val="24"/>
                <w:szCs w:val="24"/>
                <w:lang w:eastAsia="lt-LT"/>
              </w:rPr>
              <w:t xml:space="preserve">arptautinių bendradarbiavimo </w:t>
            </w:r>
            <w:r w:rsidR="00BE57EF">
              <w:rPr>
                <w:rFonts w:ascii="Times New Roman" w:hAnsi="Times New Roman" w:cs="Times New Roman"/>
                <w:sz w:val="24"/>
                <w:szCs w:val="24"/>
              </w:rPr>
              <w:t>projektų skaičius</w:t>
            </w:r>
            <w:r w:rsidR="00BE57EF" w:rsidRPr="00DA55D5">
              <w:rPr>
                <w:rFonts w:ascii="Times New Roman" w:hAnsi="Times New Roman" w:cs="Times New Roman"/>
                <w:sz w:val="24"/>
                <w:szCs w:val="24"/>
              </w:rPr>
              <w:t>, o ne kiekvienos institucijos</w:t>
            </w:r>
            <w:r w:rsidR="00BE57EF">
              <w:rPr>
                <w:rFonts w:ascii="Times New Roman" w:hAnsi="Times New Roman" w:cs="Times New Roman"/>
                <w:sz w:val="24"/>
                <w:szCs w:val="24"/>
              </w:rPr>
              <w:t xml:space="preserve"> atskirai.</w:t>
            </w:r>
          </w:p>
        </w:tc>
      </w:tr>
    </w:tbl>
    <w:p w:rsidR="006E04B1" w:rsidRDefault="009439CB"/>
    <w:sectPr w:rsidR="006E04B1" w:rsidSect="00C12AFA">
      <w:headerReference w:type="default" r:id="rId7"/>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39CB" w:rsidRDefault="009439CB" w:rsidP="00937A4B">
      <w:pPr>
        <w:spacing w:after="0" w:line="240" w:lineRule="auto"/>
      </w:pPr>
      <w:r>
        <w:separator/>
      </w:r>
    </w:p>
  </w:endnote>
  <w:endnote w:type="continuationSeparator" w:id="0">
    <w:p w:rsidR="009439CB" w:rsidRDefault="009439CB" w:rsidP="00937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39CB" w:rsidRDefault="009439CB" w:rsidP="00937A4B">
      <w:pPr>
        <w:spacing w:after="0" w:line="240" w:lineRule="auto"/>
      </w:pPr>
      <w:r>
        <w:separator/>
      </w:r>
    </w:p>
  </w:footnote>
  <w:footnote w:type="continuationSeparator" w:id="0">
    <w:p w:rsidR="009439CB" w:rsidRDefault="009439CB" w:rsidP="00937A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9847122"/>
      <w:docPartObj>
        <w:docPartGallery w:val="Page Numbers (Top of Page)"/>
        <w:docPartUnique/>
      </w:docPartObj>
    </w:sdtPr>
    <w:sdtEndPr>
      <w:rPr>
        <w:rFonts w:ascii="Times New Roman" w:hAnsi="Times New Roman" w:cs="Times New Roman"/>
        <w:sz w:val="24"/>
        <w:szCs w:val="24"/>
      </w:rPr>
    </w:sdtEndPr>
    <w:sdtContent>
      <w:p w:rsidR="00C12AFA" w:rsidRPr="00FD3D85" w:rsidRDefault="00C12AFA">
        <w:pPr>
          <w:pStyle w:val="Antrats"/>
          <w:jc w:val="center"/>
          <w:rPr>
            <w:rFonts w:ascii="Times New Roman" w:hAnsi="Times New Roman" w:cs="Times New Roman"/>
            <w:sz w:val="24"/>
            <w:szCs w:val="24"/>
          </w:rPr>
        </w:pPr>
        <w:r w:rsidRPr="00FD3D85">
          <w:rPr>
            <w:rFonts w:ascii="Times New Roman" w:hAnsi="Times New Roman" w:cs="Times New Roman"/>
            <w:sz w:val="24"/>
            <w:szCs w:val="24"/>
          </w:rPr>
          <w:fldChar w:fldCharType="begin"/>
        </w:r>
        <w:r w:rsidRPr="00FD3D85">
          <w:rPr>
            <w:rFonts w:ascii="Times New Roman" w:hAnsi="Times New Roman" w:cs="Times New Roman"/>
            <w:sz w:val="24"/>
            <w:szCs w:val="24"/>
          </w:rPr>
          <w:instrText>PAGE   \* MERGEFORMAT</w:instrText>
        </w:r>
        <w:r w:rsidRPr="00FD3D85">
          <w:rPr>
            <w:rFonts w:ascii="Times New Roman" w:hAnsi="Times New Roman" w:cs="Times New Roman"/>
            <w:sz w:val="24"/>
            <w:szCs w:val="24"/>
          </w:rPr>
          <w:fldChar w:fldCharType="separate"/>
        </w:r>
        <w:r w:rsidR="00796EC9">
          <w:rPr>
            <w:rFonts w:ascii="Times New Roman" w:hAnsi="Times New Roman" w:cs="Times New Roman"/>
            <w:noProof/>
            <w:sz w:val="24"/>
            <w:szCs w:val="24"/>
          </w:rPr>
          <w:t>3</w:t>
        </w:r>
        <w:r w:rsidRPr="00FD3D85">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004820"/>
    <w:multiLevelType w:val="hybridMultilevel"/>
    <w:tmpl w:val="922E52D4"/>
    <w:lvl w:ilvl="0" w:tplc="9A9CBAAA">
      <w:start w:val="1"/>
      <w:numFmt w:val="decimal"/>
      <w:lvlText w:val="%1)"/>
      <w:lvlJc w:val="left"/>
      <w:pPr>
        <w:ind w:left="1069" w:hanging="360"/>
      </w:pPr>
      <w:rPr>
        <w:rFonts w:hint="default"/>
        <w:color w:val="00000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37207F7C"/>
    <w:multiLevelType w:val="hybridMultilevel"/>
    <w:tmpl w:val="6E5648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0523D01"/>
    <w:multiLevelType w:val="hybridMultilevel"/>
    <w:tmpl w:val="88D845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91F7FB2"/>
    <w:multiLevelType w:val="hybridMultilevel"/>
    <w:tmpl w:val="6F987C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D5E"/>
    <w:rsid w:val="000A4574"/>
    <w:rsid w:val="00183871"/>
    <w:rsid w:val="0018631F"/>
    <w:rsid w:val="005B20B0"/>
    <w:rsid w:val="00614D4E"/>
    <w:rsid w:val="006E7B10"/>
    <w:rsid w:val="00714586"/>
    <w:rsid w:val="00796EC9"/>
    <w:rsid w:val="007D5AB7"/>
    <w:rsid w:val="00846126"/>
    <w:rsid w:val="00937A4B"/>
    <w:rsid w:val="009439CB"/>
    <w:rsid w:val="009475E6"/>
    <w:rsid w:val="009E2D98"/>
    <w:rsid w:val="00A15AE3"/>
    <w:rsid w:val="00A73CBE"/>
    <w:rsid w:val="00BE57EF"/>
    <w:rsid w:val="00C00035"/>
    <w:rsid w:val="00C12AFA"/>
    <w:rsid w:val="00CB3220"/>
    <w:rsid w:val="00DA55D5"/>
    <w:rsid w:val="00FD1D5E"/>
    <w:rsid w:val="00FD3D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CA802D-F858-4CC7-A774-AAF3FB564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D1D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FD1D5E"/>
    <w:pPr>
      <w:ind w:left="720"/>
      <w:contextualSpacing/>
    </w:pPr>
  </w:style>
  <w:style w:type="character" w:styleId="Hipersaitas">
    <w:name w:val="Hyperlink"/>
    <w:basedOn w:val="Numatytasispastraiposriftas"/>
    <w:uiPriority w:val="99"/>
    <w:unhideWhenUsed/>
    <w:rsid w:val="00937A4B"/>
    <w:rPr>
      <w:color w:val="0563C1" w:themeColor="hyperlink"/>
      <w:u w:val="single"/>
    </w:rPr>
  </w:style>
  <w:style w:type="paragraph" w:styleId="Puslapioinaostekstas">
    <w:name w:val="footnote text"/>
    <w:basedOn w:val="prastasis"/>
    <w:link w:val="PuslapioinaostekstasDiagrama"/>
    <w:semiHidden/>
    <w:unhideWhenUsed/>
    <w:rsid w:val="00937A4B"/>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semiHidden/>
    <w:rsid w:val="00937A4B"/>
    <w:rPr>
      <w:rFonts w:ascii="Times New Roman" w:eastAsia="Times New Roman" w:hAnsi="Times New Roman" w:cs="Times New Roman"/>
      <w:sz w:val="20"/>
      <w:szCs w:val="20"/>
    </w:rPr>
  </w:style>
  <w:style w:type="character" w:styleId="Puslapioinaosnuoroda">
    <w:name w:val="footnote reference"/>
    <w:semiHidden/>
    <w:unhideWhenUsed/>
    <w:rsid w:val="00937A4B"/>
    <w:rPr>
      <w:vertAlign w:val="superscript"/>
    </w:rPr>
  </w:style>
  <w:style w:type="paragraph" w:styleId="Antrats">
    <w:name w:val="header"/>
    <w:basedOn w:val="prastasis"/>
    <w:link w:val="AntratsDiagrama"/>
    <w:uiPriority w:val="99"/>
    <w:unhideWhenUsed/>
    <w:rsid w:val="00C12AF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12AFA"/>
  </w:style>
  <w:style w:type="paragraph" w:styleId="Porat">
    <w:name w:val="footer"/>
    <w:basedOn w:val="prastasis"/>
    <w:link w:val="PoratDiagrama"/>
    <w:uiPriority w:val="99"/>
    <w:unhideWhenUsed/>
    <w:rsid w:val="00C12AF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12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606464">
      <w:bodyDiv w:val="1"/>
      <w:marLeft w:val="0"/>
      <w:marRight w:val="0"/>
      <w:marTop w:val="0"/>
      <w:marBottom w:val="0"/>
      <w:divBdr>
        <w:top w:val="none" w:sz="0" w:space="0" w:color="auto"/>
        <w:left w:val="none" w:sz="0" w:space="0" w:color="auto"/>
        <w:bottom w:val="none" w:sz="0" w:space="0" w:color="auto"/>
        <w:right w:val="none" w:sz="0" w:space="0" w:color="auto"/>
      </w:divBdr>
      <w:divsChild>
        <w:div w:id="1467166130">
          <w:marLeft w:val="0"/>
          <w:marRight w:val="0"/>
          <w:marTop w:val="0"/>
          <w:marBottom w:val="0"/>
          <w:divBdr>
            <w:top w:val="none" w:sz="0" w:space="0" w:color="auto"/>
            <w:left w:val="none" w:sz="0" w:space="0" w:color="auto"/>
            <w:bottom w:val="none" w:sz="0" w:space="0" w:color="auto"/>
            <w:right w:val="none" w:sz="0" w:space="0" w:color="auto"/>
          </w:divBdr>
          <w:divsChild>
            <w:div w:id="280109601">
              <w:marLeft w:val="0"/>
              <w:marRight w:val="0"/>
              <w:marTop w:val="0"/>
              <w:marBottom w:val="0"/>
              <w:divBdr>
                <w:top w:val="none" w:sz="0" w:space="0" w:color="auto"/>
                <w:left w:val="none" w:sz="0" w:space="0" w:color="auto"/>
                <w:bottom w:val="none" w:sz="0" w:space="0" w:color="auto"/>
                <w:right w:val="none" w:sz="0" w:space="0" w:color="auto"/>
              </w:divBdr>
              <w:divsChild>
                <w:div w:id="777139167">
                  <w:marLeft w:val="0"/>
                  <w:marRight w:val="0"/>
                  <w:marTop w:val="0"/>
                  <w:marBottom w:val="0"/>
                  <w:divBdr>
                    <w:top w:val="none" w:sz="0" w:space="0" w:color="auto"/>
                    <w:left w:val="none" w:sz="0" w:space="0" w:color="auto"/>
                    <w:bottom w:val="none" w:sz="0" w:space="0" w:color="auto"/>
                    <w:right w:val="none" w:sz="0" w:space="0" w:color="auto"/>
                  </w:divBdr>
                  <w:divsChild>
                    <w:div w:id="1290621665">
                      <w:marLeft w:val="0"/>
                      <w:marRight w:val="0"/>
                      <w:marTop w:val="0"/>
                      <w:marBottom w:val="0"/>
                      <w:divBdr>
                        <w:top w:val="none" w:sz="0" w:space="0" w:color="auto"/>
                        <w:left w:val="none" w:sz="0" w:space="0" w:color="auto"/>
                        <w:bottom w:val="none" w:sz="0" w:space="0" w:color="auto"/>
                        <w:right w:val="none" w:sz="0" w:space="0" w:color="auto"/>
                      </w:divBdr>
                      <w:divsChild>
                        <w:div w:id="101754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4377</Words>
  <Characters>2495</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6859</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2019-06-10T12:05:00Z</dcterms:created>
  <dc:creator>Rosita Pletienė</dc:creator>
  <cp:lastModifiedBy>Rosita Pletienė</cp:lastModifiedBy>
  <dcterms:modified xsi:type="dcterms:W3CDTF">2019-06-11T12:05:00Z</dcterms:modified>
  <cp:revision>3</cp:revision>
</cp:coreProperties>
</file>