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6BF" w:rsidRPr="0067450F" w:rsidRDefault="00EC26BF" w:rsidP="00C95B21">
      <w:pPr>
        <w:tabs>
          <w:tab w:val="center" w:pos="4153"/>
        </w:tabs>
        <w:spacing w:after="0" w:line="240" w:lineRule="auto"/>
        <w:ind w:firstLine="5670"/>
        <w:rPr>
          <w:rFonts w:eastAsia="Times New Roman" w:cs="Times New Roman"/>
          <w:b/>
          <w:szCs w:val="20"/>
          <w:lang w:eastAsia="lt-LT"/>
        </w:rPr>
      </w:pPr>
      <w:r>
        <w:rPr>
          <w:rFonts w:eastAsia="Times New Roman" w:cs="Times New Roman"/>
          <w:b/>
          <w:szCs w:val="20"/>
          <w:lang w:eastAsia="lt-LT"/>
        </w:rPr>
        <w:t>Projekto</w:t>
      </w:r>
    </w:p>
    <w:p w:rsidR="00EC26BF" w:rsidRPr="00193C72" w:rsidRDefault="00EC26BF" w:rsidP="00C95B21">
      <w:pPr>
        <w:spacing w:after="0" w:line="240" w:lineRule="auto"/>
        <w:ind w:firstLine="5670"/>
        <w:rPr>
          <w:rFonts w:eastAsia="Times New Roman" w:cs="Times New Roman"/>
          <w:b/>
          <w:szCs w:val="20"/>
          <w:lang w:eastAsia="lt-LT"/>
        </w:rPr>
      </w:pPr>
      <w:r>
        <w:rPr>
          <w:rFonts w:eastAsia="Times New Roman" w:cs="Times New Roman"/>
          <w:b/>
          <w:szCs w:val="20"/>
          <w:lang w:eastAsia="lt-LT"/>
        </w:rPr>
        <w:t>l</w:t>
      </w:r>
      <w:r w:rsidRPr="00193C72">
        <w:rPr>
          <w:rFonts w:eastAsia="Times New Roman" w:cs="Times New Roman"/>
          <w:b/>
          <w:szCs w:val="20"/>
          <w:lang w:eastAsia="lt-LT"/>
        </w:rPr>
        <w:t>yginamasis variantas</w:t>
      </w:r>
    </w:p>
    <w:p w:rsidR="00EC26BF" w:rsidRPr="0067450F" w:rsidRDefault="00A2206C" w:rsidP="00A2206C">
      <w:pPr>
        <w:tabs>
          <w:tab w:val="left" w:pos="6256"/>
        </w:tabs>
        <w:spacing w:after="0" w:line="240" w:lineRule="auto"/>
        <w:rPr>
          <w:rFonts w:eastAsia="Times New Roman" w:cs="Times New Roman"/>
          <w:szCs w:val="20"/>
          <w:lang w:eastAsia="lt-LT"/>
        </w:rPr>
      </w:pPr>
      <w:r>
        <w:rPr>
          <w:rFonts w:eastAsia="Times New Roman" w:cs="Times New Roman"/>
          <w:szCs w:val="20"/>
          <w:lang w:eastAsia="lt-LT"/>
        </w:rPr>
        <w:tab/>
      </w:r>
    </w:p>
    <w:p w:rsidR="00EC26BF" w:rsidRPr="0067450F" w:rsidRDefault="00EC26BF" w:rsidP="00443DDE">
      <w:pPr>
        <w:spacing w:after="0" w:line="240" w:lineRule="auto"/>
        <w:jc w:val="center"/>
        <w:rPr>
          <w:rFonts w:eastAsia="Times New Roman" w:cs="Times New Roman"/>
          <w:b/>
          <w:szCs w:val="20"/>
          <w:lang w:eastAsia="lt-LT"/>
        </w:rPr>
      </w:pPr>
      <w:r w:rsidRPr="0067450F">
        <w:rPr>
          <w:rFonts w:eastAsia="Times New Roman" w:cs="Times New Roman"/>
          <w:b/>
          <w:szCs w:val="20"/>
          <w:lang w:eastAsia="lt-LT"/>
        </w:rPr>
        <w:t>LIETUV</w:t>
      </w:r>
      <w:r w:rsidR="005B4244">
        <w:rPr>
          <w:rFonts w:eastAsia="Times New Roman" w:cs="Times New Roman"/>
          <w:b/>
          <w:szCs w:val="20"/>
          <w:lang w:eastAsia="lt-LT"/>
        </w:rPr>
        <w:t>OS RESPUBLIKOS VYRIAUSYBĖ</w:t>
      </w:r>
    </w:p>
    <w:p w:rsidR="00EC26BF" w:rsidRPr="0067450F" w:rsidRDefault="00EC26BF">
      <w:pPr>
        <w:spacing w:after="0" w:line="240" w:lineRule="auto"/>
        <w:jc w:val="center"/>
        <w:rPr>
          <w:rFonts w:eastAsia="Times New Roman" w:cs="Times New Roman"/>
          <w:b/>
          <w:szCs w:val="20"/>
          <w:lang w:eastAsia="lt-LT"/>
        </w:rPr>
      </w:pPr>
    </w:p>
    <w:p w:rsidR="005B4244" w:rsidRDefault="005B4244" w:rsidP="00C95B21">
      <w:pPr>
        <w:spacing w:after="0" w:line="240" w:lineRule="auto"/>
        <w:jc w:val="center"/>
        <w:rPr>
          <w:b/>
          <w:caps/>
          <w:lang w:eastAsia="lt-LT"/>
        </w:rPr>
      </w:pPr>
      <w:r>
        <w:rPr>
          <w:b/>
          <w:caps/>
          <w:lang w:eastAsia="lt-LT"/>
        </w:rPr>
        <w:t>nutarimas</w:t>
      </w:r>
    </w:p>
    <w:p w:rsidR="005B4244" w:rsidRDefault="00A57811" w:rsidP="00C95B21">
      <w:pPr>
        <w:tabs>
          <w:tab w:val="left" w:pos="6804"/>
        </w:tabs>
        <w:spacing w:after="0" w:line="240" w:lineRule="auto"/>
        <w:jc w:val="center"/>
        <w:rPr>
          <w:b/>
          <w:caps/>
          <w:lang w:eastAsia="lt-LT"/>
        </w:rPr>
      </w:pPr>
      <w:r>
        <w:rPr>
          <w:b/>
          <w:caps/>
          <w:lang w:eastAsia="lt-LT"/>
        </w:rPr>
        <w:t>DĖL LIETUVOS RESPUBLIKOS VYRIAUSYBĖS 2014 M. BIRŽELIO 4 D. NUTARIMO NR. 528 „</w:t>
      </w:r>
      <w:r w:rsidR="005B4244">
        <w:rPr>
          <w:b/>
          <w:caps/>
          <w:lang w:eastAsia="lt-LT"/>
        </w:rPr>
        <w:t>DĖL ATSAKOMYBĖS IR FUNKCIJŲ PASKIRSTYMO TARP INSTITUCIJŲ, ĮGYVENDINANT 2014–2020 METŲ EUROPOS SĄJUNGOS FONDŲ INVESTICIJŲ VEIKSMŲ PROGRAMĄ</w:t>
      </w:r>
      <w:r>
        <w:rPr>
          <w:b/>
          <w:caps/>
          <w:lang w:eastAsia="lt-LT"/>
        </w:rPr>
        <w:t>“</w:t>
      </w:r>
      <w:r w:rsidR="005B4244">
        <w:rPr>
          <w:b/>
          <w:caps/>
          <w:lang w:eastAsia="lt-LT"/>
        </w:rPr>
        <w:t xml:space="preserve"> PAKEITIMO</w:t>
      </w:r>
    </w:p>
    <w:p w:rsidR="00EC26BF" w:rsidRPr="0067450F" w:rsidRDefault="00EC26BF" w:rsidP="00443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Cs w:val="24"/>
          <w:lang w:bidi="lo-LA"/>
        </w:rPr>
      </w:pPr>
    </w:p>
    <w:p w:rsidR="00EC26BF" w:rsidRPr="0067450F" w:rsidRDefault="00EC2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szCs w:val="24"/>
          <w:lang w:bidi="lo-LA"/>
        </w:rPr>
      </w:pPr>
      <w:r w:rsidRPr="0067450F">
        <w:rPr>
          <w:rFonts w:eastAsia="Times New Roman" w:cs="Courier New"/>
          <w:szCs w:val="24"/>
          <w:lang w:bidi="lo-LA"/>
        </w:rPr>
        <w:t>20</w:t>
      </w:r>
      <w:r>
        <w:rPr>
          <w:rFonts w:eastAsia="Times New Roman" w:cs="Courier New"/>
          <w:szCs w:val="24"/>
          <w:lang w:bidi="lo-LA"/>
        </w:rPr>
        <w:t>20</w:t>
      </w:r>
      <w:r w:rsidR="00F50A0D">
        <w:rPr>
          <w:rFonts w:eastAsia="Times New Roman" w:cs="Courier New"/>
          <w:szCs w:val="24"/>
          <w:lang w:bidi="lo-LA"/>
        </w:rPr>
        <w:t xml:space="preserve"> m.</w:t>
      </w:r>
      <w:r w:rsidR="00417FBB">
        <w:rPr>
          <w:rFonts w:eastAsia="Times New Roman" w:cs="Courier New"/>
          <w:szCs w:val="24"/>
          <w:lang w:bidi="lo-LA"/>
        </w:rPr>
        <w:t xml:space="preserve">                   </w:t>
      </w:r>
      <w:r w:rsidR="00F50A0D">
        <w:rPr>
          <w:rFonts w:eastAsia="Times New Roman" w:cs="Courier New"/>
          <w:szCs w:val="24"/>
          <w:lang w:bidi="lo-LA"/>
        </w:rPr>
        <w:t xml:space="preserve">d. Nr. </w:t>
      </w:r>
    </w:p>
    <w:p w:rsidR="00EC26BF" w:rsidRPr="0067450F" w:rsidRDefault="00EC2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szCs w:val="24"/>
          <w:lang w:bidi="lo-LA"/>
        </w:rPr>
      </w:pPr>
      <w:r w:rsidRPr="0067450F">
        <w:rPr>
          <w:rFonts w:eastAsia="Times New Roman" w:cs="Courier New"/>
          <w:szCs w:val="24"/>
          <w:lang w:bidi="lo-LA"/>
        </w:rPr>
        <w:t>Vilnius</w:t>
      </w:r>
    </w:p>
    <w:p w:rsidR="00EC26BF" w:rsidRPr="0067450F" w:rsidRDefault="00EC26BF" w:rsidP="00EC2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szCs w:val="24"/>
          <w:lang w:bidi="lo-LA"/>
        </w:rPr>
      </w:pPr>
    </w:p>
    <w:p w:rsidR="00413938" w:rsidRDefault="00413938" w:rsidP="000563E6">
      <w:pPr>
        <w:suppressAutoHyphens/>
        <w:spacing w:after="0" w:line="360" w:lineRule="atLeast"/>
        <w:ind w:firstLine="720"/>
        <w:jc w:val="both"/>
        <w:textAlignment w:val="center"/>
        <w:rPr>
          <w:rFonts w:eastAsia="Times New Roman" w:cs="Times New Roman"/>
          <w:color w:val="000000"/>
          <w:szCs w:val="24"/>
          <w:lang w:eastAsia="lt-LT"/>
        </w:rPr>
      </w:pPr>
      <w:r>
        <w:rPr>
          <w:rFonts w:eastAsia="Times New Roman" w:cs="Times New Roman"/>
          <w:color w:val="000000"/>
          <w:szCs w:val="24"/>
          <w:lang w:eastAsia="lt-LT"/>
        </w:rPr>
        <w:t>Lietuvos Respublikos Vyriausybė n u t a r i a:</w:t>
      </w:r>
    </w:p>
    <w:p w:rsidR="00EC26BF" w:rsidRDefault="003E3651" w:rsidP="000563E6">
      <w:pPr>
        <w:suppressAutoHyphens/>
        <w:spacing w:after="0" w:line="360" w:lineRule="atLeast"/>
        <w:ind w:firstLine="720"/>
        <w:jc w:val="both"/>
        <w:textAlignment w:val="center"/>
        <w:rPr>
          <w:rFonts w:eastAsia="Times New Roman" w:cs="Times New Roman"/>
          <w:color w:val="000000"/>
          <w:szCs w:val="24"/>
          <w:lang w:eastAsia="lt-LT"/>
        </w:rPr>
      </w:pPr>
      <w:r>
        <w:rPr>
          <w:rFonts w:eastAsia="Times New Roman" w:cs="Times New Roman"/>
          <w:color w:val="000000"/>
          <w:szCs w:val="24"/>
          <w:lang w:eastAsia="lt-LT"/>
        </w:rPr>
        <w:t xml:space="preserve">Pakeisti </w:t>
      </w:r>
      <w:r w:rsidR="007F4D55">
        <w:rPr>
          <w:rFonts w:eastAsia="Times New Roman" w:cs="Times New Roman"/>
          <w:color w:val="000000"/>
          <w:szCs w:val="24"/>
          <w:lang w:eastAsia="lt-LT"/>
        </w:rPr>
        <w:t>L</w:t>
      </w:r>
      <w:r>
        <w:rPr>
          <w:rFonts w:eastAsia="Times New Roman" w:cs="Times New Roman"/>
          <w:color w:val="000000"/>
          <w:szCs w:val="24"/>
          <w:lang w:eastAsia="lt-LT"/>
        </w:rPr>
        <w:t xml:space="preserve">ietuvos Respublikos Vyriausybės </w:t>
      </w:r>
      <w:r w:rsidR="000563E6">
        <w:rPr>
          <w:color w:val="000000"/>
        </w:rPr>
        <w:t>2014 m. birželio 4 d. nutarimą</w:t>
      </w:r>
      <w:r>
        <w:rPr>
          <w:color w:val="000000"/>
        </w:rPr>
        <w:t xml:space="preserve"> Nr. 528 </w:t>
      </w:r>
      <w:r w:rsidRPr="0067450F">
        <w:rPr>
          <w:rFonts w:eastAsia="Times New Roman" w:cs="Times New Roman"/>
          <w:color w:val="000000"/>
          <w:szCs w:val="24"/>
          <w:lang w:eastAsia="lt-LT"/>
        </w:rPr>
        <w:t>„</w:t>
      </w:r>
      <w:r>
        <w:rPr>
          <w:bCs/>
          <w:color w:val="000000"/>
        </w:rPr>
        <w:t>D</w:t>
      </w:r>
      <w:r w:rsidRPr="00906407">
        <w:rPr>
          <w:bCs/>
          <w:color w:val="000000"/>
        </w:rPr>
        <w:t>ėl atsakomybės ir funkcijų paskirstymo tarp institucij</w:t>
      </w:r>
      <w:r>
        <w:rPr>
          <w:bCs/>
          <w:color w:val="000000"/>
        </w:rPr>
        <w:t>ų, įgyvendinant 2014–2020 metų Europos S</w:t>
      </w:r>
      <w:r w:rsidRPr="00906407">
        <w:rPr>
          <w:bCs/>
          <w:color w:val="000000"/>
        </w:rPr>
        <w:t>ąjungos fondų investicijų veiksmų programą</w:t>
      </w:r>
      <w:r w:rsidRPr="00906407">
        <w:rPr>
          <w:rFonts w:eastAsia="Times New Roman" w:cs="Times New Roman"/>
          <w:color w:val="000000"/>
          <w:szCs w:val="24"/>
          <w:lang w:eastAsia="lt-LT"/>
        </w:rPr>
        <w:t>“:</w:t>
      </w:r>
    </w:p>
    <w:p w:rsidR="000563E6" w:rsidRPr="000563E6" w:rsidRDefault="000563E6" w:rsidP="007F4D55">
      <w:pPr>
        <w:tabs>
          <w:tab w:val="left" w:pos="709"/>
        </w:tabs>
        <w:autoSpaceDE w:val="0"/>
        <w:autoSpaceDN w:val="0"/>
        <w:adjustRightInd w:val="0"/>
        <w:spacing w:after="0" w:line="360" w:lineRule="atLeast"/>
        <w:ind w:firstLine="720"/>
        <w:jc w:val="both"/>
        <w:rPr>
          <w:rFonts w:eastAsia="Times New Roman" w:cs="Times New Roman"/>
          <w:color w:val="000000"/>
          <w:szCs w:val="24"/>
          <w:lang w:eastAsia="lt-LT"/>
        </w:rPr>
      </w:pPr>
      <w:r w:rsidRPr="000563E6">
        <w:rPr>
          <w:rFonts w:eastAsia="Times New Roman" w:cs="Times New Roman"/>
          <w:color w:val="000000"/>
          <w:szCs w:val="24"/>
          <w:lang w:val="pt-BR" w:eastAsia="lt-LT"/>
        </w:rPr>
        <w:t>1.</w:t>
      </w:r>
      <w:r>
        <w:rPr>
          <w:rFonts w:eastAsia="Times New Roman" w:cs="Times New Roman"/>
          <w:color w:val="000000"/>
          <w:szCs w:val="24"/>
          <w:lang w:val="pt-BR" w:eastAsia="lt-LT"/>
        </w:rPr>
        <w:t xml:space="preserve"> </w:t>
      </w:r>
      <w:r w:rsidRPr="000563E6">
        <w:rPr>
          <w:rFonts w:eastAsia="Times New Roman" w:cs="Times New Roman"/>
          <w:color w:val="000000"/>
          <w:szCs w:val="24"/>
          <w:lang w:val="pt-BR" w:eastAsia="lt-LT"/>
        </w:rPr>
        <w:t xml:space="preserve">Pakeisti preambulę </w:t>
      </w:r>
      <w:r w:rsidRPr="000563E6">
        <w:rPr>
          <w:rFonts w:eastAsia="Times New Roman" w:cs="Times New Roman"/>
          <w:color w:val="000000"/>
          <w:szCs w:val="24"/>
          <w:lang w:eastAsia="lt-LT"/>
        </w:rPr>
        <w:t>ir ją išdėstyti taip:</w:t>
      </w:r>
    </w:p>
    <w:p w:rsidR="000563E6" w:rsidRDefault="000563E6" w:rsidP="000563E6">
      <w:pPr>
        <w:pStyle w:val="Sraopastraipa"/>
        <w:tabs>
          <w:tab w:val="left" w:pos="709"/>
        </w:tabs>
        <w:autoSpaceDE w:val="0"/>
        <w:autoSpaceDN w:val="0"/>
        <w:adjustRightInd w:val="0"/>
        <w:spacing w:after="0" w:line="360" w:lineRule="atLeast"/>
        <w:ind w:left="0" w:firstLine="720"/>
        <w:jc w:val="both"/>
      </w:pPr>
      <w:r>
        <w:rPr>
          <w:rFonts w:eastAsia="Times New Roman" w:cs="Times New Roman"/>
          <w:color w:val="000000"/>
          <w:szCs w:val="24"/>
          <w:lang w:eastAsia="lt-LT"/>
        </w:rPr>
        <w:t>„</w:t>
      </w:r>
      <w:r>
        <w:t>Vadovaudamasi 2018 m. liepos 18 d. Europos Parlamento ir Tarybos reglamentu (ES, Euratomas) Nr. 2018/1046 dėl Sąjungos bendrajam biudžetui taikomų finansinių taisyklių, kuriuo iš dalies keičiami reglamentai (ES) Nr. 1296/2013, (ES) Nr. 1301/2013, (ES) Nr.</w:t>
      </w:r>
      <w:r w:rsidR="006D6EE9">
        <w:t> </w:t>
      </w:r>
      <w:r>
        <w:t>1303/2013, (ES) Nr. 1304/2013, (ES) Nr. 1309/2013, (ES) Nr. 1316/2013, (ES) Nr.</w:t>
      </w:r>
      <w:r w:rsidR="006D6EE9">
        <w:t> </w:t>
      </w:r>
      <w:r>
        <w:t xml:space="preserve">223/2014, (ES) Nr. 283/2014 ir Sprendimas Nr. 541/2014/ES bei panaikinamas Reglamentas (ES, Euratomas) Nr. 966/2012 </w:t>
      </w:r>
      <w:r w:rsidRPr="00F96A91">
        <w:rPr>
          <w:strike/>
        </w:rPr>
        <w:t>(OL 2018 L 193, p. 1)</w:t>
      </w:r>
      <w:r>
        <w:t xml:space="preserve">, 2013 m. gruodžio 17 d. Europos Parlamento ir Tarybos reglamentu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w:t>
      </w:r>
      <w:r w:rsidRPr="00F96A91">
        <w:rPr>
          <w:strike/>
        </w:rPr>
        <w:t>(OL 2013, L 347, p. 320)</w:t>
      </w:r>
      <w:r>
        <w:t xml:space="preserve">, su </w:t>
      </w:r>
      <w:r w:rsidRPr="00F96A91">
        <w:rPr>
          <w:b/>
        </w:rPr>
        <w:t>visais</w:t>
      </w:r>
      <w:r>
        <w:t xml:space="preserve"> </w:t>
      </w:r>
      <w:r w:rsidRPr="00F96A91">
        <w:rPr>
          <w:strike/>
        </w:rPr>
        <w:t>paskutiniais</w:t>
      </w:r>
      <w:r>
        <w:t xml:space="preserve"> pakeitimais</w:t>
      </w:r>
      <w:r w:rsidRPr="00F96A91">
        <w:rPr>
          <w:strike/>
        </w:rPr>
        <w:t>, padarytais reglamentu (ES, Euratomas) Nr. 2018/1046</w:t>
      </w:r>
      <w:r>
        <w:t xml:space="preserve">, 2013 m. gruodžio 17 d. Europos Parlamento ir Tarybos reglamentu (ES) Nr. 1301/2013 dėl Europos regioninės plėtros fondo ir dėl konkrečių su investicijų į ekonomikos augimą ir darbo vietų kūrimą tikslu susijusių nuostatų, kuriuo panaikinamas Reglamentas (EB) Nr. 1080/2006 </w:t>
      </w:r>
      <w:r w:rsidRPr="00F96A91">
        <w:rPr>
          <w:strike/>
        </w:rPr>
        <w:t>(OL 2013, L 347, p. 289)</w:t>
      </w:r>
      <w:r>
        <w:t xml:space="preserve">, 2013 m. gruodžio 17 d. Europos Parlamento ir Tarybos reglamentu (ES) Nr. 1304/2013 dėl Europos socialinio fondo, kuriuo panaikinamas Tarybos reglamentas (EB) Nr. 1081/2006 </w:t>
      </w:r>
      <w:r w:rsidRPr="00F96A91">
        <w:rPr>
          <w:strike/>
        </w:rPr>
        <w:t>(OL 2013, L 347, p. 470)</w:t>
      </w:r>
      <w:r>
        <w:t>,</w:t>
      </w:r>
      <w:r>
        <w:rPr>
          <w:b/>
          <w:bCs/>
        </w:rPr>
        <w:t xml:space="preserve"> </w:t>
      </w:r>
      <w:r>
        <w:t xml:space="preserve">su </w:t>
      </w:r>
      <w:r w:rsidRPr="00F96A91">
        <w:rPr>
          <w:b/>
        </w:rPr>
        <w:t>visais</w:t>
      </w:r>
      <w:r>
        <w:t xml:space="preserve"> </w:t>
      </w:r>
      <w:r w:rsidRPr="00F96A91">
        <w:rPr>
          <w:strike/>
        </w:rPr>
        <w:t>paskutiniais</w:t>
      </w:r>
      <w:r>
        <w:t xml:space="preserve"> pakeitimais</w:t>
      </w:r>
      <w:r w:rsidRPr="00F96A91">
        <w:rPr>
          <w:strike/>
        </w:rPr>
        <w:t>, padarytais reglamentu (ES, Euratomas) Nr. 2018/1046</w:t>
      </w:r>
      <w:r>
        <w:t>, 2013 m. gruodžio 17 d. Europos Parlamento ir Tarybos reglamentu (ES) Nr</w:t>
      </w:r>
      <w:r w:rsidR="007F4D55">
        <w:t>.</w:t>
      </w:r>
      <w:r w:rsidR="006D6EE9">
        <w:t> </w:t>
      </w:r>
      <w:r>
        <w:t>1300/2013 dėl Sanglaudos fondo, kuriuo panaikinamas Tarybos reglamentas (EB) Nr.</w:t>
      </w:r>
      <w:r w:rsidR="006D6EE9">
        <w:t> </w:t>
      </w:r>
      <w:r>
        <w:t xml:space="preserve">1084/2006 </w:t>
      </w:r>
      <w:r w:rsidRPr="00F96A91">
        <w:rPr>
          <w:strike/>
        </w:rPr>
        <w:t>(OL 2013, L 347, p. 281)</w:t>
      </w:r>
      <w:r>
        <w:t>, Lietuvos Respublikos Vyriausybė</w:t>
      </w:r>
      <w:r>
        <w:rPr>
          <w:spacing w:val="100"/>
        </w:rPr>
        <w:t xml:space="preserve"> nutari</w:t>
      </w:r>
      <w:r>
        <w:t>a:“.</w:t>
      </w:r>
    </w:p>
    <w:p w:rsidR="000563E6" w:rsidRPr="00565BCC" w:rsidRDefault="00565BCC" w:rsidP="00565BCC">
      <w:pPr>
        <w:tabs>
          <w:tab w:val="left" w:pos="709"/>
        </w:tabs>
        <w:autoSpaceDE w:val="0"/>
        <w:autoSpaceDN w:val="0"/>
        <w:adjustRightInd w:val="0"/>
        <w:spacing w:after="0" w:line="360" w:lineRule="atLeast"/>
        <w:ind w:firstLine="720"/>
        <w:jc w:val="both"/>
        <w:rPr>
          <w:rFonts w:eastAsia="Times New Roman" w:cs="Times New Roman"/>
          <w:color w:val="000000"/>
          <w:szCs w:val="24"/>
          <w:lang w:val="en-US" w:eastAsia="lt-LT"/>
        </w:rPr>
      </w:pPr>
      <w:r>
        <w:t xml:space="preserve">2. </w:t>
      </w:r>
      <w:r w:rsidR="000563E6">
        <w:t xml:space="preserve">Pakeisti </w:t>
      </w:r>
      <w:r w:rsidR="000563E6" w:rsidRPr="00565BCC">
        <w:rPr>
          <w:lang w:val="en-US"/>
        </w:rPr>
        <w:t>2</w:t>
      </w:r>
      <w:r w:rsidR="000563E6">
        <w:t xml:space="preserve"> punktą ir jį išdėstyti taip:</w:t>
      </w:r>
    </w:p>
    <w:p w:rsidR="000563E6" w:rsidRDefault="000563E6" w:rsidP="00565BCC">
      <w:pPr>
        <w:pStyle w:val="Sraopastraipa"/>
        <w:tabs>
          <w:tab w:val="left" w:pos="709"/>
        </w:tabs>
        <w:autoSpaceDE w:val="0"/>
        <w:autoSpaceDN w:val="0"/>
        <w:adjustRightInd w:val="0"/>
        <w:spacing w:after="0" w:line="360" w:lineRule="atLeast"/>
        <w:ind w:left="0" w:firstLine="720"/>
        <w:jc w:val="both"/>
      </w:pPr>
      <w:r>
        <w:lastRenderedPageBreak/>
        <w:t>„</w:t>
      </w:r>
      <w:r>
        <w:rPr>
          <w:lang w:val="en-US"/>
        </w:rPr>
        <w:t>2.</w:t>
      </w:r>
      <w:r w:rsidRPr="00F96A91">
        <w:t xml:space="preserve"> </w:t>
      </w:r>
      <w:r>
        <w:t xml:space="preserve">Pavesti Lietuvos Respublikos finansų ministerijai atlikti 2014–2020 metų Europos Sąjungos fondų investicijų veiksmų programos, patvirtintos 2014 m. rugsėjo 8 d. Europos Komisijos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 6397), su </w:t>
      </w:r>
      <w:r w:rsidRPr="00F96A91">
        <w:rPr>
          <w:b/>
        </w:rPr>
        <w:t>visais</w:t>
      </w:r>
      <w:r>
        <w:t xml:space="preserve"> </w:t>
      </w:r>
      <w:r w:rsidRPr="00F96A91">
        <w:rPr>
          <w:strike/>
        </w:rPr>
        <w:t>paskutiniais</w:t>
      </w:r>
      <w:r>
        <w:t xml:space="preserve"> pakeitimais</w:t>
      </w:r>
      <w:r w:rsidRPr="007F4D55">
        <w:rPr>
          <w:strike/>
        </w:rPr>
        <w:t xml:space="preserve">, </w:t>
      </w:r>
      <w:r w:rsidRPr="00F96A91">
        <w:rPr>
          <w:strike/>
        </w:rPr>
        <w:t>padarytais 2018 m. rugsėjo 24 d. Europos Komisijos įgyvendinimo sprendimu (apie nurodytą sprendimą Europos Komisija pranešė dokumentu Nr. C(2018)6019)</w:t>
      </w:r>
      <w:r>
        <w:t xml:space="preserve"> (toliau – veiksmų programa), vadovaujančiosios, tvirtinančiosios ir mokėjimo institucijų funkcijas.“</w:t>
      </w:r>
    </w:p>
    <w:p w:rsidR="000563E6" w:rsidRPr="00565BCC" w:rsidRDefault="00565BCC" w:rsidP="00565BCC">
      <w:pPr>
        <w:tabs>
          <w:tab w:val="left" w:pos="709"/>
        </w:tabs>
        <w:autoSpaceDE w:val="0"/>
        <w:autoSpaceDN w:val="0"/>
        <w:adjustRightInd w:val="0"/>
        <w:spacing w:after="0" w:line="360" w:lineRule="atLeast"/>
        <w:ind w:firstLine="720"/>
        <w:jc w:val="both"/>
        <w:rPr>
          <w:rFonts w:eastAsia="Times New Roman" w:cs="Times New Roman"/>
          <w:color w:val="000000"/>
          <w:szCs w:val="24"/>
          <w:lang w:eastAsia="lt-LT"/>
        </w:rPr>
      </w:pPr>
      <w:r>
        <w:t xml:space="preserve">3. </w:t>
      </w:r>
      <w:r w:rsidR="000563E6">
        <w:t>Pakeisti nurodytu nutarimu patvirtintas A</w:t>
      </w:r>
      <w:r w:rsidR="000563E6" w:rsidRPr="00565BCC">
        <w:rPr>
          <w:bCs/>
          <w:color w:val="000000"/>
        </w:rPr>
        <w:t>tsakomybės ir funkcijų paskirstymo tarp institucijų, įgyvendinant 2014–2020 metų Europos Sąjungos fondų investicijų veiksmų programą, taisykles:</w:t>
      </w:r>
    </w:p>
    <w:p w:rsidR="000563E6" w:rsidRPr="00565BCC" w:rsidRDefault="00565BCC" w:rsidP="00565BCC">
      <w:pPr>
        <w:tabs>
          <w:tab w:val="left" w:pos="709"/>
          <w:tab w:val="left" w:pos="1276"/>
        </w:tabs>
        <w:autoSpaceDE w:val="0"/>
        <w:autoSpaceDN w:val="0"/>
        <w:adjustRightInd w:val="0"/>
        <w:spacing w:after="0" w:line="360" w:lineRule="atLeast"/>
        <w:ind w:firstLine="720"/>
        <w:jc w:val="both"/>
        <w:rPr>
          <w:rFonts w:cs="Times New Roman"/>
          <w:color w:val="000000"/>
          <w:szCs w:val="24"/>
        </w:rPr>
      </w:pPr>
      <w:r>
        <w:rPr>
          <w:rFonts w:cs="Times New Roman"/>
          <w:color w:val="000000"/>
          <w:szCs w:val="24"/>
        </w:rPr>
        <w:t xml:space="preserve">3.1. </w:t>
      </w:r>
      <w:r w:rsidR="000563E6" w:rsidRPr="00565BCC">
        <w:rPr>
          <w:rFonts w:cs="Times New Roman"/>
          <w:color w:val="000000"/>
          <w:szCs w:val="24"/>
        </w:rPr>
        <w:t xml:space="preserve">Pakeisti </w:t>
      </w:r>
      <w:r w:rsidR="000563E6" w:rsidRPr="00565BCC">
        <w:rPr>
          <w:rFonts w:cs="Times New Roman"/>
          <w:color w:val="000000"/>
          <w:szCs w:val="24"/>
          <w:lang w:val="en-US"/>
        </w:rPr>
        <w:t>1</w:t>
      </w:r>
      <w:r w:rsidR="000563E6" w:rsidRPr="00565BCC">
        <w:rPr>
          <w:rFonts w:cs="Times New Roman"/>
          <w:color w:val="000000"/>
          <w:szCs w:val="24"/>
        </w:rPr>
        <w:t xml:space="preserve"> punktą ir jį išdėstyti taip:</w:t>
      </w:r>
    </w:p>
    <w:p w:rsidR="000563E6" w:rsidRDefault="000563E6" w:rsidP="00565BCC">
      <w:pPr>
        <w:pStyle w:val="Sraopastraipa"/>
        <w:tabs>
          <w:tab w:val="left" w:pos="1276"/>
        </w:tabs>
        <w:autoSpaceDE w:val="0"/>
        <w:autoSpaceDN w:val="0"/>
        <w:adjustRightInd w:val="0"/>
        <w:spacing w:after="0" w:line="360" w:lineRule="atLeast"/>
        <w:ind w:left="0" w:firstLine="720"/>
        <w:jc w:val="both"/>
      </w:pPr>
      <w:r>
        <w:rPr>
          <w:rFonts w:cs="Times New Roman"/>
          <w:color w:val="000000"/>
          <w:szCs w:val="24"/>
        </w:rPr>
        <w:t>„</w:t>
      </w:r>
      <w:r>
        <w:rPr>
          <w:rFonts w:cs="Times New Roman"/>
          <w:color w:val="000000"/>
          <w:szCs w:val="24"/>
          <w:lang w:val="en-US"/>
        </w:rPr>
        <w:t>1.</w:t>
      </w:r>
      <w:r>
        <w:rPr>
          <w:rFonts w:cs="Times New Roman"/>
          <w:color w:val="000000"/>
          <w:szCs w:val="24"/>
        </w:rPr>
        <w:t xml:space="preserve"> </w:t>
      </w:r>
      <w:r>
        <w:t xml:space="preserve">Atsakomybės ir funkcijų paskirstymo tarp institucijų, įgyvendinant 2014–2020 metų Europos Sąjungos fondų investicijų veiksmų programą, taisyklėse (toliau – Taisyklės) reglamentuojama institucijų, dalyvaujančių įgyvendinant 2014–2020 metų Europos Sąjungos fondų investicijų veiksmų programą, patvirtintą 2014 m. rugsėjo 8 d. Europos Komisijos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 6397), su </w:t>
      </w:r>
      <w:r w:rsidRPr="00655358">
        <w:rPr>
          <w:b/>
        </w:rPr>
        <w:t>visais</w:t>
      </w:r>
      <w:r>
        <w:t xml:space="preserve"> </w:t>
      </w:r>
      <w:r w:rsidRPr="00655358">
        <w:rPr>
          <w:strike/>
        </w:rPr>
        <w:t>paskutiniais</w:t>
      </w:r>
      <w:r>
        <w:t xml:space="preserve"> pakeitimais</w:t>
      </w:r>
      <w:r w:rsidRPr="00655358">
        <w:rPr>
          <w:strike/>
        </w:rPr>
        <w:t>, padarytais 2018 m. rugsėjo 24 d. Europos Komisijos įgyvendinimo sprendimu (apie nurodytą sprendimą Europos Komisija pranešė dokumentu Nr. C(2018)6019)</w:t>
      </w:r>
      <w:r>
        <w:t xml:space="preserve"> (toliau – veiksmų programa), atsakomybė, funkcijos ir teisės. Atsakomybės paskirstymas tarp institucijų, atsakingų už veiksmų programos įgyvendinimą, nustatytas Taisyklių priede.“</w:t>
      </w:r>
    </w:p>
    <w:p w:rsidR="000563E6" w:rsidRPr="000563E6" w:rsidRDefault="000563E6" w:rsidP="000563E6">
      <w:pPr>
        <w:tabs>
          <w:tab w:val="left" w:pos="1276"/>
        </w:tabs>
        <w:autoSpaceDE w:val="0"/>
        <w:autoSpaceDN w:val="0"/>
        <w:adjustRightInd w:val="0"/>
        <w:spacing w:after="0" w:line="360" w:lineRule="atLeast"/>
        <w:ind w:firstLine="720"/>
        <w:jc w:val="both"/>
      </w:pPr>
      <w:r>
        <w:rPr>
          <w:lang w:val="en-US"/>
        </w:rPr>
        <w:t xml:space="preserve">3.2. </w:t>
      </w:r>
      <w:r>
        <w:t xml:space="preserve">Pakeisti </w:t>
      </w:r>
      <w:r w:rsidRPr="000563E6">
        <w:rPr>
          <w:lang w:val="en-US"/>
        </w:rPr>
        <w:t xml:space="preserve">2.2 </w:t>
      </w:r>
      <w:proofErr w:type="spellStart"/>
      <w:r w:rsidRPr="000563E6">
        <w:rPr>
          <w:lang w:val="en-US"/>
        </w:rPr>
        <w:t>papunktį</w:t>
      </w:r>
      <w:proofErr w:type="spellEnd"/>
      <w:r w:rsidRPr="000563E6">
        <w:rPr>
          <w:lang w:val="en-US"/>
        </w:rPr>
        <w:t xml:space="preserve"> </w:t>
      </w:r>
      <w:proofErr w:type="spellStart"/>
      <w:r w:rsidRPr="000563E6">
        <w:rPr>
          <w:lang w:val="en-US"/>
        </w:rPr>
        <w:t>ir</w:t>
      </w:r>
      <w:proofErr w:type="spellEnd"/>
      <w:r w:rsidRPr="000563E6">
        <w:rPr>
          <w:lang w:val="en-US"/>
        </w:rPr>
        <w:t xml:space="preserve"> </w:t>
      </w:r>
      <w:proofErr w:type="spellStart"/>
      <w:r w:rsidRPr="000563E6">
        <w:rPr>
          <w:lang w:val="en-US"/>
        </w:rPr>
        <w:t>jį</w:t>
      </w:r>
      <w:proofErr w:type="spellEnd"/>
      <w:r w:rsidRPr="000563E6">
        <w:rPr>
          <w:lang w:val="en-US"/>
        </w:rPr>
        <w:t xml:space="preserve"> </w:t>
      </w:r>
      <w:proofErr w:type="spellStart"/>
      <w:r w:rsidRPr="000563E6">
        <w:rPr>
          <w:lang w:val="en-US"/>
        </w:rPr>
        <w:t>išdėstyti</w:t>
      </w:r>
      <w:proofErr w:type="spellEnd"/>
      <w:r w:rsidRPr="000563E6">
        <w:rPr>
          <w:lang w:val="en-US"/>
        </w:rPr>
        <w:t xml:space="preserve"> </w:t>
      </w:r>
      <w:proofErr w:type="spellStart"/>
      <w:r w:rsidRPr="000563E6">
        <w:rPr>
          <w:lang w:val="en-US"/>
        </w:rPr>
        <w:t>taip</w:t>
      </w:r>
      <w:proofErr w:type="spellEnd"/>
      <w:r w:rsidRPr="000563E6">
        <w:rPr>
          <w:lang w:val="en-US"/>
        </w:rPr>
        <w:t>:</w:t>
      </w:r>
    </w:p>
    <w:p w:rsidR="000563E6" w:rsidRDefault="000563E6" w:rsidP="000563E6">
      <w:pPr>
        <w:pStyle w:val="Sraopastraipa"/>
        <w:tabs>
          <w:tab w:val="left" w:pos="1276"/>
        </w:tabs>
        <w:autoSpaceDE w:val="0"/>
        <w:autoSpaceDN w:val="0"/>
        <w:adjustRightInd w:val="0"/>
        <w:spacing w:after="0" w:line="360" w:lineRule="atLeast"/>
        <w:ind w:left="0" w:firstLine="720"/>
        <w:jc w:val="both"/>
      </w:pPr>
      <w:r>
        <w:rPr>
          <w:rFonts w:cs="Times New Roman"/>
          <w:color w:val="000000"/>
          <w:szCs w:val="24"/>
        </w:rPr>
        <w:t>„</w:t>
      </w:r>
      <w:r>
        <w:t xml:space="preserve">2.2. </w:t>
      </w:r>
      <w:r w:rsidRPr="00015D12">
        <w:rPr>
          <w:bCs/>
        </w:rPr>
        <w:t>Audito institucija</w:t>
      </w:r>
      <w:r>
        <w:t xml:space="preserve"> – institucija, atsakinga už 2014–2020 metų Europos Sąjungos struktūrinių fondų lėšų valdymo ir kontrolės sistemos veikimo, Europos Komisijai deklaruotų išlaidų ir sąskaitų audito ir valdymo ir kontrolės sistemos institucijų atitikties jų paskyrimo kriterijams audito atlikimą pagal 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w:t>
      </w:r>
      <w:r w:rsidRPr="00655358">
        <w:rPr>
          <w:strike/>
        </w:rPr>
        <w:t>(OL 2013, L 347, p. 320)</w:t>
      </w:r>
      <w:r>
        <w:t xml:space="preserve">, su </w:t>
      </w:r>
      <w:r w:rsidRPr="00655358">
        <w:rPr>
          <w:b/>
        </w:rPr>
        <w:t>visais</w:t>
      </w:r>
      <w:r>
        <w:t xml:space="preserve"> </w:t>
      </w:r>
      <w:r w:rsidRPr="00655358">
        <w:rPr>
          <w:strike/>
        </w:rPr>
        <w:t>paskutiniais</w:t>
      </w:r>
      <w:r>
        <w:t xml:space="preserve"> pakeitimais</w:t>
      </w:r>
      <w:r w:rsidRPr="00655358">
        <w:rPr>
          <w:strike/>
        </w:rPr>
        <w:t xml:space="preserve">, padarytais 2018 m. liepos 18 d. Europos </w:t>
      </w:r>
      <w:r w:rsidRPr="00655358">
        <w:rPr>
          <w:strike/>
        </w:rPr>
        <w:lastRenderedPageBreak/>
        <w:t>Parlamento ir Tarybos reglamentu (ES, Euratomas) Nr. 2018/1046 dėl Sąjungos bendrajam biudžetui taikomų finansinių taisyklių, kuriuo iš dalies keičiami reglamentai (ES) Nr. 1296/2013, (ES) Nr. 1301/2013, (ES) Nr. 1303/2013, (ES) Nr. 1304/2013, (ES) Nr. 1309/2013, (ES) Nr. 1316/2013, (ES) Nr. 223/2014, (ES) Nr. 283/2014 ir Sprendimas Nr. 541/2014/ES bei panaikinamas Reglamentas (ES, Euratomas) Nr. 966/2012 (OL 2018 L 193, p. 1)</w:t>
      </w:r>
      <w:r>
        <w:t>.“</w:t>
      </w:r>
    </w:p>
    <w:p w:rsidR="000563E6" w:rsidRPr="00565BCC" w:rsidRDefault="00565BCC" w:rsidP="00565BCC">
      <w:pPr>
        <w:tabs>
          <w:tab w:val="left" w:pos="1276"/>
        </w:tabs>
        <w:autoSpaceDE w:val="0"/>
        <w:autoSpaceDN w:val="0"/>
        <w:adjustRightInd w:val="0"/>
        <w:spacing w:after="0" w:line="360" w:lineRule="atLeast"/>
        <w:ind w:firstLine="720"/>
        <w:jc w:val="both"/>
        <w:rPr>
          <w:rFonts w:cs="Times New Roman"/>
          <w:color w:val="000000"/>
          <w:szCs w:val="24"/>
        </w:rPr>
      </w:pPr>
      <w:r>
        <w:rPr>
          <w:rFonts w:cs="Times New Roman"/>
          <w:color w:val="000000"/>
          <w:szCs w:val="24"/>
        </w:rPr>
        <w:t>3.3.</w:t>
      </w:r>
      <w:r w:rsidR="000563E6" w:rsidRPr="00565BCC">
        <w:rPr>
          <w:rFonts w:cs="Times New Roman"/>
          <w:color w:val="000000"/>
          <w:szCs w:val="24"/>
        </w:rPr>
        <w:t xml:space="preserve"> Pakeisti </w:t>
      </w:r>
      <w:r w:rsidR="000563E6">
        <w:t>2.37</w:t>
      </w:r>
      <w:r w:rsidR="000563E6" w:rsidRPr="00565BCC">
        <w:rPr>
          <w:vertAlign w:val="superscript"/>
        </w:rPr>
        <w:t>1</w:t>
      </w:r>
      <w:r w:rsidR="000563E6" w:rsidRPr="00565BCC">
        <w:rPr>
          <w:rFonts w:cs="Times New Roman"/>
          <w:color w:val="000000"/>
          <w:szCs w:val="24"/>
        </w:rPr>
        <w:t xml:space="preserve"> papunktį ir jį išdėstyti taip: </w:t>
      </w:r>
    </w:p>
    <w:p w:rsidR="000563E6" w:rsidRPr="000563E6" w:rsidRDefault="000563E6" w:rsidP="00565BCC">
      <w:pPr>
        <w:pStyle w:val="Sraopastraipa"/>
        <w:tabs>
          <w:tab w:val="left" w:pos="1276"/>
        </w:tabs>
        <w:autoSpaceDE w:val="0"/>
        <w:autoSpaceDN w:val="0"/>
        <w:adjustRightInd w:val="0"/>
        <w:spacing w:after="0" w:line="360" w:lineRule="atLeast"/>
        <w:ind w:left="0" w:firstLine="720"/>
        <w:jc w:val="both"/>
      </w:pPr>
      <w:r>
        <w:t>„2.37</w:t>
      </w:r>
      <w:r>
        <w:rPr>
          <w:vertAlign w:val="superscript"/>
        </w:rPr>
        <w:t>1</w:t>
      </w:r>
      <w:r>
        <w:t xml:space="preserve">. </w:t>
      </w:r>
      <w:r w:rsidRPr="00015D12">
        <w:t>„</w:t>
      </w:r>
      <w:r w:rsidRPr="00015D12">
        <w:rPr>
          <w:bCs/>
        </w:rPr>
        <w:t>Jaunimo užimtumo iniciatyva</w:t>
      </w:r>
      <w:r w:rsidRPr="00015D12">
        <w:t>“</w:t>
      </w:r>
      <w:r>
        <w:t xml:space="preserve"> – 2013 m. gruodžio 17 d. Europos Parlamento ir Tarybos reglamento (ES) Nr. 1304/2013 dėl Europos socialinio fondo, kuriuo panaikinamas Tarybos reglamentas (EB) Nr. 1081/2006 </w:t>
      </w:r>
      <w:r w:rsidRPr="0060028C">
        <w:rPr>
          <w:strike/>
        </w:rPr>
        <w:t>(OL 2013, L 347, p. 470)</w:t>
      </w:r>
      <w:r>
        <w:t>, 16 straipsnyje nurodytiems tikslams įgyvendinti skirta priemonė, iš kurios lėšų, apimančių Europos Komisijos specialius asignavimus ir šiai priemonei bendrai finansuoti skiriamą Europos socialinio fondo lėšų dalį, remiama kova su jaunimo nedarbu.“</w:t>
      </w:r>
    </w:p>
    <w:p w:rsidR="00EC26BF" w:rsidRDefault="000563E6" w:rsidP="000563E6">
      <w:pPr>
        <w:tabs>
          <w:tab w:val="left" w:pos="709"/>
        </w:tabs>
        <w:autoSpaceDE w:val="0"/>
        <w:autoSpaceDN w:val="0"/>
        <w:adjustRightInd w:val="0"/>
        <w:spacing w:after="0" w:line="360" w:lineRule="atLeast"/>
        <w:ind w:firstLine="720"/>
        <w:jc w:val="both"/>
        <w:rPr>
          <w:rFonts w:cs="Times New Roman"/>
          <w:color w:val="000000"/>
          <w:szCs w:val="24"/>
        </w:rPr>
      </w:pPr>
      <w:r>
        <w:rPr>
          <w:rFonts w:eastAsia="Times New Roman" w:cs="Times New Roman"/>
          <w:color w:val="000000"/>
          <w:szCs w:val="24"/>
          <w:lang w:val="pt-BR" w:eastAsia="lt-LT"/>
        </w:rPr>
        <w:t xml:space="preserve">3.4. </w:t>
      </w:r>
      <w:r w:rsidR="00EE5D8D">
        <w:rPr>
          <w:rFonts w:eastAsia="Times New Roman" w:cs="Times New Roman"/>
          <w:color w:val="000000"/>
          <w:szCs w:val="24"/>
          <w:lang w:val="pt-BR" w:eastAsia="lt-LT"/>
        </w:rPr>
        <w:t>Pripažinti netekusiu galios</w:t>
      </w:r>
      <w:r w:rsidR="00EC26BF">
        <w:rPr>
          <w:rFonts w:eastAsia="Times New Roman" w:cs="Times New Roman"/>
          <w:color w:val="000000"/>
          <w:szCs w:val="24"/>
          <w:lang w:val="pt-BR" w:eastAsia="lt-LT"/>
        </w:rPr>
        <w:t xml:space="preserve"> </w:t>
      </w:r>
      <w:r w:rsidR="003A7204">
        <w:rPr>
          <w:rFonts w:cs="Times New Roman"/>
          <w:color w:val="000000"/>
          <w:szCs w:val="24"/>
        </w:rPr>
        <w:t xml:space="preserve">2.39 </w:t>
      </w:r>
      <w:r w:rsidR="007560E2">
        <w:rPr>
          <w:rFonts w:cs="Times New Roman"/>
          <w:color w:val="000000"/>
          <w:szCs w:val="24"/>
        </w:rPr>
        <w:t>papunktį</w:t>
      </w:r>
      <w:r w:rsidR="00C33B71">
        <w:rPr>
          <w:rFonts w:cs="Times New Roman"/>
          <w:color w:val="000000"/>
          <w:szCs w:val="24"/>
        </w:rPr>
        <w:t>.</w:t>
      </w:r>
    </w:p>
    <w:p w:rsidR="00EC26BF" w:rsidRDefault="00C95B21" w:rsidP="000563E6">
      <w:pPr>
        <w:spacing w:after="0" w:line="360" w:lineRule="atLeast"/>
        <w:ind w:firstLine="720"/>
        <w:jc w:val="both"/>
        <w:rPr>
          <w:rFonts w:cs="Times New Roman"/>
          <w:strike/>
          <w:color w:val="000000"/>
          <w:szCs w:val="24"/>
        </w:rPr>
      </w:pPr>
      <w:r>
        <w:rPr>
          <w:rFonts w:cs="Times New Roman"/>
          <w:strike/>
          <w:color w:val="000000"/>
          <w:szCs w:val="24"/>
        </w:rPr>
        <w:t>2</w:t>
      </w:r>
      <w:r w:rsidR="007560E2" w:rsidRPr="007560E2">
        <w:rPr>
          <w:rFonts w:cs="Times New Roman"/>
          <w:strike/>
          <w:color w:val="000000"/>
          <w:szCs w:val="24"/>
        </w:rPr>
        <w:t>.39.</w:t>
      </w:r>
      <w:r w:rsidR="00617ADE">
        <w:rPr>
          <w:rFonts w:cs="Times New Roman"/>
          <w:strike/>
          <w:color w:val="000000"/>
          <w:szCs w:val="24"/>
        </w:rPr>
        <w:t xml:space="preserve"> </w:t>
      </w:r>
      <w:r w:rsidR="00413938" w:rsidRPr="00463D41">
        <w:rPr>
          <w:strike/>
          <w:szCs w:val="24"/>
        </w:rPr>
        <w:t>Ketvirtinis komunikacijos planas</w:t>
      </w:r>
      <w:r w:rsidR="00413938" w:rsidRPr="00EE5D8D">
        <w:rPr>
          <w:strike/>
          <w:szCs w:val="24"/>
        </w:rPr>
        <w:t xml:space="preserve"> – metinio komunikacijos plano įgyvendinimo dokumentas, kuriame detalizuojamos kiekvieno ketvirčio Europos Sąjungos struktūrinių fondų komunikacijos priemonės, joms įgyvendinti numatytos lėšos, siektini rezultatai, nurodomos atsakingos institucijos, tikslinės grupės, įgyvendinimo terminai, kita reikalinga informacija</w:t>
      </w:r>
      <w:r w:rsidR="00C33B71">
        <w:rPr>
          <w:rFonts w:cs="Times New Roman"/>
          <w:strike/>
          <w:color w:val="000000"/>
          <w:szCs w:val="24"/>
        </w:rPr>
        <w:t>:</w:t>
      </w:r>
      <w:r w:rsidR="00EC26BF" w:rsidRPr="00EE5D8D">
        <w:rPr>
          <w:rFonts w:cs="Times New Roman"/>
          <w:strike/>
          <w:color w:val="000000"/>
          <w:szCs w:val="24"/>
        </w:rPr>
        <w:t xml:space="preserve"> </w:t>
      </w:r>
    </w:p>
    <w:p w:rsidR="000563E6" w:rsidRDefault="000563E6" w:rsidP="00565BCC">
      <w:pPr>
        <w:tabs>
          <w:tab w:val="left" w:pos="709"/>
        </w:tabs>
        <w:autoSpaceDE w:val="0"/>
        <w:autoSpaceDN w:val="0"/>
        <w:adjustRightInd w:val="0"/>
        <w:spacing w:after="0" w:line="360" w:lineRule="atLeast"/>
        <w:ind w:firstLine="720"/>
        <w:jc w:val="both"/>
        <w:rPr>
          <w:rFonts w:cs="Times New Roman"/>
          <w:color w:val="000000"/>
          <w:szCs w:val="24"/>
          <w:lang w:val="en-US"/>
        </w:rPr>
      </w:pPr>
      <w:r>
        <w:rPr>
          <w:rFonts w:cs="Times New Roman"/>
          <w:color w:val="000000"/>
          <w:szCs w:val="24"/>
          <w:lang w:val="en-US"/>
        </w:rPr>
        <w:t>3.5.</w:t>
      </w:r>
      <w:r w:rsidRPr="0060028C">
        <w:t xml:space="preserve"> </w:t>
      </w:r>
      <w:r>
        <w:t>Pakeisti 2.49 papunktį ir jį išdėstyti taip:</w:t>
      </w:r>
    </w:p>
    <w:p w:rsidR="000563E6" w:rsidRDefault="000563E6" w:rsidP="00565BCC">
      <w:pPr>
        <w:tabs>
          <w:tab w:val="left" w:pos="709"/>
        </w:tabs>
        <w:autoSpaceDE w:val="0"/>
        <w:autoSpaceDN w:val="0"/>
        <w:adjustRightInd w:val="0"/>
        <w:spacing w:after="0" w:line="360" w:lineRule="atLeast"/>
        <w:ind w:firstLine="720"/>
        <w:jc w:val="both"/>
      </w:pPr>
      <w:r>
        <w:rPr>
          <w:rFonts w:cs="Times New Roman"/>
          <w:color w:val="000000"/>
          <w:szCs w:val="24"/>
        </w:rPr>
        <w:t>„</w:t>
      </w:r>
      <w:r>
        <w:t xml:space="preserve">2.49. </w:t>
      </w:r>
      <w:r w:rsidRPr="00015D12">
        <w:rPr>
          <w:bCs/>
        </w:rPr>
        <w:t>Partnerystės sutartis</w:t>
      </w:r>
      <w:r>
        <w:t xml:space="preserve"> – valstybės narės kartu su </w:t>
      </w:r>
      <w:bookmarkStart w:id="0" w:name="_GoBack"/>
      <w:bookmarkEnd w:id="0"/>
      <w:r>
        <w:t xml:space="preserve">partneriais laikantis daugiapakopio valdymo principo parengtas ir 2014 m. birželio 20 d. Europos Komisijos įgyvendinimo sprendimu, kuriuo patvirtinami tam tikri partnerystės sutarties su Lietuva elementai (apie nurodytą sprendimą Europos Komisija pranešė dokumentu Nr. C(2014) 4234), su </w:t>
      </w:r>
      <w:r w:rsidRPr="0060028C">
        <w:rPr>
          <w:b/>
        </w:rPr>
        <w:t>visais</w:t>
      </w:r>
      <w:r>
        <w:t xml:space="preserve"> </w:t>
      </w:r>
      <w:r w:rsidRPr="0060028C">
        <w:rPr>
          <w:strike/>
        </w:rPr>
        <w:t>paskutiniais</w:t>
      </w:r>
      <w:r>
        <w:t xml:space="preserve"> pakeitimais, </w:t>
      </w:r>
      <w:r w:rsidRPr="0060028C">
        <w:rPr>
          <w:strike/>
        </w:rPr>
        <w:t>padarytais 2018 m. balandžio 11 d. Europos Komisijos įgyvendinimo sprendimu (apie nurodytą sprendimą Europos Komisija pranešė dokumentu Nr. C(2018)2076),</w:t>
      </w:r>
      <w:r>
        <w:rPr>
          <w:b/>
          <w:bCs/>
        </w:rPr>
        <w:t xml:space="preserve"> </w:t>
      </w:r>
      <w:r>
        <w:t>patvirtintas dokumentas, kuriuo nustatoma tos valstybės narės Europos Sąjungos struktūrinių fondų lėšų veiksmingo ir efektyvaus naudojimo strategija, prioritetai ir tvarka, siekiant 2010 m. kovo 3 d. Europos Komisijos komunikato „2020 m. Europa. Pažangaus, tvaraus ir integracinio augimo strategija“ tikslų.“</w:t>
      </w:r>
    </w:p>
    <w:p w:rsidR="00EC26BF" w:rsidRDefault="000563E6" w:rsidP="00565BCC">
      <w:pPr>
        <w:tabs>
          <w:tab w:val="left" w:pos="709"/>
        </w:tabs>
        <w:autoSpaceDE w:val="0"/>
        <w:autoSpaceDN w:val="0"/>
        <w:adjustRightInd w:val="0"/>
        <w:spacing w:after="0" w:line="360" w:lineRule="atLeast"/>
        <w:ind w:firstLine="720"/>
        <w:jc w:val="both"/>
        <w:rPr>
          <w:rFonts w:cs="Times New Roman"/>
          <w:color w:val="000000"/>
          <w:szCs w:val="24"/>
        </w:rPr>
      </w:pPr>
      <w:r>
        <w:rPr>
          <w:rFonts w:cs="Times New Roman"/>
          <w:color w:val="000000"/>
          <w:szCs w:val="24"/>
        </w:rPr>
        <w:t>3.6</w:t>
      </w:r>
      <w:r w:rsidR="00EE5D8D">
        <w:rPr>
          <w:rFonts w:cs="Times New Roman"/>
          <w:color w:val="000000"/>
          <w:szCs w:val="24"/>
        </w:rPr>
        <w:t>. Pripažinti netekusiu galios 4.16.11.5 papunktį</w:t>
      </w:r>
      <w:r w:rsidR="00C33B71">
        <w:rPr>
          <w:rFonts w:cs="Times New Roman"/>
          <w:color w:val="000000"/>
          <w:szCs w:val="24"/>
        </w:rPr>
        <w:t>.</w:t>
      </w:r>
    </w:p>
    <w:p w:rsidR="00EC26BF" w:rsidRPr="00EE5D8D" w:rsidRDefault="007560E2" w:rsidP="000563E6">
      <w:pPr>
        <w:tabs>
          <w:tab w:val="left" w:pos="709"/>
        </w:tabs>
        <w:autoSpaceDE w:val="0"/>
        <w:autoSpaceDN w:val="0"/>
        <w:adjustRightInd w:val="0"/>
        <w:spacing w:after="0" w:line="360" w:lineRule="atLeast"/>
        <w:ind w:firstLine="720"/>
        <w:jc w:val="both"/>
        <w:rPr>
          <w:rFonts w:cs="Times New Roman"/>
          <w:strike/>
          <w:color w:val="000000"/>
          <w:szCs w:val="24"/>
        </w:rPr>
      </w:pPr>
      <w:r w:rsidRPr="007560E2">
        <w:rPr>
          <w:rFonts w:cs="Times New Roman"/>
          <w:strike/>
          <w:color w:val="000000"/>
          <w:szCs w:val="24"/>
        </w:rPr>
        <w:t>4.16.11.5</w:t>
      </w:r>
      <w:r w:rsidR="00617ADE">
        <w:rPr>
          <w:rFonts w:cs="Times New Roman"/>
          <w:strike/>
          <w:color w:val="000000"/>
          <w:szCs w:val="24"/>
        </w:rPr>
        <w:t>.</w:t>
      </w:r>
      <w:r w:rsidRPr="007560E2">
        <w:rPr>
          <w:rFonts w:cs="Times New Roman"/>
          <w:strike/>
          <w:color w:val="000000"/>
          <w:szCs w:val="24"/>
        </w:rPr>
        <w:t xml:space="preserve"> </w:t>
      </w:r>
      <w:r w:rsidR="00EE5D8D" w:rsidRPr="007560E2">
        <w:rPr>
          <w:strike/>
          <w:szCs w:val="24"/>
        </w:rPr>
        <w:t>Teisės</w:t>
      </w:r>
      <w:r w:rsidR="00EE5D8D" w:rsidRPr="00EE5D8D">
        <w:rPr>
          <w:strike/>
          <w:szCs w:val="24"/>
        </w:rPr>
        <w:t xml:space="preserve"> aktų nustatyta tvarka organizuoja ketvirtinių komunikacijos planų rengimą ir įgyvendinimą, teikia ketvirtinį komunikacijos planą Informavimo ir komunikacijos grupei tvirtinti</w:t>
      </w:r>
      <w:r w:rsidR="00C33B71">
        <w:rPr>
          <w:rFonts w:cs="Times New Roman"/>
          <w:strike/>
          <w:color w:val="000000"/>
          <w:szCs w:val="24"/>
        </w:rPr>
        <w:t>;</w:t>
      </w:r>
    </w:p>
    <w:p w:rsidR="00634CDF" w:rsidRDefault="007560E2" w:rsidP="000563E6">
      <w:pPr>
        <w:tabs>
          <w:tab w:val="left" w:pos="709"/>
        </w:tabs>
        <w:autoSpaceDE w:val="0"/>
        <w:autoSpaceDN w:val="0"/>
        <w:adjustRightInd w:val="0"/>
        <w:spacing w:after="0" w:line="360" w:lineRule="atLeast"/>
        <w:ind w:firstLine="720"/>
        <w:jc w:val="both"/>
        <w:rPr>
          <w:rFonts w:cs="Times New Roman"/>
          <w:color w:val="000000"/>
          <w:szCs w:val="24"/>
        </w:rPr>
      </w:pPr>
      <w:r>
        <w:rPr>
          <w:rFonts w:cs="Times New Roman"/>
          <w:color w:val="000000"/>
          <w:szCs w:val="24"/>
        </w:rPr>
        <w:t>3</w:t>
      </w:r>
      <w:r w:rsidR="000563E6">
        <w:rPr>
          <w:rFonts w:cs="Times New Roman"/>
          <w:color w:val="000000"/>
          <w:szCs w:val="24"/>
        </w:rPr>
        <w:t>.7</w:t>
      </w:r>
      <w:r>
        <w:rPr>
          <w:rFonts w:cs="Times New Roman"/>
          <w:color w:val="000000"/>
          <w:szCs w:val="24"/>
        </w:rPr>
        <w:t>. Pakeisti</w:t>
      </w:r>
      <w:r w:rsidR="00634CDF">
        <w:rPr>
          <w:rFonts w:cs="Times New Roman"/>
          <w:color w:val="000000"/>
          <w:szCs w:val="24"/>
        </w:rPr>
        <w:t xml:space="preserve"> 6.18</w:t>
      </w:r>
      <w:r w:rsidR="00EC26BF">
        <w:rPr>
          <w:rFonts w:cs="Times New Roman"/>
          <w:color w:val="000000"/>
          <w:szCs w:val="24"/>
        </w:rPr>
        <w:t xml:space="preserve"> </w:t>
      </w:r>
      <w:r>
        <w:rPr>
          <w:rFonts w:cs="Times New Roman"/>
          <w:color w:val="000000"/>
          <w:szCs w:val="24"/>
        </w:rPr>
        <w:t>papunktį ir jį išdėstyti</w:t>
      </w:r>
      <w:r w:rsidR="00EC26BF">
        <w:rPr>
          <w:rFonts w:cs="Times New Roman"/>
          <w:color w:val="000000"/>
          <w:szCs w:val="24"/>
        </w:rPr>
        <w:t xml:space="preserve"> taip: </w:t>
      </w:r>
    </w:p>
    <w:p w:rsidR="00E17C9E" w:rsidRDefault="00EC26BF" w:rsidP="000563E6">
      <w:pPr>
        <w:tabs>
          <w:tab w:val="left" w:pos="709"/>
        </w:tabs>
        <w:autoSpaceDE w:val="0"/>
        <w:autoSpaceDN w:val="0"/>
        <w:adjustRightInd w:val="0"/>
        <w:spacing w:after="0" w:line="360" w:lineRule="atLeast"/>
        <w:ind w:firstLine="720"/>
        <w:jc w:val="both"/>
        <w:rPr>
          <w:rFonts w:cs="Times New Roman"/>
          <w:color w:val="000000"/>
          <w:szCs w:val="24"/>
        </w:rPr>
      </w:pPr>
      <w:r>
        <w:rPr>
          <w:rFonts w:cs="Times New Roman"/>
          <w:color w:val="000000"/>
          <w:szCs w:val="24"/>
        </w:rPr>
        <w:t>„</w:t>
      </w:r>
      <w:r w:rsidR="00634CDF">
        <w:rPr>
          <w:szCs w:val="24"/>
        </w:rPr>
        <w:t xml:space="preserve">6.18. pagal kompetenciją dalyvauja rengiant, keičiant ir įgyvendinant komunikacijos strategiją, metinius </w:t>
      </w:r>
      <w:r w:rsidR="00634CDF" w:rsidRPr="00634CDF">
        <w:rPr>
          <w:strike/>
          <w:szCs w:val="24"/>
        </w:rPr>
        <w:t>ir ketvirtinius</w:t>
      </w:r>
      <w:r w:rsidR="00634CDF" w:rsidRPr="00060E3B">
        <w:rPr>
          <w:szCs w:val="24"/>
        </w:rPr>
        <w:t xml:space="preserve"> </w:t>
      </w:r>
      <w:r w:rsidR="00634CDF">
        <w:rPr>
          <w:szCs w:val="24"/>
        </w:rPr>
        <w:t>komunikacijos planus, teikia vadovaujančiajai institucijai informaciją apie informavimo apie ES struktūrinius fondus veiklą ir kitą informaciją, kurios reikia metiniuose komunikacijos planuose numatytai informacijos apie ES struktūrinius fondus sklaidai užtikrinti</w:t>
      </w:r>
      <w:r w:rsidR="00C33B71">
        <w:rPr>
          <w:rFonts w:cs="Times New Roman"/>
          <w:color w:val="000000"/>
          <w:szCs w:val="24"/>
        </w:rPr>
        <w:t>;</w:t>
      </w:r>
      <w:r>
        <w:rPr>
          <w:rFonts w:cs="Times New Roman"/>
          <w:color w:val="000000"/>
          <w:szCs w:val="24"/>
        </w:rPr>
        <w:t>“</w:t>
      </w:r>
      <w:r w:rsidR="00C33B71">
        <w:rPr>
          <w:rFonts w:cs="Times New Roman"/>
          <w:color w:val="000000"/>
          <w:szCs w:val="24"/>
        </w:rPr>
        <w:t>.</w:t>
      </w:r>
    </w:p>
    <w:p w:rsidR="009F0083" w:rsidRDefault="000563E6" w:rsidP="000563E6">
      <w:pPr>
        <w:tabs>
          <w:tab w:val="left" w:pos="709"/>
        </w:tabs>
        <w:autoSpaceDE w:val="0"/>
        <w:autoSpaceDN w:val="0"/>
        <w:adjustRightInd w:val="0"/>
        <w:spacing w:after="0" w:line="360" w:lineRule="atLeast"/>
        <w:ind w:firstLine="720"/>
        <w:jc w:val="both"/>
        <w:rPr>
          <w:rFonts w:cs="Times New Roman"/>
          <w:color w:val="000000"/>
          <w:szCs w:val="24"/>
        </w:rPr>
      </w:pPr>
      <w:r>
        <w:rPr>
          <w:rFonts w:cs="Times New Roman"/>
          <w:color w:val="000000"/>
          <w:szCs w:val="24"/>
        </w:rPr>
        <w:t>3.8</w:t>
      </w:r>
      <w:r w:rsidR="009F0083">
        <w:rPr>
          <w:rFonts w:cs="Times New Roman"/>
          <w:color w:val="000000"/>
          <w:szCs w:val="24"/>
        </w:rPr>
        <w:t>. Pakeisti 9.11 papunktį ir jį išdėstyti taip:</w:t>
      </w:r>
    </w:p>
    <w:p w:rsidR="00B94001" w:rsidRDefault="009F0083" w:rsidP="000563E6">
      <w:pPr>
        <w:tabs>
          <w:tab w:val="left" w:pos="709"/>
        </w:tabs>
        <w:autoSpaceDE w:val="0"/>
        <w:autoSpaceDN w:val="0"/>
        <w:adjustRightInd w:val="0"/>
        <w:spacing w:after="0" w:line="360" w:lineRule="atLeast"/>
        <w:ind w:firstLine="720"/>
        <w:jc w:val="both"/>
        <w:rPr>
          <w:color w:val="000000"/>
        </w:rPr>
      </w:pPr>
      <w:r>
        <w:rPr>
          <w:rFonts w:cs="Times New Roman"/>
          <w:color w:val="000000"/>
          <w:szCs w:val="24"/>
        </w:rPr>
        <w:lastRenderedPageBreak/>
        <w:t>„</w:t>
      </w:r>
      <w:r>
        <w:rPr>
          <w:color w:val="000000"/>
        </w:rPr>
        <w:t xml:space="preserve">9.11. pagal kompetenciją dalyvauja rengiant, keičiant ir įgyvendinant komunikacijos strategiją, metinius </w:t>
      </w:r>
      <w:r w:rsidRPr="009F0083">
        <w:rPr>
          <w:strike/>
          <w:color w:val="000000"/>
        </w:rPr>
        <w:t>ir ketvirtinius</w:t>
      </w:r>
      <w:r w:rsidRPr="00060E3B">
        <w:rPr>
          <w:color w:val="000000"/>
        </w:rPr>
        <w:t xml:space="preserve"> </w:t>
      </w:r>
      <w:r>
        <w:rPr>
          <w:color w:val="000000"/>
        </w:rPr>
        <w:t>komunikacijos planus, užtikrina, kad projektų vykdytojai laikytųsi informavimo apie ES s</w:t>
      </w:r>
      <w:r w:rsidR="00C33B71">
        <w:rPr>
          <w:color w:val="000000"/>
        </w:rPr>
        <w:t>truktūrinius fondus reikalavimų;</w:t>
      </w:r>
      <w:r>
        <w:rPr>
          <w:color w:val="000000"/>
        </w:rPr>
        <w:t>“</w:t>
      </w:r>
      <w:r w:rsidR="00C33B71">
        <w:rPr>
          <w:color w:val="000000"/>
        </w:rPr>
        <w:t>.</w:t>
      </w:r>
    </w:p>
    <w:p w:rsidR="00AF091B" w:rsidRDefault="000563E6" w:rsidP="000563E6">
      <w:pPr>
        <w:tabs>
          <w:tab w:val="left" w:pos="709"/>
        </w:tabs>
        <w:autoSpaceDE w:val="0"/>
        <w:autoSpaceDN w:val="0"/>
        <w:adjustRightInd w:val="0"/>
        <w:spacing w:after="0" w:line="360" w:lineRule="atLeast"/>
        <w:ind w:firstLine="720"/>
        <w:jc w:val="both"/>
        <w:rPr>
          <w:color w:val="000000"/>
        </w:rPr>
      </w:pPr>
      <w:r>
        <w:rPr>
          <w:color w:val="000000"/>
        </w:rPr>
        <w:t>3.9</w:t>
      </w:r>
      <w:r w:rsidR="00C33B71">
        <w:rPr>
          <w:color w:val="000000"/>
        </w:rPr>
        <w:t xml:space="preserve">. Pakeisti priedą ir </w:t>
      </w:r>
      <w:r w:rsidR="00AF091B">
        <w:rPr>
          <w:color w:val="000000"/>
        </w:rPr>
        <w:t xml:space="preserve">5 punktą išdėstyti taip: </w:t>
      </w:r>
    </w:p>
    <w:p w:rsidR="00C33B71" w:rsidRDefault="00C33B71" w:rsidP="00C95B21">
      <w:pPr>
        <w:tabs>
          <w:tab w:val="left" w:pos="709"/>
        </w:tabs>
        <w:autoSpaceDE w:val="0"/>
        <w:autoSpaceDN w:val="0"/>
        <w:adjustRightInd w:val="0"/>
        <w:spacing w:after="0" w:line="360" w:lineRule="atLeast"/>
        <w:ind w:firstLine="720"/>
        <w:jc w:val="both"/>
        <w:rPr>
          <w:color w:val="000000"/>
        </w:rPr>
      </w:pPr>
    </w:p>
    <w:tbl>
      <w:tblPr>
        <w:tblW w:w="9521" w:type="dxa"/>
        <w:tblInd w:w="108"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867"/>
        <w:gridCol w:w="2410"/>
        <w:gridCol w:w="2126"/>
        <w:gridCol w:w="1812"/>
        <w:gridCol w:w="1306"/>
      </w:tblGrid>
      <w:tr w:rsidR="00AF091B" w:rsidRPr="00AF091B" w:rsidTr="00B859EE">
        <w:trPr>
          <w:trHeight w:val="23"/>
        </w:trPr>
        <w:tc>
          <w:tcPr>
            <w:tcW w:w="1867" w:type="dxa"/>
            <w:vMerge w:val="restart"/>
            <w:tcMar>
              <w:top w:w="0" w:type="dxa"/>
              <w:left w:w="108" w:type="dxa"/>
              <w:bottom w:w="0" w:type="dxa"/>
              <w:right w:w="108" w:type="dxa"/>
            </w:tcMar>
          </w:tcPr>
          <w:p w:rsidR="00AF091B" w:rsidRPr="00AF091B" w:rsidRDefault="00AF091B" w:rsidP="001E24D5">
            <w:pPr>
              <w:widowControl w:val="0"/>
              <w:autoSpaceDE w:val="0"/>
              <w:autoSpaceDN w:val="0"/>
              <w:adjustRightInd w:val="0"/>
              <w:spacing w:after="0" w:line="240" w:lineRule="auto"/>
              <w:textAlignment w:val="baseline"/>
              <w:rPr>
                <w:rFonts w:eastAsia="Times New Roman" w:cs="Times New Roman"/>
                <w:sz w:val="22"/>
                <w:lang w:eastAsia="lt-LT"/>
              </w:rPr>
            </w:pPr>
            <w:r w:rsidRPr="00AF091B">
              <w:rPr>
                <w:rFonts w:eastAsia="Times New Roman" w:cs="Times New Roman"/>
                <w:sz w:val="22"/>
                <w:lang w:eastAsia="lt-LT"/>
              </w:rPr>
              <w:t>„5. Aplinkosauga, gamtos išteklių darnus naudojimas ir prisitaikymas prie klimato kaitos</w:t>
            </w:r>
          </w:p>
        </w:tc>
        <w:tc>
          <w:tcPr>
            <w:tcW w:w="2410" w:type="dxa"/>
            <w:tcMar>
              <w:top w:w="0" w:type="dxa"/>
              <w:left w:w="108" w:type="dxa"/>
              <w:bottom w:w="0" w:type="dxa"/>
              <w:right w:w="108" w:type="dxa"/>
            </w:tcMar>
          </w:tcPr>
          <w:p w:rsidR="00AF091B" w:rsidRPr="00AF091B" w:rsidRDefault="00AF091B" w:rsidP="00AF091B">
            <w:pPr>
              <w:widowControl w:val="0"/>
              <w:autoSpaceDE w:val="0"/>
              <w:autoSpaceDN w:val="0"/>
              <w:adjustRightInd w:val="0"/>
              <w:spacing w:after="0" w:line="240" w:lineRule="auto"/>
              <w:ind w:firstLine="10"/>
              <w:textAlignment w:val="baseline"/>
              <w:rPr>
                <w:rFonts w:eastAsia="Times New Roman" w:cs="Times New Roman"/>
                <w:sz w:val="22"/>
                <w:lang w:eastAsia="lt-LT"/>
              </w:rPr>
            </w:pPr>
            <w:r w:rsidRPr="00AF091B">
              <w:rPr>
                <w:rFonts w:eastAsia="Times New Roman" w:cs="Times New Roman"/>
                <w:sz w:val="22"/>
                <w:lang w:eastAsia="lt-LT"/>
              </w:rPr>
              <w:t xml:space="preserve">1. Investicijų, susijusių su prisitaikymu prie klimato kaitos, įskaitant pagrįstas </w:t>
            </w:r>
            <w:proofErr w:type="spellStart"/>
            <w:r w:rsidRPr="00AF091B">
              <w:rPr>
                <w:rFonts w:eastAsia="Times New Roman" w:cs="Times New Roman"/>
                <w:sz w:val="22"/>
                <w:lang w:eastAsia="lt-LT"/>
              </w:rPr>
              <w:t>ekosisteminiu</w:t>
            </w:r>
            <w:proofErr w:type="spellEnd"/>
            <w:r w:rsidRPr="00AF091B">
              <w:rPr>
                <w:rFonts w:eastAsia="Times New Roman" w:cs="Times New Roman"/>
                <w:sz w:val="22"/>
                <w:lang w:eastAsia="lt-LT"/>
              </w:rPr>
              <w:t xml:space="preserve"> požiūriu, skatinimas</w:t>
            </w:r>
          </w:p>
        </w:tc>
        <w:tc>
          <w:tcPr>
            <w:tcW w:w="2126" w:type="dxa"/>
            <w:tcMar>
              <w:top w:w="0" w:type="dxa"/>
              <w:left w:w="108" w:type="dxa"/>
              <w:bottom w:w="0" w:type="dxa"/>
              <w:right w:w="108" w:type="dxa"/>
            </w:tcMar>
          </w:tcPr>
          <w:p w:rsidR="00AF091B" w:rsidRPr="00AF091B" w:rsidRDefault="00AF091B" w:rsidP="00AF091B">
            <w:pPr>
              <w:widowControl w:val="0"/>
              <w:autoSpaceDE w:val="0"/>
              <w:autoSpaceDN w:val="0"/>
              <w:adjustRightInd w:val="0"/>
              <w:spacing w:after="0" w:line="240" w:lineRule="auto"/>
              <w:ind w:firstLine="10"/>
              <w:textAlignment w:val="baseline"/>
              <w:rPr>
                <w:rFonts w:eastAsia="Times New Roman" w:cs="Times New Roman"/>
                <w:sz w:val="22"/>
                <w:lang w:eastAsia="lt-LT"/>
              </w:rPr>
            </w:pPr>
            <w:r w:rsidRPr="00AF091B">
              <w:rPr>
                <w:rFonts w:eastAsia="Times New Roman" w:cs="Times New Roman"/>
                <w:sz w:val="22"/>
                <w:lang w:eastAsia="lt-LT"/>
              </w:rPr>
              <w:t>Aplinkos ministerija, Lietuvos Respublikos vidaus reikalų ministerija (toliau – Vidaus reikalų ministerija)</w:t>
            </w:r>
          </w:p>
        </w:tc>
        <w:tc>
          <w:tcPr>
            <w:tcW w:w="1812" w:type="dxa"/>
            <w:tcMar>
              <w:top w:w="0" w:type="dxa"/>
              <w:left w:w="108" w:type="dxa"/>
              <w:bottom w:w="0" w:type="dxa"/>
              <w:right w:w="108" w:type="dxa"/>
            </w:tcMar>
          </w:tcPr>
          <w:p w:rsidR="00AF091B" w:rsidRPr="00AF091B" w:rsidRDefault="00AF091B" w:rsidP="00AF091B">
            <w:pPr>
              <w:widowControl w:val="0"/>
              <w:autoSpaceDE w:val="0"/>
              <w:autoSpaceDN w:val="0"/>
              <w:adjustRightInd w:val="0"/>
              <w:spacing w:after="0" w:line="240" w:lineRule="auto"/>
              <w:ind w:firstLine="10"/>
              <w:textAlignment w:val="baseline"/>
              <w:rPr>
                <w:rFonts w:eastAsia="Times New Roman" w:cs="Times New Roman"/>
                <w:sz w:val="22"/>
                <w:lang w:eastAsia="lt-LT"/>
              </w:rPr>
            </w:pPr>
            <w:r w:rsidRPr="00AF091B">
              <w:rPr>
                <w:rFonts w:eastAsia="Times New Roman" w:cs="Times New Roman"/>
                <w:sz w:val="22"/>
                <w:lang w:eastAsia="lt-LT"/>
              </w:rPr>
              <w:t xml:space="preserve">Aplinkos projektų valdymo agentūra, </w:t>
            </w:r>
            <w:proofErr w:type="spellStart"/>
            <w:r w:rsidRPr="00AF091B">
              <w:rPr>
                <w:rFonts w:eastAsia="Times New Roman" w:cs="Times New Roman"/>
                <w:sz w:val="22"/>
                <w:lang w:eastAsia="lt-LT"/>
              </w:rPr>
              <w:t>VšĮ</w:t>
            </w:r>
            <w:proofErr w:type="spellEnd"/>
            <w:r w:rsidRPr="00AF091B">
              <w:rPr>
                <w:rFonts w:eastAsia="Times New Roman" w:cs="Times New Roman"/>
                <w:sz w:val="22"/>
                <w:lang w:eastAsia="lt-LT"/>
              </w:rPr>
              <w:t> Centrinė projektų valdymo agentūra</w:t>
            </w:r>
          </w:p>
        </w:tc>
        <w:tc>
          <w:tcPr>
            <w:tcW w:w="1306" w:type="dxa"/>
            <w:tcMar>
              <w:top w:w="0" w:type="dxa"/>
              <w:left w:w="108" w:type="dxa"/>
              <w:bottom w:w="0" w:type="dxa"/>
              <w:right w:w="108" w:type="dxa"/>
            </w:tcMar>
          </w:tcPr>
          <w:p w:rsidR="00AF091B" w:rsidRPr="00AF091B" w:rsidRDefault="00AF091B" w:rsidP="00AF091B">
            <w:pPr>
              <w:widowControl w:val="0"/>
              <w:autoSpaceDE w:val="0"/>
              <w:autoSpaceDN w:val="0"/>
              <w:adjustRightInd w:val="0"/>
              <w:spacing w:after="0" w:line="240" w:lineRule="auto"/>
              <w:jc w:val="center"/>
              <w:rPr>
                <w:rFonts w:eastAsia="Times New Roman" w:cs="Times New Roman"/>
                <w:sz w:val="22"/>
                <w:lang w:eastAsia="lt-LT"/>
              </w:rPr>
            </w:pPr>
            <w:r w:rsidRPr="00AF091B">
              <w:rPr>
                <w:rFonts w:eastAsia="Times New Roman" w:cs="Times New Roman"/>
                <w:sz w:val="22"/>
                <w:lang w:val="pt-BR" w:eastAsia="lt-LT"/>
              </w:rPr>
              <w:t>regionų plėtros tarybos</w:t>
            </w:r>
          </w:p>
        </w:tc>
      </w:tr>
      <w:tr w:rsidR="00AF091B" w:rsidRPr="00AF091B" w:rsidTr="00B859EE">
        <w:trPr>
          <w:cantSplit/>
          <w:trHeight w:val="23"/>
        </w:trPr>
        <w:tc>
          <w:tcPr>
            <w:tcW w:w="1867" w:type="dxa"/>
            <w:vMerge/>
            <w:tcMar>
              <w:top w:w="0" w:type="dxa"/>
              <w:left w:w="108" w:type="dxa"/>
              <w:bottom w:w="0" w:type="dxa"/>
              <w:right w:w="108" w:type="dxa"/>
            </w:tcMar>
          </w:tcPr>
          <w:p w:rsidR="00AF091B" w:rsidRPr="00AF091B" w:rsidRDefault="00AF091B" w:rsidP="00AF091B">
            <w:pPr>
              <w:widowControl w:val="0"/>
              <w:autoSpaceDE w:val="0"/>
              <w:autoSpaceDN w:val="0"/>
              <w:adjustRightInd w:val="0"/>
              <w:spacing w:after="0" w:line="240" w:lineRule="auto"/>
              <w:ind w:firstLine="57"/>
              <w:textAlignment w:val="baseline"/>
              <w:rPr>
                <w:rFonts w:eastAsia="Times New Roman" w:cs="Times New Roman"/>
                <w:sz w:val="22"/>
                <w:lang w:eastAsia="lt-LT"/>
              </w:rPr>
            </w:pPr>
          </w:p>
        </w:tc>
        <w:tc>
          <w:tcPr>
            <w:tcW w:w="2410" w:type="dxa"/>
            <w:tcMar>
              <w:top w:w="0" w:type="dxa"/>
              <w:left w:w="108" w:type="dxa"/>
              <w:bottom w:w="0" w:type="dxa"/>
              <w:right w:w="108" w:type="dxa"/>
            </w:tcMar>
          </w:tcPr>
          <w:p w:rsidR="00AF091B" w:rsidRPr="00AF091B" w:rsidRDefault="00AF091B" w:rsidP="00AF091B">
            <w:pPr>
              <w:widowControl w:val="0"/>
              <w:autoSpaceDE w:val="0"/>
              <w:autoSpaceDN w:val="0"/>
              <w:adjustRightInd w:val="0"/>
              <w:spacing w:after="0" w:line="240" w:lineRule="auto"/>
              <w:textAlignment w:val="baseline"/>
              <w:rPr>
                <w:rFonts w:eastAsia="Times New Roman" w:cs="Times New Roman"/>
                <w:sz w:val="22"/>
                <w:lang w:eastAsia="lt-LT"/>
              </w:rPr>
            </w:pPr>
            <w:r w:rsidRPr="00AF091B">
              <w:rPr>
                <w:rFonts w:eastAsia="Times New Roman" w:cs="Times New Roman"/>
                <w:sz w:val="22"/>
                <w:lang w:eastAsia="lt-LT"/>
              </w:rPr>
              <w:t xml:space="preserve">2. Investicijos į atliekų sektorių, siekiant įvykdyti Europos Sąjungos aplinkos </w:t>
            </w:r>
            <w:proofErr w:type="spellStart"/>
            <w:r w:rsidRPr="00AF091B">
              <w:rPr>
                <w:rFonts w:eastAsia="Times New Roman" w:cs="Times New Roman"/>
                <w:i/>
                <w:iCs/>
                <w:sz w:val="22"/>
                <w:lang w:eastAsia="lt-LT"/>
              </w:rPr>
              <w:t>acquis</w:t>
            </w:r>
            <w:proofErr w:type="spellEnd"/>
            <w:r w:rsidRPr="00AF091B">
              <w:rPr>
                <w:rFonts w:eastAsia="Times New Roman" w:cs="Times New Roman"/>
                <w:sz w:val="22"/>
                <w:lang w:eastAsia="lt-LT"/>
              </w:rPr>
              <w:t xml:space="preserve"> reikalavimus ir patenkinti valstybių narių nustatytus poreikius, viršijančius tuos reikalavimus</w:t>
            </w:r>
          </w:p>
        </w:tc>
        <w:tc>
          <w:tcPr>
            <w:tcW w:w="2126" w:type="dxa"/>
            <w:tcMar>
              <w:top w:w="0" w:type="dxa"/>
              <w:left w:w="108" w:type="dxa"/>
              <w:bottom w:w="0" w:type="dxa"/>
              <w:right w:w="108" w:type="dxa"/>
            </w:tcMar>
          </w:tcPr>
          <w:p w:rsidR="00AF091B" w:rsidRPr="00AF091B" w:rsidRDefault="00AF091B" w:rsidP="00AF091B">
            <w:pPr>
              <w:widowControl w:val="0"/>
              <w:autoSpaceDE w:val="0"/>
              <w:autoSpaceDN w:val="0"/>
              <w:adjustRightInd w:val="0"/>
              <w:spacing w:after="0" w:line="240" w:lineRule="auto"/>
              <w:textAlignment w:val="baseline"/>
              <w:rPr>
                <w:rFonts w:eastAsia="Times New Roman" w:cs="Times New Roman"/>
                <w:sz w:val="22"/>
                <w:lang w:eastAsia="lt-LT"/>
              </w:rPr>
            </w:pPr>
            <w:r w:rsidRPr="00AF091B">
              <w:rPr>
                <w:rFonts w:eastAsia="Times New Roman" w:cs="Times New Roman"/>
                <w:sz w:val="22"/>
                <w:lang w:eastAsia="lt-LT"/>
              </w:rPr>
              <w:t>Aplinkos ministerija</w:t>
            </w:r>
          </w:p>
        </w:tc>
        <w:tc>
          <w:tcPr>
            <w:tcW w:w="1812" w:type="dxa"/>
            <w:tcMar>
              <w:top w:w="0" w:type="dxa"/>
              <w:left w:w="108" w:type="dxa"/>
              <w:bottom w:w="0" w:type="dxa"/>
              <w:right w:w="108" w:type="dxa"/>
            </w:tcMar>
          </w:tcPr>
          <w:p w:rsidR="00AF091B" w:rsidRPr="00AF091B" w:rsidRDefault="00AF091B" w:rsidP="00AF091B">
            <w:pPr>
              <w:widowControl w:val="0"/>
              <w:autoSpaceDE w:val="0"/>
              <w:autoSpaceDN w:val="0"/>
              <w:adjustRightInd w:val="0"/>
              <w:spacing w:after="0" w:line="240" w:lineRule="auto"/>
              <w:textAlignment w:val="baseline"/>
              <w:rPr>
                <w:rFonts w:eastAsia="Times New Roman" w:cs="Times New Roman"/>
                <w:sz w:val="22"/>
                <w:lang w:eastAsia="lt-LT"/>
              </w:rPr>
            </w:pPr>
            <w:r w:rsidRPr="00AF091B">
              <w:rPr>
                <w:rFonts w:eastAsia="Times New Roman" w:cs="Times New Roman"/>
                <w:sz w:val="22"/>
                <w:lang w:eastAsia="lt-LT"/>
              </w:rPr>
              <w:t>Aplinkos projektų valdymo agentūra</w:t>
            </w:r>
          </w:p>
        </w:tc>
        <w:tc>
          <w:tcPr>
            <w:tcW w:w="1306" w:type="dxa"/>
            <w:tcMar>
              <w:top w:w="0" w:type="dxa"/>
              <w:left w:w="108" w:type="dxa"/>
              <w:bottom w:w="0" w:type="dxa"/>
              <w:right w:w="108" w:type="dxa"/>
            </w:tcMar>
          </w:tcPr>
          <w:p w:rsidR="00AF091B" w:rsidRPr="00AF091B" w:rsidRDefault="00AF091B" w:rsidP="00AF091B">
            <w:pPr>
              <w:widowControl w:val="0"/>
              <w:autoSpaceDE w:val="0"/>
              <w:autoSpaceDN w:val="0"/>
              <w:adjustRightInd w:val="0"/>
              <w:spacing w:after="0" w:line="240" w:lineRule="auto"/>
              <w:jc w:val="center"/>
              <w:rPr>
                <w:rFonts w:eastAsia="Times New Roman" w:cs="Times New Roman"/>
                <w:sz w:val="22"/>
                <w:lang w:eastAsia="lt-LT"/>
              </w:rPr>
            </w:pPr>
            <w:r w:rsidRPr="00AF091B">
              <w:rPr>
                <w:rFonts w:eastAsia="Times New Roman" w:cs="Times New Roman"/>
                <w:sz w:val="22"/>
                <w:lang w:val="pt-BR" w:eastAsia="lt-LT"/>
              </w:rPr>
              <w:t>regionų plėtros tarybos</w:t>
            </w:r>
          </w:p>
        </w:tc>
      </w:tr>
      <w:tr w:rsidR="00AF091B" w:rsidRPr="00AF091B" w:rsidTr="00B859EE">
        <w:trPr>
          <w:trHeight w:val="23"/>
        </w:trPr>
        <w:tc>
          <w:tcPr>
            <w:tcW w:w="1867" w:type="dxa"/>
            <w:vMerge/>
            <w:vAlign w:val="center"/>
          </w:tcPr>
          <w:p w:rsidR="00AF091B" w:rsidRPr="00AF091B" w:rsidRDefault="00AF091B" w:rsidP="00AF091B">
            <w:pPr>
              <w:widowControl w:val="0"/>
              <w:autoSpaceDE w:val="0"/>
              <w:autoSpaceDN w:val="0"/>
              <w:adjustRightInd w:val="0"/>
              <w:spacing w:after="0" w:line="240" w:lineRule="auto"/>
              <w:ind w:firstLine="720"/>
              <w:rPr>
                <w:rFonts w:eastAsia="Times New Roman" w:cs="Times New Roman"/>
                <w:sz w:val="22"/>
                <w:lang w:eastAsia="lt-LT"/>
              </w:rPr>
            </w:pPr>
          </w:p>
        </w:tc>
        <w:tc>
          <w:tcPr>
            <w:tcW w:w="2410" w:type="dxa"/>
            <w:tcMar>
              <w:top w:w="0" w:type="dxa"/>
              <w:left w:w="108" w:type="dxa"/>
              <w:bottom w:w="0" w:type="dxa"/>
              <w:right w:w="108" w:type="dxa"/>
            </w:tcMar>
          </w:tcPr>
          <w:p w:rsidR="00AF091B" w:rsidRPr="00AF091B" w:rsidRDefault="00AF091B" w:rsidP="00AF091B">
            <w:pPr>
              <w:widowControl w:val="0"/>
              <w:autoSpaceDE w:val="0"/>
              <w:autoSpaceDN w:val="0"/>
              <w:adjustRightInd w:val="0"/>
              <w:spacing w:after="0" w:line="240" w:lineRule="auto"/>
              <w:textAlignment w:val="baseline"/>
              <w:rPr>
                <w:rFonts w:eastAsia="Times New Roman" w:cs="Times New Roman"/>
                <w:sz w:val="22"/>
                <w:lang w:eastAsia="lt-LT"/>
              </w:rPr>
            </w:pPr>
            <w:r w:rsidRPr="00AF091B">
              <w:rPr>
                <w:rFonts w:eastAsia="Times New Roman" w:cs="Times New Roman"/>
                <w:sz w:val="22"/>
                <w:lang w:eastAsia="lt-LT"/>
              </w:rPr>
              <w:t xml:space="preserve">3. Investicijos į vandens sektorių, siekiant įvykdyti Europos Sąjungos aplinkos </w:t>
            </w:r>
            <w:proofErr w:type="spellStart"/>
            <w:r w:rsidRPr="00AF091B">
              <w:rPr>
                <w:rFonts w:eastAsia="Times New Roman" w:cs="Times New Roman"/>
                <w:i/>
                <w:iCs/>
                <w:sz w:val="22"/>
                <w:lang w:eastAsia="lt-LT"/>
              </w:rPr>
              <w:t>acquis</w:t>
            </w:r>
            <w:proofErr w:type="spellEnd"/>
            <w:r w:rsidRPr="00AF091B">
              <w:rPr>
                <w:rFonts w:eastAsia="Times New Roman" w:cs="Times New Roman"/>
                <w:sz w:val="22"/>
                <w:lang w:eastAsia="lt-LT"/>
              </w:rPr>
              <w:t xml:space="preserve"> reikalavimus ir patenkinti valstybių narių nustatytus poreikius, viršijančius tuos reikalavimus</w:t>
            </w:r>
          </w:p>
        </w:tc>
        <w:tc>
          <w:tcPr>
            <w:tcW w:w="2126" w:type="dxa"/>
            <w:tcMar>
              <w:top w:w="0" w:type="dxa"/>
              <w:left w:w="108" w:type="dxa"/>
              <w:bottom w:w="0" w:type="dxa"/>
              <w:right w:w="108" w:type="dxa"/>
            </w:tcMar>
          </w:tcPr>
          <w:p w:rsidR="00AF091B" w:rsidRPr="00AF091B" w:rsidRDefault="00AF091B" w:rsidP="00AF091B">
            <w:pPr>
              <w:widowControl w:val="0"/>
              <w:autoSpaceDE w:val="0"/>
              <w:autoSpaceDN w:val="0"/>
              <w:adjustRightInd w:val="0"/>
              <w:spacing w:after="0" w:line="240" w:lineRule="auto"/>
              <w:textAlignment w:val="baseline"/>
              <w:rPr>
                <w:rFonts w:eastAsia="Times New Roman" w:cs="Times New Roman"/>
                <w:sz w:val="22"/>
                <w:lang w:eastAsia="lt-LT"/>
              </w:rPr>
            </w:pPr>
            <w:r w:rsidRPr="00AF091B">
              <w:rPr>
                <w:rFonts w:eastAsia="Times New Roman" w:cs="Times New Roman"/>
                <w:sz w:val="22"/>
                <w:lang w:eastAsia="lt-LT"/>
              </w:rPr>
              <w:t>Aplinkos ministerija</w:t>
            </w:r>
          </w:p>
        </w:tc>
        <w:tc>
          <w:tcPr>
            <w:tcW w:w="1812" w:type="dxa"/>
            <w:tcMar>
              <w:top w:w="0" w:type="dxa"/>
              <w:left w:w="108" w:type="dxa"/>
              <w:bottom w:w="0" w:type="dxa"/>
              <w:right w:w="108" w:type="dxa"/>
            </w:tcMar>
          </w:tcPr>
          <w:p w:rsidR="00AF091B" w:rsidRPr="00AF091B" w:rsidRDefault="00AF091B" w:rsidP="00AF091B">
            <w:pPr>
              <w:widowControl w:val="0"/>
              <w:autoSpaceDE w:val="0"/>
              <w:autoSpaceDN w:val="0"/>
              <w:adjustRightInd w:val="0"/>
              <w:spacing w:after="0" w:line="240" w:lineRule="auto"/>
              <w:textAlignment w:val="baseline"/>
              <w:rPr>
                <w:rFonts w:eastAsia="Times New Roman" w:cs="Times New Roman"/>
                <w:b/>
                <w:sz w:val="22"/>
                <w:lang w:eastAsia="lt-LT"/>
              </w:rPr>
            </w:pPr>
            <w:r w:rsidRPr="00AF091B">
              <w:rPr>
                <w:rFonts w:eastAsia="Times New Roman" w:cs="Times New Roman"/>
                <w:sz w:val="22"/>
                <w:lang w:eastAsia="lt-LT"/>
              </w:rPr>
              <w:t>Aplinkos projektų valdymo agentūra, UAB Viešųjų investicijų plėtros agentūra</w:t>
            </w:r>
            <w:r w:rsidRPr="00AF091B">
              <w:rPr>
                <w:rFonts w:eastAsia="Times New Roman" w:cs="Times New Roman"/>
                <w:b/>
                <w:sz w:val="22"/>
                <w:lang w:eastAsia="lt-LT"/>
              </w:rPr>
              <w:t xml:space="preserve"> </w:t>
            </w:r>
          </w:p>
        </w:tc>
        <w:tc>
          <w:tcPr>
            <w:tcW w:w="1306" w:type="dxa"/>
            <w:tcMar>
              <w:top w:w="0" w:type="dxa"/>
              <w:left w:w="108" w:type="dxa"/>
              <w:bottom w:w="0" w:type="dxa"/>
              <w:right w:w="108" w:type="dxa"/>
            </w:tcMar>
          </w:tcPr>
          <w:p w:rsidR="00AF091B" w:rsidRPr="00AF091B" w:rsidRDefault="00AF091B" w:rsidP="00AF091B">
            <w:pPr>
              <w:widowControl w:val="0"/>
              <w:autoSpaceDE w:val="0"/>
              <w:autoSpaceDN w:val="0"/>
              <w:adjustRightInd w:val="0"/>
              <w:spacing w:after="0" w:line="240" w:lineRule="auto"/>
              <w:jc w:val="center"/>
              <w:rPr>
                <w:rFonts w:eastAsia="Times New Roman" w:cs="Times New Roman"/>
                <w:sz w:val="22"/>
                <w:lang w:eastAsia="lt-LT"/>
              </w:rPr>
            </w:pPr>
            <w:r w:rsidRPr="00AF091B">
              <w:rPr>
                <w:rFonts w:eastAsia="Times New Roman" w:cs="Times New Roman"/>
                <w:sz w:val="22"/>
                <w:lang w:val="pt-BR" w:eastAsia="lt-LT"/>
              </w:rPr>
              <w:t>regionų plėtros tarybos</w:t>
            </w:r>
          </w:p>
        </w:tc>
      </w:tr>
      <w:tr w:rsidR="00AF091B" w:rsidRPr="00AF091B" w:rsidTr="00B859EE">
        <w:trPr>
          <w:trHeight w:val="23"/>
        </w:trPr>
        <w:tc>
          <w:tcPr>
            <w:tcW w:w="1867" w:type="dxa"/>
            <w:vMerge/>
            <w:vAlign w:val="center"/>
          </w:tcPr>
          <w:p w:rsidR="00AF091B" w:rsidRPr="00AF091B" w:rsidRDefault="00AF091B" w:rsidP="00AF091B">
            <w:pPr>
              <w:widowControl w:val="0"/>
              <w:autoSpaceDE w:val="0"/>
              <w:autoSpaceDN w:val="0"/>
              <w:adjustRightInd w:val="0"/>
              <w:spacing w:after="0" w:line="240" w:lineRule="auto"/>
              <w:ind w:firstLine="720"/>
              <w:rPr>
                <w:rFonts w:eastAsia="Times New Roman" w:cs="Times New Roman"/>
                <w:sz w:val="22"/>
                <w:lang w:eastAsia="lt-LT"/>
              </w:rPr>
            </w:pPr>
          </w:p>
        </w:tc>
        <w:tc>
          <w:tcPr>
            <w:tcW w:w="2410" w:type="dxa"/>
            <w:tcMar>
              <w:top w:w="0" w:type="dxa"/>
              <w:left w:w="108" w:type="dxa"/>
              <w:bottom w:w="0" w:type="dxa"/>
              <w:right w:w="108" w:type="dxa"/>
            </w:tcMar>
          </w:tcPr>
          <w:p w:rsidR="00AF091B" w:rsidRPr="00AF091B" w:rsidRDefault="00AF091B" w:rsidP="00AF091B">
            <w:pPr>
              <w:widowControl w:val="0"/>
              <w:autoSpaceDE w:val="0"/>
              <w:autoSpaceDN w:val="0"/>
              <w:adjustRightInd w:val="0"/>
              <w:spacing w:after="0" w:line="240" w:lineRule="auto"/>
              <w:textAlignment w:val="baseline"/>
              <w:rPr>
                <w:rFonts w:eastAsia="Times New Roman" w:cs="Times New Roman"/>
                <w:sz w:val="22"/>
                <w:lang w:eastAsia="lt-LT"/>
              </w:rPr>
            </w:pPr>
            <w:r w:rsidRPr="00AF091B">
              <w:rPr>
                <w:rFonts w:eastAsia="Times New Roman" w:cs="Times New Roman"/>
                <w:sz w:val="22"/>
                <w:lang w:eastAsia="lt-LT"/>
              </w:rPr>
              <w:t>4. Kultūros ir gamtos paveldo apsauga, propagavimas ir vystymas</w:t>
            </w:r>
          </w:p>
        </w:tc>
        <w:tc>
          <w:tcPr>
            <w:tcW w:w="2126" w:type="dxa"/>
            <w:tcMar>
              <w:top w:w="0" w:type="dxa"/>
              <w:left w:w="108" w:type="dxa"/>
              <w:bottom w:w="0" w:type="dxa"/>
              <w:right w:w="108" w:type="dxa"/>
            </w:tcMar>
          </w:tcPr>
          <w:p w:rsidR="00AF091B" w:rsidRPr="00AF091B" w:rsidRDefault="00AF091B" w:rsidP="00AF091B">
            <w:pPr>
              <w:widowControl w:val="0"/>
              <w:autoSpaceDE w:val="0"/>
              <w:autoSpaceDN w:val="0"/>
              <w:adjustRightInd w:val="0"/>
              <w:spacing w:after="0" w:line="240" w:lineRule="auto"/>
              <w:textAlignment w:val="baseline"/>
              <w:rPr>
                <w:rFonts w:eastAsia="Times New Roman" w:cs="Times New Roman"/>
                <w:sz w:val="22"/>
                <w:lang w:eastAsia="lt-LT"/>
              </w:rPr>
            </w:pPr>
            <w:r w:rsidRPr="00AF091B">
              <w:rPr>
                <w:rFonts w:eastAsia="Times New Roman" w:cs="Times New Roman"/>
                <w:sz w:val="22"/>
                <w:lang w:eastAsia="lt-LT"/>
              </w:rPr>
              <w:t>Aplinkos ministerija, Lietuvos Respublikos kultūros ministerija (toliau – Kultūros ministerija), Ekonomikos ir inovacijų ministerija</w:t>
            </w:r>
          </w:p>
        </w:tc>
        <w:tc>
          <w:tcPr>
            <w:tcW w:w="1812" w:type="dxa"/>
            <w:tcMar>
              <w:top w:w="0" w:type="dxa"/>
              <w:left w:w="108" w:type="dxa"/>
              <w:bottom w:w="0" w:type="dxa"/>
              <w:right w:w="108" w:type="dxa"/>
            </w:tcMar>
          </w:tcPr>
          <w:p w:rsidR="00AF091B" w:rsidRPr="00AF091B" w:rsidRDefault="00AF091B" w:rsidP="00AF091B">
            <w:pPr>
              <w:widowControl w:val="0"/>
              <w:autoSpaceDE w:val="0"/>
              <w:autoSpaceDN w:val="0"/>
              <w:adjustRightInd w:val="0"/>
              <w:spacing w:after="0" w:line="240" w:lineRule="auto"/>
              <w:textAlignment w:val="baseline"/>
              <w:rPr>
                <w:rFonts w:eastAsia="Times New Roman" w:cs="Times New Roman"/>
                <w:sz w:val="22"/>
                <w:lang w:eastAsia="lt-LT"/>
              </w:rPr>
            </w:pPr>
            <w:r w:rsidRPr="00AF091B">
              <w:rPr>
                <w:rFonts w:eastAsia="Times New Roman" w:cs="Times New Roman"/>
                <w:sz w:val="22"/>
                <w:lang w:eastAsia="lt-LT"/>
              </w:rPr>
              <w:t xml:space="preserve">Aplinkos projektų valdymo agentūra, </w:t>
            </w:r>
            <w:proofErr w:type="spellStart"/>
            <w:r w:rsidRPr="00AF091B">
              <w:rPr>
                <w:rFonts w:eastAsia="Times New Roman" w:cs="Times New Roman"/>
                <w:sz w:val="22"/>
                <w:lang w:eastAsia="lt-LT"/>
              </w:rPr>
              <w:t>VšĮ</w:t>
            </w:r>
            <w:proofErr w:type="spellEnd"/>
            <w:r w:rsidRPr="00AF091B">
              <w:rPr>
                <w:rFonts w:eastAsia="Times New Roman" w:cs="Times New Roman"/>
                <w:sz w:val="22"/>
                <w:lang w:eastAsia="lt-LT"/>
              </w:rPr>
              <w:t xml:space="preserve"> Lietuvos verslo paramos agentūra, </w:t>
            </w:r>
            <w:proofErr w:type="spellStart"/>
            <w:r w:rsidRPr="00AF091B">
              <w:rPr>
                <w:rFonts w:eastAsia="Times New Roman" w:cs="Times New Roman"/>
                <w:sz w:val="22"/>
                <w:lang w:eastAsia="lt-LT"/>
              </w:rPr>
              <w:t>VšĮ</w:t>
            </w:r>
            <w:proofErr w:type="spellEnd"/>
            <w:r w:rsidRPr="00AF091B">
              <w:rPr>
                <w:rFonts w:eastAsia="Times New Roman" w:cs="Times New Roman"/>
                <w:sz w:val="22"/>
                <w:lang w:eastAsia="lt-LT"/>
              </w:rPr>
              <w:t> Centrinė projektų valdymo agentūra</w:t>
            </w:r>
          </w:p>
        </w:tc>
        <w:tc>
          <w:tcPr>
            <w:tcW w:w="1306" w:type="dxa"/>
            <w:tcMar>
              <w:top w:w="0" w:type="dxa"/>
              <w:left w:w="108" w:type="dxa"/>
              <w:bottom w:w="0" w:type="dxa"/>
              <w:right w:w="108" w:type="dxa"/>
            </w:tcMar>
          </w:tcPr>
          <w:p w:rsidR="00AF091B" w:rsidRPr="00AF091B" w:rsidRDefault="00AF091B" w:rsidP="00AF091B">
            <w:pPr>
              <w:widowControl w:val="0"/>
              <w:autoSpaceDE w:val="0"/>
              <w:autoSpaceDN w:val="0"/>
              <w:adjustRightInd w:val="0"/>
              <w:spacing w:after="0" w:line="240" w:lineRule="auto"/>
              <w:jc w:val="center"/>
              <w:rPr>
                <w:rFonts w:eastAsia="Times New Roman" w:cs="Times New Roman"/>
                <w:sz w:val="22"/>
                <w:lang w:eastAsia="lt-LT"/>
              </w:rPr>
            </w:pPr>
            <w:r w:rsidRPr="00AF091B">
              <w:rPr>
                <w:rFonts w:eastAsia="Times New Roman" w:cs="Times New Roman"/>
                <w:sz w:val="22"/>
                <w:lang w:val="pt-BR" w:eastAsia="lt-LT"/>
              </w:rPr>
              <w:t>regionų plėtros tarybos</w:t>
            </w:r>
          </w:p>
        </w:tc>
      </w:tr>
      <w:tr w:rsidR="00AF091B" w:rsidRPr="00AF091B" w:rsidTr="00B859EE">
        <w:trPr>
          <w:trHeight w:val="23"/>
        </w:trPr>
        <w:tc>
          <w:tcPr>
            <w:tcW w:w="1867" w:type="dxa"/>
            <w:vMerge/>
            <w:vAlign w:val="center"/>
          </w:tcPr>
          <w:p w:rsidR="00AF091B" w:rsidRPr="00AF091B" w:rsidRDefault="00AF091B" w:rsidP="00AF091B">
            <w:pPr>
              <w:widowControl w:val="0"/>
              <w:autoSpaceDE w:val="0"/>
              <w:autoSpaceDN w:val="0"/>
              <w:adjustRightInd w:val="0"/>
              <w:spacing w:after="0" w:line="240" w:lineRule="auto"/>
              <w:ind w:firstLine="720"/>
              <w:rPr>
                <w:rFonts w:eastAsia="Times New Roman" w:cs="Times New Roman"/>
                <w:sz w:val="22"/>
                <w:lang w:eastAsia="lt-LT"/>
              </w:rPr>
            </w:pPr>
          </w:p>
        </w:tc>
        <w:tc>
          <w:tcPr>
            <w:tcW w:w="2410" w:type="dxa"/>
            <w:tcMar>
              <w:top w:w="0" w:type="dxa"/>
              <w:left w:w="108" w:type="dxa"/>
              <w:bottom w:w="0" w:type="dxa"/>
              <w:right w:w="108" w:type="dxa"/>
            </w:tcMar>
          </w:tcPr>
          <w:p w:rsidR="00AF091B" w:rsidRPr="00AF091B" w:rsidRDefault="00AF091B" w:rsidP="00AF091B">
            <w:pPr>
              <w:widowControl w:val="0"/>
              <w:autoSpaceDE w:val="0"/>
              <w:autoSpaceDN w:val="0"/>
              <w:adjustRightInd w:val="0"/>
              <w:spacing w:after="0" w:line="240" w:lineRule="auto"/>
              <w:textAlignment w:val="baseline"/>
              <w:rPr>
                <w:rFonts w:eastAsia="Times New Roman" w:cs="Times New Roman"/>
                <w:sz w:val="22"/>
                <w:lang w:eastAsia="lt-LT"/>
              </w:rPr>
            </w:pPr>
            <w:r w:rsidRPr="00AF091B">
              <w:rPr>
                <w:rFonts w:eastAsia="Times New Roman" w:cs="Times New Roman"/>
                <w:sz w:val="22"/>
                <w:lang w:eastAsia="lt-LT"/>
              </w:rPr>
              <w:t>5. Biologinės įvairovės, dirvožemio apsauga ir atkūrimas, ekosistemų paslaugų, įskaitant „</w:t>
            </w:r>
            <w:proofErr w:type="spellStart"/>
            <w:r w:rsidRPr="00AF091B">
              <w:rPr>
                <w:rFonts w:eastAsia="Times New Roman" w:cs="Times New Roman"/>
                <w:sz w:val="22"/>
                <w:lang w:eastAsia="lt-LT"/>
              </w:rPr>
              <w:t>Natura</w:t>
            </w:r>
            <w:proofErr w:type="spellEnd"/>
            <w:r w:rsidRPr="00AF091B">
              <w:rPr>
                <w:rFonts w:eastAsia="Times New Roman" w:cs="Times New Roman"/>
                <w:sz w:val="22"/>
                <w:lang w:eastAsia="lt-LT"/>
              </w:rPr>
              <w:t xml:space="preserve"> 2000“, ir žaliosios infrastruktūros skatinimas</w:t>
            </w:r>
          </w:p>
        </w:tc>
        <w:tc>
          <w:tcPr>
            <w:tcW w:w="2126" w:type="dxa"/>
            <w:tcMar>
              <w:top w:w="0" w:type="dxa"/>
              <w:left w:w="108" w:type="dxa"/>
              <w:bottom w:w="0" w:type="dxa"/>
              <w:right w:w="108" w:type="dxa"/>
            </w:tcMar>
          </w:tcPr>
          <w:p w:rsidR="00AF091B" w:rsidRPr="00AF091B" w:rsidRDefault="00AF091B" w:rsidP="00AF091B">
            <w:pPr>
              <w:widowControl w:val="0"/>
              <w:autoSpaceDE w:val="0"/>
              <w:autoSpaceDN w:val="0"/>
              <w:adjustRightInd w:val="0"/>
              <w:spacing w:after="0" w:line="240" w:lineRule="auto"/>
              <w:textAlignment w:val="baseline"/>
              <w:rPr>
                <w:rFonts w:eastAsia="Times New Roman" w:cs="Times New Roman"/>
                <w:sz w:val="22"/>
                <w:lang w:eastAsia="lt-LT"/>
              </w:rPr>
            </w:pPr>
            <w:r w:rsidRPr="00AF091B">
              <w:rPr>
                <w:rFonts w:eastAsia="Times New Roman" w:cs="Times New Roman"/>
                <w:sz w:val="22"/>
                <w:lang w:eastAsia="lt-LT"/>
              </w:rPr>
              <w:t>Aplinkos ministerija</w:t>
            </w:r>
          </w:p>
        </w:tc>
        <w:tc>
          <w:tcPr>
            <w:tcW w:w="1812" w:type="dxa"/>
            <w:tcMar>
              <w:top w:w="0" w:type="dxa"/>
              <w:left w:w="108" w:type="dxa"/>
              <w:bottom w:w="0" w:type="dxa"/>
              <w:right w:w="108" w:type="dxa"/>
            </w:tcMar>
          </w:tcPr>
          <w:p w:rsidR="00AF091B" w:rsidRPr="00AF091B" w:rsidRDefault="00AF091B" w:rsidP="00AF091B">
            <w:pPr>
              <w:widowControl w:val="0"/>
              <w:autoSpaceDE w:val="0"/>
              <w:autoSpaceDN w:val="0"/>
              <w:adjustRightInd w:val="0"/>
              <w:spacing w:after="0" w:line="240" w:lineRule="auto"/>
              <w:textAlignment w:val="baseline"/>
              <w:rPr>
                <w:rFonts w:eastAsia="Times New Roman" w:cs="Times New Roman"/>
                <w:sz w:val="22"/>
                <w:lang w:eastAsia="lt-LT"/>
              </w:rPr>
            </w:pPr>
            <w:r w:rsidRPr="00AF091B">
              <w:rPr>
                <w:rFonts w:eastAsia="Times New Roman" w:cs="Times New Roman"/>
                <w:sz w:val="22"/>
                <w:lang w:eastAsia="lt-LT"/>
              </w:rPr>
              <w:t>Aplinkos projektų valdymo agentūra</w:t>
            </w:r>
          </w:p>
        </w:tc>
        <w:tc>
          <w:tcPr>
            <w:tcW w:w="1306" w:type="dxa"/>
            <w:tcMar>
              <w:top w:w="0" w:type="dxa"/>
              <w:left w:w="108" w:type="dxa"/>
              <w:bottom w:w="0" w:type="dxa"/>
              <w:right w:w="108" w:type="dxa"/>
            </w:tcMar>
          </w:tcPr>
          <w:p w:rsidR="00AF091B" w:rsidRPr="00AF091B" w:rsidRDefault="00AF091B" w:rsidP="00AF091B">
            <w:pPr>
              <w:widowControl w:val="0"/>
              <w:autoSpaceDE w:val="0"/>
              <w:autoSpaceDN w:val="0"/>
              <w:adjustRightInd w:val="0"/>
              <w:spacing w:after="0" w:line="240" w:lineRule="auto"/>
              <w:jc w:val="center"/>
              <w:rPr>
                <w:rFonts w:eastAsia="Times New Roman" w:cs="Times New Roman"/>
                <w:sz w:val="22"/>
                <w:lang w:eastAsia="lt-LT"/>
              </w:rPr>
            </w:pPr>
            <w:r w:rsidRPr="00AF091B">
              <w:rPr>
                <w:rFonts w:eastAsia="Times New Roman" w:cs="Times New Roman"/>
                <w:sz w:val="22"/>
                <w:lang w:val="pt-BR" w:eastAsia="lt-LT"/>
              </w:rPr>
              <w:t>regionų plėtros tarybos</w:t>
            </w:r>
          </w:p>
        </w:tc>
      </w:tr>
      <w:tr w:rsidR="00AF091B" w:rsidRPr="00AF091B" w:rsidTr="00B859EE">
        <w:trPr>
          <w:trHeight w:val="23"/>
        </w:trPr>
        <w:tc>
          <w:tcPr>
            <w:tcW w:w="1867" w:type="dxa"/>
            <w:vMerge/>
            <w:vAlign w:val="center"/>
          </w:tcPr>
          <w:p w:rsidR="00AF091B" w:rsidRPr="00AF091B" w:rsidRDefault="00AF091B" w:rsidP="00AF091B">
            <w:pPr>
              <w:widowControl w:val="0"/>
              <w:autoSpaceDE w:val="0"/>
              <w:autoSpaceDN w:val="0"/>
              <w:adjustRightInd w:val="0"/>
              <w:spacing w:after="0" w:line="240" w:lineRule="auto"/>
              <w:ind w:firstLine="720"/>
              <w:rPr>
                <w:rFonts w:eastAsia="Times New Roman" w:cs="Times New Roman"/>
                <w:sz w:val="22"/>
                <w:lang w:eastAsia="lt-LT"/>
              </w:rPr>
            </w:pPr>
          </w:p>
        </w:tc>
        <w:tc>
          <w:tcPr>
            <w:tcW w:w="2410" w:type="dxa"/>
            <w:tcMar>
              <w:top w:w="0" w:type="dxa"/>
              <w:left w:w="108" w:type="dxa"/>
              <w:bottom w:w="0" w:type="dxa"/>
              <w:right w:w="108" w:type="dxa"/>
            </w:tcMar>
          </w:tcPr>
          <w:p w:rsidR="00AF091B" w:rsidRPr="00AF091B" w:rsidRDefault="00AF091B" w:rsidP="00AF091B">
            <w:pPr>
              <w:widowControl w:val="0"/>
              <w:autoSpaceDE w:val="0"/>
              <w:autoSpaceDN w:val="0"/>
              <w:adjustRightInd w:val="0"/>
              <w:spacing w:after="0" w:line="240" w:lineRule="auto"/>
              <w:textAlignment w:val="baseline"/>
              <w:rPr>
                <w:rFonts w:eastAsia="Times New Roman" w:cs="Times New Roman"/>
                <w:b/>
                <w:sz w:val="22"/>
                <w:lang w:eastAsia="lt-LT"/>
              </w:rPr>
            </w:pPr>
            <w:r w:rsidRPr="00AF091B">
              <w:rPr>
                <w:rFonts w:eastAsia="Times New Roman" w:cs="Times New Roman"/>
                <w:b/>
                <w:sz w:val="22"/>
                <w:lang w:eastAsia="lt-LT"/>
              </w:rPr>
              <w:t xml:space="preserve">6. Miestų aplinkos gerinimo, miestų atkūrimo, apleistų pramoninių teritorijų (įskaitant pertvarkomas teritorijas) išvalymo ir atkūrimo, oro taršos ir triukšmo mažinimo </w:t>
            </w:r>
            <w:r w:rsidRPr="00AF091B">
              <w:rPr>
                <w:rFonts w:eastAsia="Times New Roman" w:cs="Times New Roman"/>
                <w:b/>
                <w:sz w:val="22"/>
                <w:lang w:eastAsia="lt-LT"/>
              </w:rPr>
              <w:lastRenderedPageBreak/>
              <w:t xml:space="preserve">priemonių </w:t>
            </w:r>
            <w:r w:rsidR="006D34BB">
              <w:rPr>
                <w:rFonts w:eastAsia="Times New Roman" w:cs="Times New Roman"/>
                <w:b/>
                <w:sz w:val="22"/>
                <w:lang w:eastAsia="lt-LT"/>
              </w:rPr>
              <w:t xml:space="preserve">įgyvendinimo </w:t>
            </w:r>
            <w:r w:rsidRPr="00AF091B">
              <w:rPr>
                <w:rFonts w:eastAsia="Times New Roman" w:cs="Times New Roman"/>
                <w:b/>
                <w:sz w:val="22"/>
                <w:lang w:eastAsia="lt-LT"/>
              </w:rPr>
              <w:t>skatinimas</w:t>
            </w:r>
          </w:p>
        </w:tc>
        <w:tc>
          <w:tcPr>
            <w:tcW w:w="2126" w:type="dxa"/>
            <w:tcMar>
              <w:top w:w="0" w:type="dxa"/>
              <w:left w:w="108" w:type="dxa"/>
              <w:bottom w:w="0" w:type="dxa"/>
              <w:right w:w="108" w:type="dxa"/>
            </w:tcMar>
          </w:tcPr>
          <w:p w:rsidR="00AF091B" w:rsidRPr="00AF091B" w:rsidRDefault="00AF091B" w:rsidP="00AF091B">
            <w:pPr>
              <w:widowControl w:val="0"/>
              <w:autoSpaceDE w:val="0"/>
              <w:autoSpaceDN w:val="0"/>
              <w:adjustRightInd w:val="0"/>
              <w:spacing w:after="0" w:line="240" w:lineRule="auto"/>
              <w:textAlignment w:val="baseline"/>
              <w:rPr>
                <w:rFonts w:eastAsia="Times New Roman" w:cs="Times New Roman"/>
                <w:b/>
                <w:sz w:val="22"/>
                <w:lang w:eastAsia="lt-LT"/>
              </w:rPr>
            </w:pPr>
            <w:r w:rsidRPr="00AF091B">
              <w:rPr>
                <w:rFonts w:eastAsia="Times New Roman" w:cs="Times New Roman"/>
                <w:b/>
                <w:sz w:val="22"/>
                <w:lang w:eastAsia="lt-LT"/>
              </w:rPr>
              <w:lastRenderedPageBreak/>
              <w:t>Aplinkos ministerija</w:t>
            </w:r>
          </w:p>
        </w:tc>
        <w:tc>
          <w:tcPr>
            <w:tcW w:w="1812" w:type="dxa"/>
            <w:tcMar>
              <w:top w:w="0" w:type="dxa"/>
              <w:left w:w="108" w:type="dxa"/>
              <w:bottom w:w="0" w:type="dxa"/>
              <w:right w:w="108" w:type="dxa"/>
            </w:tcMar>
          </w:tcPr>
          <w:p w:rsidR="00AF091B" w:rsidRPr="00AF091B" w:rsidRDefault="00AF091B" w:rsidP="00AF091B">
            <w:pPr>
              <w:widowControl w:val="0"/>
              <w:autoSpaceDE w:val="0"/>
              <w:autoSpaceDN w:val="0"/>
              <w:adjustRightInd w:val="0"/>
              <w:spacing w:after="0" w:line="240" w:lineRule="auto"/>
              <w:textAlignment w:val="baseline"/>
              <w:rPr>
                <w:rFonts w:eastAsia="Times New Roman" w:cs="Times New Roman"/>
                <w:b/>
                <w:sz w:val="22"/>
                <w:lang w:eastAsia="lt-LT"/>
              </w:rPr>
            </w:pPr>
            <w:r w:rsidRPr="00AF091B">
              <w:rPr>
                <w:rFonts w:eastAsia="Times New Roman" w:cs="Times New Roman"/>
                <w:b/>
                <w:sz w:val="22"/>
                <w:lang w:eastAsia="lt-LT"/>
              </w:rPr>
              <w:t>Aplinkos projektų valdymo agentūra</w:t>
            </w:r>
          </w:p>
        </w:tc>
        <w:tc>
          <w:tcPr>
            <w:tcW w:w="1306" w:type="dxa"/>
            <w:tcMar>
              <w:top w:w="0" w:type="dxa"/>
              <w:left w:w="108" w:type="dxa"/>
              <w:bottom w:w="0" w:type="dxa"/>
              <w:right w:w="108" w:type="dxa"/>
            </w:tcMar>
          </w:tcPr>
          <w:p w:rsidR="00AF091B" w:rsidRPr="00AF091B" w:rsidRDefault="00AF091B" w:rsidP="00AF091B">
            <w:pPr>
              <w:widowControl w:val="0"/>
              <w:autoSpaceDE w:val="0"/>
              <w:autoSpaceDN w:val="0"/>
              <w:adjustRightInd w:val="0"/>
              <w:spacing w:after="0" w:line="240" w:lineRule="auto"/>
              <w:jc w:val="center"/>
              <w:rPr>
                <w:rFonts w:eastAsia="Times New Roman" w:cs="Times New Roman"/>
                <w:b/>
                <w:sz w:val="22"/>
                <w:lang w:val="pt-BR" w:eastAsia="lt-LT"/>
              </w:rPr>
            </w:pPr>
            <w:r w:rsidRPr="00AF091B">
              <w:rPr>
                <w:rFonts w:eastAsia="Times New Roman" w:cs="Times New Roman"/>
                <w:sz w:val="22"/>
                <w:lang w:eastAsia="lt-LT"/>
              </w:rPr>
              <w:t>–</w:t>
            </w:r>
            <w:r w:rsidRPr="00AF091B">
              <w:rPr>
                <w:rFonts w:eastAsia="Times New Roman" w:cs="Times New Roman"/>
                <w:sz w:val="22"/>
                <w:lang w:val="pt-BR" w:eastAsia="lt-LT"/>
              </w:rPr>
              <w:t>“.</w:t>
            </w:r>
          </w:p>
        </w:tc>
      </w:tr>
    </w:tbl>
    <w:p w:rsidR="00AF091B" w:rsidRDefault="00AF091B" w:rsidP="00060E3B">
      <w:pPr>
        <w:tabs>
          <w:tab w:val="left" w:pos="709"/>
        </w:tabs>
        <w:autoSpaceDE w:val="0"/>
        <w:autoSpaceDN w:val="0"/>
        <w:adjustRightInd w:val="0"/>
        <w:spacing w:after="0" w:line="240" w:lineRule="auto"/>
        <w:jc w:val="both"/>
        <w:rPr>
          <w:rFonts w:cs="Times New Roman"/>
          <w:color w:val="000000"/>
          <w:szCs w:val="24"/>
        </w:rPr>
      </w:pPr>
    </w:p>
    <w:p w:rsidR="004A01F0" w:rsidRPr="00E17C9E" w:rsidRDefault="00EC26BF" w:rsidP="00060E3B">
      <w:pPr>
        <w:tabs>
          <w:tab w:val="left" w:pos="709"/>
        </w:tabs>
        <w:autoSpaceDE w:val="0"/>
        <w:autoSpaceDN w:val="0"/>
        <w:adjustRightInd w:val="0"/>
        <w:spacing w:after="0" w:line="240" w:lineRule="auto"/>
        <w:jc w:val="both"/>
        <w:rPr>
          <w:rFonts w:cs="Times New Roman"/>
          <w:color w:val="000000"/>
          <w:szCs w:val="24"/>
        </w:rPr>
      </w:pPr>
      <w:r>
        <w:rPr>
          <w:rFonts w:cs="Times New Roman"/>
          <w:color w:val="000000"/>
          <w:szCs w:val="24"/>
        </w:rPr>
        <w:t xml:space="preserve"> </w:t>
      </w:r>
    </w:p>
    <w:p w:rsidR="00EC26BF" w:rsidRDefault="00EC26BF" w:rsidP="00EC26BF">
      <w:pPr>
        <w:tabs>
          <w:tab w:val="left" w:pos="7655"/>
        </w:tabs>
        <w:spacing w:after="0" w:line="240" w:lineRule="auto"/>
        <w:rPr>
          <w:rFonts w:eastAsia="Times New Roman" w:cs="Times New Roman"/>
          <w:szCs w:val="20"/>
        </w:rPr>
      </w:pPr>
    </w:p>
    <w:p w:rsidR="00EC26BF" w:rsidRDefault="004A01F0" w:rsidP="00EC26BF">
      <w:pPr>
        <w:tabs>
          <w:tab w:val="left" w:pos="7655"/>
        </w:tabs>
        <w:spacing w:after="0" w:line="240" w:lineRule="auto"/>
        <w:rPr>
          <w:rFonts w:eastAsia="Times New Roman" w:cs="Times New Roman"/>
          <w:szCs w:val="24"/>
          <w:lang w:eastAsia="lt-LT"/>
        </w:rPr>
      </w:pPr>
      <w:r>
        <w:rPr>
          <w:rFonts w:eastAsia="Times New Roman" w:cs="Times New Roman"/>
          <w:szCs w:val="24"/>
          <w:lang w:eastAsia="lt-LT"/>
        </w:rPr>
        <w:t>Ministras Pirmininkas</w:t>
      </w:r>
    </w:p>
    <w:p w:rsidR="004A01F0" w:rsidRDefault="004A01F0" w:rsidP="00EC26BF">
      <w:pPr>
        <w:tabs>
          <w:tab w:val="left" w:pos="7655"/>
        </w:tabs>
        <w:spacing w:after="0" w:line="240" w:lineRule="auto"/>
        <w:rPr>
          <w:rFonts w:eastAsia="Times New Roman" w:cs="Times New Roman"/>
          <w:szCs w:val="24"/>
          <w:lang w:eastAsia="lt-LT"/>
        </w:rPr>
      </w:pPr>
    </w:p>
    <w:p w:rsidR="00EC26BF" w:rsidRPr="0067450F" w:rsidRDefault="00EC26BF" w:rsidP="00EC26BF">
      <w:pPr>
        <w:tabs>
          <w:tab w:val="left" w:pos="7655"/>
        </w:tabs>
        <w:spacing w:after="0" w:line="240" w:lineRule="auto"/>
        <w:rPr>
          <w:rFonts w:eastAsia="Times New Roman" w:cs="Times New Roman"/>
          <w:sz w:val="20"/>
          <w:szCs w:val="20"/>
          <w:lang w:eastAsia="lt-LT"/>
        </w:rPr>
      </w:pPr>
      <w:r w:rsidRPr="0067450F">
        <w:rPr>
          <w:rFonts w:eastAsia="Times New Roman" w:cs="Times New Roman"/>
          <w:szCs w:val="24"/>
          <w:lang w:eastAsia="lt-LT"/>
        </w:rPr>
        <w:t xml:space="preserve">Finansų ministras </w:t>
      </w:r>
      <w:r w:rsidRPr="0067450F">
        <w:rPr>
          <w:rFonts w:eastAsia="Times New Roman" w:cs="Times New Roman"/>
          <w:szCs w:val="24"/>
          <w:lang w:eastAsia="lt-LT"/>
        </w:rPr>
        <w:tab/>
      </w:r>
    </w:p>
    <w:p w:rsidR="00EC26BF" w:rsidRDefault="00EC26BF" w:rsidP="00EC26BF">
      <w:pPr>
        <w:spacing w:after="0" w:line="240" w:lineRule="auto"/>
        <w:rPr>
          <w:rFonts w:eastAsia="Times New Roman" w:cs="Times New Roman"/>
          <w:sz w:val="22"/>
        </w:rPr>
      </w:pPr>
    </w:p>
    <w:p w:rsidR="00EC26BF" w:rsidRDefault="00EC26BF" w:rsidP="00EC26BF">
      <w:pPr>
        <w:spacing w:after="0" w:line="240" w:lineRule="auto"/>
        <w:rPr>
          <w:rFonts w:eastAsia="Times New Roman" w:cs="Times New Roman"/>
          <w:sz w:val="22"/>
        </w:rPr>
      </w:pPr>
    </w:p>
    <w:p w:rsidR="00A12517" w:rsidRDefault="00A12517" w:rsidP="00EC26BF">
      <w:pPr>
        <w:spacing w:after="0" w:line="240" w:lineRule="auto"/>
        <w:rPr>
          <w:rFonts w:eastAsia="Times New Roman" w:cs="Times New Roman"/>
          <w:sz w:val="22"/>
        </w:rPr>
      </w:pPr>
    </w:p>
    <w:p w:rsidR="00C84511" w:rsidRDefault="00C84511"/>
    <w:sectPr w:rsidR="00C84511" w:rsidSect="00565BCC">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1701" w:header="561" w:footer="686"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118" w:rsidRDefault="00604118">
      <w:pPr>
        <w:spacing w:after="0" w:line="240" w:lineRule="auto"/>
      </w:pPr>
      <w:r>
        <w:separator/>
      </w:r>
    </w:p>
  </w:endnote>
  <w:endnote w:type="continuationSeparator" w:id="0">
    <w:p w:rsidR="00604118" w:rsidRDefault="00604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993" w:rsidRDefault="00015D12">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993" w:rsidRDefault="00015D12">
    <w:pPr>
      <w:ind w:right="227"/>
      <w:jc w:val="right"/>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993" w:rsidRDefault="00EC26BF">
    <w:pPr>
      <w:ind w:right="227"/>
      <w:jc w:val="right"/>
      <w:rPr>
        <w:sz w:val="10"/>
        <w:lang w:eastAsia="lt-LT"/>
      </w:rPr>
    </w:pPr>
    <w:r>
      <w:rPr>
        <w:sz w:val="10"/>
        <w:lang w:eastAsia="lt-LT"/>
      </w:rPr>
      <w:t>Dokumentas7</w:t>
    </w:r>
  </w:p>
  <w:p w:rsidR="00D20993" w:rsidRDefault="00015D12">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118" w:rsidRDefault="00604118">
      <w:pPr>
        <w:spacing w:after="0" w:line="240" w:lineRule="auto"/>
      </w:pPr>
      <w:r>
        <w:separator/>
      </w:r>
    </w:p>
  </w:footnote>
  <w:footnote w:type="continuationSeparator" w:id="0">
    <w:p w:rsidR="00604118" w:rsidRDefault="006041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993" w:rsidRDefault="00EC26B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rsidR="00D20993" w:rsidRDefault="00015D12">
    <w:pPr>
      <w:tabs>
        <w:tab w:val="center" w:pos="4153"/>
        <w:tab w:val="right" w:pos="8306"/>
      </w:tabs>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993" w:rsidRDefault="00EC26B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015D12">
      <w:rPr>
        <w:noProof/>
        <w:lang w:eastAsia="lt-LT"/>
      </w:rPr>
      <w:t>2</w:t>
    </w:r>
    <w:r>
      <w:rPr>
        <w:lang w:eastAsia="lt-LT"/>
      </w:rPr>
      <w:fldChar w:fldCharType="end"/>
    </w:r>
  </w:p>
  <w:p w:rsidR="00D20993" w:rsidRDefault="00015D12">
    <w:pPr>
      <w:tabs>
        <w:tab w:val="center" w:pos="4153"/>
        <w:tab w:val="right" w:pos="8306"/>
      </w:tabs>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993" w:rsidRDefault="00015D12">
    <w:pPr>
      <w:tabs>
        <w:tab w:val="center" w:pos="4153"/>
        <w:tab w:val="right" w:pos="8306"/>
      </w:tabs>
      <w:rPr>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6414C"/>
    <w:multiLevelType w:val="hybridMultilevel"/>
    <w:tmpl w:val="896EAD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4E712B2"/>
    <w:multiLevelType w:val="multilevel"/>
    <w:tmpl w:val="45067648"/>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eastAsia="Times New Roman" w:hint="default"/>
      </w:rPr>
    </w:lvl>
    <w:lvl w:ilvl="2">
      <w:start w:val="1"/>
      <w:numFmt w:val="decimal"/>
      <w:isLgl/>
      <w:lvlText w:val="%1.%2.%3."/>
      <w:lvlJc w:val="left"/>
      <w:pPr>
        <w:ind w:left="1425" w:hanging="720"/>
      </w:pPr>
      <w:rPr>
        <w:rFonts w:eastAsia="Times New Roman" w:hint="default"/>
      </w:rPr>
    </w:lvl>
    <w:lvl w:ilvl="3">
      <w:start w:val="1"/>
      <w:numFmt w:val="decimal"/>
      <w:isLgl/>
      <w:lvlText w:val="%1.%2.%3.%4."/>
      <w:lvlJc w:val="left"/>
      <w:pPr>
        <w:ind w:left="1425" w:hanging="720"/>
      </w:pPr>
      <w:rPr>
        <w:rFonts w:eastAsia="Times New Roman" w:hint="default"/>
      </w:rPr>
    </w:lvl>
    <w:lvl w:ilvl="4">
      <w:start w:val="1"/>
      <w:numFmt w:val="decimal"/>
      <w:isLgl/>
      <w:lvlText w:val="%1.%2.%3.%4.%5."/>
      <w:lvlJc w:val="left"/>
      <w:pPr>
        <w:ind w:left="1785" w:hanging="1080"/>
      </w:pPr>
      <w:rPr>
        <w:rFonts w:eastAsia="Times New Roman" w:hint="default"/>
      </w:rPr>
    </w:lvl>
    <w:lvl w:ilvl="5">
      <w:start w:val="1"/>
      <w:numFmt w:val="decimal"/>
      <w:isLgl/>
      <w:lvlText w:val="%1.%2.%3.%4.%5.%6."/>
      <w:lvlJc w:val="left"/>
      <w:pPr>
        <w:ind w:left="1785" w:hanging="1080"/>
      </w:pPr>
      <w:rPr>
        <w:rFonts w:eastAsia="Times New Roman" w:hint="default"/>
      </w:rPr>
    </w:lvl>
    <w:lvl w:ilvl="6">
      <w:start w:val="1"/>
      <w:numFmt w:val="decimal"/>
      <w:isLgl/>
      <w:lvlText w:val="%1.%2.%3.%4.%5.%6.%7."/>
      <w:lvlJc w:val="left"/>
      <w:pPr>
        <w:ind w:left="2145" w:hanging="1440"/>
      </w:pPr>
      <w:rPr>
        <w:rFonts w:eastAsia="Times New Roman" w:hint="default"/>
      </w:rPr>
    </w:lvl>
    <w:lvl w:ilvl="7">
      <w:start w:val="1"/>
      <w:numFmt w:val="decimal"/>
      <w:isLgl/>
      <w:lvlText w:val="%1.%2.%3.%4.%5.%6.%7.%8."/>
      <w:lvlJc w:val="left"/>
      <w:pPr>
        <w:ind w:left="2145" w:hanging="1440"/>
      </w:pPr>
      <w:rPr>
        <w:rFonts w:eastAsia="Times New Roman" w:hint="default"/>
      </w:rPr>
    </w:lvl>
    <w:lvl w:ilvl="8">
      <w:start w:val="1"/>
      <w:numFmt w:val="decimal"/>
      <w:isLgl/>
      <w:lvlText w:val="%1.%2.%3.%4.%5.%6.%7.%8.%9."/>
      <w:lvlJc w:val="left"/>
      <w:pPr>
        <w:ind w:left="2505" w:hanging="1800"/>
      </w:pPr>
      <w:rPr>
        <w:rFonts w:eastAsia="Times New Roman" w:hint="default"/>
      </w:rPr>
    </w:lvl>
  </w:abstractNum>
  <w:abstractNum w:abstractNumId="2">
    <w:nsid w:val="15D23BDF"/>
    <w:multiLevelType w:val="multilevel"/>
    <w:tmpl w:val="45067648"/>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eastAsia="Times New Roman" w:hint="default"/>
      </w:rPr>
    </w:lvl>
    <w:lvl w:ilvl="2">
      <w:start w:val="1"/>
      <w:numFmt w:val="decimal"/>
      <w:isLgl/>
      <w:lvlText w:val="%1.%2.%3."/>
      <w:lvlJc w:val="left"/>
      <w:pPr>
        <w:ind w:left="1425" w:hanging="720"/>
      </w:pPr>
      <w:rPr>
        <w:rFonts w:eastAsia="Times New Roman" w:hint="default"/>
      </w:rPr>
    </w:lvl>
    <w:lvl w:ilvl="3">
      <w:start w:val="1"/>
      <w:numFmt w:val="decimal"/>
      <w:isLgl/>
      <w:lvlText w:val="%1.%2.%3.%4."/>
      <w:lvlJc w:val="left"/>
      <w:pPr>
        <w:ind w:left="1425" w:hanging="720"/>
      </w:pPr>
      <w:rPr>
        <w:rFonts w:eastAsia="Times New Roman" w:hint="default"/>
      </w:rPr>
    </w:lvl>
    <w:lvl w:ilvl="4">
      <w:start w:val="1"/>
      <w:numFmt w:val="decimal"/>
      <w:isLgl/>
      <w:lvlText w:val="%1.%2.%3.%4.%5."/>
      <w:lvlJc w:val="left"/>
      <w:pPr>
        <w:ind w:left="1785" w:hanging="1080"/>
      </w:pPr>
      <w:rPr>
        <w:rFonts w:eastAsia="Times New Roman" w:hint="default"/>
      </w:rPr>
    </w:lvl>
    <w:lvl w:ilvl="5">
      <w:start w:val="1"/>
      <w:numFmt w:val="decimal"/>
      <w:isLgl/>
      <w:lvlText w:val="%1.%2.%3.%4.%5.%6."/>
      <w:lvlJc w:val="left"/>
      <w:pPr>
        <w:ind w:left="1785" w:hanging="1080"/>
      </w:pPr>
      <w:rPr>
        <w:rFonts w:eastAsia="Times New Roman" w:hint="default"/>
      </w:rPr>
    </w:lvl>
    <w:lvl w:ilvl="6">
      <w:start w:val="1"/>
      <w:numFmt w:val="decimal"/>
      <w:isLgl/>
      <w:lvlText w:val="%1.%2.%3.%4.%5.%6.%7."/>
      <w:lvlJc w:val="left"/>
      <w:pPr>
        <w:ind w:left="2145" w:hanging="1440"/>
      </w:pPr>
      <w:rPr>
        <w:rFonts w:eastAsia="Times New Roman" w:hint="default"/>
      </w:rPr>
    </w:lvl>
    <w:lvl w:ilvl="7">
      <w:start w:val="1"/>
      <w:numFmt w:val="decimal"/>
      <w:isLgl/>
      <w:lvlText w:val="%1.%2.%3.%4.%5.%6.%7.%8."/>
      <w:lvlJc w:val="left"/>
      <w:pPr>
        <w:ind w:left="2145" w:hanging="1440"/>
      </w:pPr>
      <w:rPr>
        <w:rFonts w:eastAsia="Times New Roman" w:hint="default"/>
      </w:rPr>
    </w:lvl>
    <w:lvl w:ilvl="8">
      <w:start w:val="1"/>
      <w:numFmt w:val="decimal"/>
      <w:isLgl/>
      <w:lvlText w:val="%1.%2.%3.%4.%5.%6.%7.%8.%9."/>
      <w:lvlJc w:val="left"/>
      <w:pPr>
        <w:ind w:left="2505" w:hanging="1800"/>
      </w:pPr>
      <w:rPr>
        <w:rFonts w:eastAsia="Times New Roman" w:hint="default"/>
      </w:rPr>
    </w:lvl>
  </w:abstractNum>
  <w:abstractNum w:abstractNumId="3">
    <w:nsid w:val="1E112B40"/>
    <w:multiLevelType w:val="hybridMultilevel"/>
    <w:tmpl w:val="170EB3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EE97D1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15C727A"/>
    <w:multiLevelType w:val="multilevel"/>
    <w:tmpl w:val="E22691A8"/>
    <w:lvl w:ilvl="0">
      <w:start w:val="3"/>
      <w:numFmt w:val="decimal"/>
      <w:lvlText w:val="%1"/>
      <w:lvlJc w:val="left"/>
      <w:pPr>
        <w:ind w:left="360" w:hanging="360"/>
      </w:pPr>
      <w:rPr>
        <w:rFonts w:hint="default"/>
      </w:rPr>
    </w:lvl>
    <w:lvl w:ilvl="1">
      <w:start w:val="1"/>
      <w:numFmt w:val="decimal"/>
      <w:lvlText w:val="%1.%2"/>
      <w:lvlJc w:val="left"/>
      <w:pPr>
        <w:ind w:left="2145" w:hanging="360"/>
      </w:pPr>
      <w:rPr>
        <w:rFonts w:hint="default"/>
      </w:rPr>
    </w:lvl>
    <w:lvl w:ilvl="2">
      <w:start w:val="1"/>
      <w:numFmt w:val="decimal"/>
      <w:lvlText w:val="%1.%2.%3"/>
      <w:lvlJc w:val="left"/>
      <w:pPr>
        <w:ind w:left="4290" w:hanging="720"/>
      </w:pPr>
      <w:rPr>
        <w:rFonts w:hint="default"/>
      </w:rPr>
    </w:lvl>
    <w:lvl w:ilvl="3">
      <w:start w:val="1"/>
      <w:numFmt w:val="decimal"/>
      <w:lvlText w:val="%1.%2.%3.%4"/>
      <w:lvlJc w:val="left"/>
      <w:pPr>
        <w:ind w:left="6075" w:hanging="720"/>
      </w:pPr>
      <w:rPr>
        <w:rFonts w:hint="default"/>
      </w:rPr>
    </w:lvl>
    <w:lvl w:ilvl="4">
      <w:start w:val="1"/>
      <w:numFmt w:val="decimal"/>
      <w:lvlText w:val="%1.%2.%3.%4.%5"/>
      <w:lvlJc w:val="left"/>
      <w:pPr>
        <w:ind w:left="8220" w:hanging="1080"/>
      </w:pPr>
      <w:rPr>
        <w:rFonts w:hint="default"/>
      </w:rPr>
    </w:lvl>
    <w:lvl w:ilvl="5">
      <w:start w:val="1"/>
      <w:numFmt w:val="decimal"/>
      <w:lvlText w:val="%1.%2.%3.%4.%5.%6"/>
      <w:lvlJc w:val="left"/>
      <w:pPr>
        <w:ind w:left="10005" w:hanging="1080"/>
      </w:pPr>
      <w:rPr>
        <w:rFonts w:hint="default"/>
      </w:rPr>
    </w:lvl>
    <w:lvl w:ilvl="6">
      <w:start w:val="1"/>
      <w:numFmt w:val="decimal"/>
      <w:lvlText w:val="%1.%2.%3.%4.%5.%6.%7"/>
      <w:lvlJc w:val="left"/>
      <w:pPr>
        <w:ind w:left="12150" w:hanging="1440"/>
      </w:pPr>
      <w:rPr>
        <w:rFonts w:hint="default"/>
      </w:rPr>
    </w:lvl>
    <w:lvl w:ilvl="7">
      <w:start w:val="1"/>
      <w:numFmt w:val="decimal"/>
      <w:lvlText w:val="%1.%2.%3.%4.%5.%6.%7.%8"/>
      <w:lvlJc w:val="left"/>
      <w:pPr>
        <w:ind w:left="13935" w:hanging="1440"/>
      </w:pPr>
      <w:rPr>
        <w:rFonts w:hint="default"/>
      </w:rPr>
    </w:lvl>
    <w:lvl w:ilvl="8">
      <w:start w:val="1"/>
      <w:numFmt w:val="decimal"/>
      <w:lvlText w:val="%1.%2.%3.%4.%5.%6.%7.%8.%9"/>
      <w:lvlJc w:val="left"/>
      <w:pPr>
        <w:ind w:left="16080" w:hanging="1800"/>
      </w:pPr>
      <w:rPr>
        <w:rFonts w:hint="default"/>
      </w:rPr>
    </w:lvl>
  </w:abstractNum>
  <w:abstractNum w:abstractNumId="6">
    <w:nsid w:val="31A53768"/>
    <w:multiLevelType w:val="hybridMultilevel"/>
    <w:tmpl w:val="A61AA6D2"/>
    <w:lvl w:ilvl="0" w:tplc="55B0AC2C">
      <w:start w:val="5"/>
      <w:numFmt w:val="decimal"/>
      <w:lvlText w:val="%1."/>
      <w:lvlJc w:val="left"/>
      <w:pPr>
        <w:ind w:left="2956" w:hanging="360"/>
      </w:pPr>
      <w:rPr>
        <w:rFonts w:cs="Times New Roman" w:hint="default"/>
        <w:color w:val="000000"/>
      </w:rPr>
    </w:lvl>
    <w:lvl w:ilvl="1" w:tplc="04270019" w:tentative="1">
      <w:start w:val="1"/>
      <w:numFmt w:val="lowerLetter"/>
      <w:lvlText w:val="%2."/>
      <w:lvlJc w:val="left"/>
      <w:pPr>
        <w:ind w:left="3676" w:hanging="360"/>
      </w:pPr>
    </w:lvl>
    <w:lvl w:ilvl="2" w:tplc="0427001B" w:tentative="1">
      <w:start w:val="1"/>
      <w:numFmt w:val="lowerRoman"/>
      <w:lvlText w:val="%3."/>
      <w:lvlJc w:val="right"/>
      <w:pPr>
        <w:ind w:left="4396" w:hanging="180"/>
      </w:pPr>
    </w:lvl>
    <w:lvl w:ilvl="3" w:tplc="0427000F" w:tentative="1">
      <w:start w:val="1"/>
      <w:numFmt w:val="decimal"/>
      <w:lvlText w:val="%4."/>
      <w:lvlJc w:val="left"/>
      <w:pPr>
        <w:ind w:left="5116" w:hanging="360"/>
      </w:pPr>
    </w:lvl>
    <w:lvl w:ilvl="4" w:tplc="04270019" w:tentative="1">
      <w:start w:val="1"/>
      <w:numFmt w:val="lowerLetter"/>
      <w:lvlText w:val="%5."/>
      <w:lvlJc w:val="left"/>
      <w:pPr>
        <w:ind w:left="5836" w:hanging="360"/>
      </w:pPr>
    </w:lvl>
    <w:lvl w:ilvl="5" w:tplc="0427001B" w:tentative="1">
      <w:start w:val="1"/>
      <w:numFmt w:val="lowerRoman"/>
      <w:lvlText w:val="%6."/>
      <w:lvlJc w:val="right"/>
      <w:pPr>
        <w:ind w:left="6556" w:hanging="180"/>
      </w:pPr>
    </w:lvl>
    <w:lvl w:ilvl="6" w:tplc="0427000F" w:tentative="1">
      <w:start w:val="1"/>
      <w:numFmt w:val="decimal"/>
      <w:lvlText w:val="%7."/>
      <w:lvlJc w:val="left"/>
      <w:pPr>
        <w:ind w:left="7276" w:hanging="360"/>
      </w:pPr>
    </w:lvl>
    <w:lvl w:ilvl="7" w:tplc="04270019" w:tentative="1">
      <w:start w:val="1"/>
      <w:numFmt w:val="lowerLetter"/>
      <w:lvlText w:val="%8."/>
      <w:lvlJc w:val="left"/>
      <w:pPr>
        <w:ind w:left="7996" w:hanging="360"/>
      </w:pPr>
    </w:lvl>
    <w:lvl w:ilvl="8" w:tplc="0427001B" w:tentative="1">
      <w:start w:val="1"/>
      <w:numFmt w:val="lowerRoman"/>
      <w:lvlText w:val="%9."/>
      <w:lvlJc w:val="right"/>
      <w:pPr>
        <w:ind w:left="8716" w:hanging="180"/>
      </w:pPr>
    </w:lvl>
  </w:abstractNum>
  <w:abstractNum w:abstractNumId="7">
    <w:nsid w:val="57D12DC6"/>
    <w:multiLevelType w:val="multilevel"/>
    <w:tmpl w:val="92C400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DED1EAD"/>
    <w:multiLevelType w:val="multilevel"/>
    <w:tmpl w:val="45067648"/>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eastAsia="Times New Roman" w:hint="default"/>
      </w:rPr>
    </w:lvl>
    <w:lvl w:ilvl="2">
      <w:start w:val="1"/>
      <w:numFmt w:val="decimal"/>
      <w:isLgl/>
      <w:lvlText w:val="%1.%2.%3."/>
      <w:lvlJc w:val="left"/>
      <w:pPr>
        <w:ind w:left="1425" w:hanging="720"/>
      </w:pPr>
      <w:rPr>
        <w:rFonts w:eastAsia="Times New Roman" w:hint="default"/>
      </w:rPr>
    </w:lvl>
    <w:lvl w:ilvl="3">
      <w:start w:val="1"/>
      <w:numFmt w:val="decimal"/>
      <w:isLgl/>
      <w:lvlText w:val="%1.%2.%3.%4."/>
      <w:lvlJc w:val="left"/>
      <w:pPr>
        <w:ind w:left="1425" w:hanging="720"/>
      </w:pPr>
      <w:rPr>
        <w:rFonts w:eastAsia="Times New Roman" w:hint="default"/>
      </w:rPr>
    </w:lvl>
    <w:lvl w:ilvl="4">
      <w:start w:val="1"/>
      <w:numFmt w:val="decimal"/>
      <w:isLgl/>
      <w:lvlText w:val="%1.%2.%3.%4.%5."/>
      <w:lvlJc w:val="left"/>
      <w:pPr>
        <w:ind w:left="1785" w:hanging="1080"/>
      </w:pPr>
      <w:rPr>
        <w:rFonts w:eastAsia="Times New Roman" w:hint="default"/>
      </w:rPr>
    </w:lvl>
    <w:lvl w:ilvl="5">
      <w:start w:val="1"/>
      <w:numFmt w:val="decimal"/>
      <w:isLgl/>
      <w:lvlText w:val="%1.%2.%3.%4.%5.%6."/>
      <w:lvlJc w:val="left"/>
      <w:pPr>
        <w:ind w:left="1785" w:hanging="1080"/>
      </w:pPr>
      <w:rPr>
        <w:rFonts w:eastAsia="Times New Roman" w:hint="default"/>
      </w:rPr>
    </w:lvl>
    <w:lvl w:ilvl="6">
      <w:start w:val="1"/>
      <w:numFmt w:val="decimal"/>
      <w:isLgl/>
      <w:lvlText w:val="%1.%2.%3.%4.%5.%6.%7."/>
      <w:lvlJc w:val="left"/>
      <w:pPr>
        <w:ind w:left="2145" w:hanging="1440"/>
      </w:pPr>
      <w:rPr>
        <w:rFonts w:eastAsia="Times New Roman" w:hint="default"/>
      </w:rPr>
    </w:lvl>
    <w:lvl w:ilvl="7">
      <w:start w:val="1"/>
      <w:numFmt w:val="decimal"/>
      <w:isLgl/>
      <w:lvlText w:val="%1.%2.%3.%4.%5.%6.%7.%8."/>
      <w:lvlJc w:val="left"/>
      <w:pPr>
        <w:ind w:left="2145" w:hanging="1440"/>
      </w:pPr>
      <w:rPr>
        <w:rFonts w:eastAsia="Times New Roman" w:hint="default"/>
      </w:rPr>
    </w:lvl>
    <w:lvl w:ilvl="8">
      <w:start w:val="1"/>
      <w:numFmt w:val="decimal"/>
      <w:isLgl/>
      <w:lvlText w:val="%1.%2.%3.%4.%5.%6.%7.%8.%9."/>
      <w:lvlJc w:val="left"/>
      <w:pPr>
        <w:ind w:left="2505" w:hanging="1800"/>
      </w:pPr>
      <w:rPr>
        <w:rFonts w:eastAsia="Times New Roman" w:hint="default"/>
      </w:rPr>
    </w:lvl>
  </w:abstractNum>
  <w:abstractNum w:abstractNumId="9">
    <w:nsid w:val="732641A5"/>
    <w:multiLevelType w:val="multilevel"/>
    <w:tmpl w:val="25C42DE8"/>
    <w:lvl w:ilvl="0">
      <w:start w:val="3"/>
      <w:numFmt w:val="decimal"/>
      <w:lvlText w:val="%1."/>
      <w:lvlJc w:val="left"/>
      <w:pPr>
        <w:ind w:left="360" w:hanging="360"/>
      </w:pPr>
      <w:rPr>
        <w:rFonts w:hint="default"/>
      </w:rPr>
    </w:lvl>
    <w:lvl w:ilvl="1">
      <w:start w:val="1"/>
      <w:numFmt w:val="decimal"/>
      <w:lvlText w:val="%1.%2."/>
      <w:lvlJc w:val="left"/>
      <w:pPr>
        <w:ind w:left="2145" w:hanging="360"/>
      </w:pPr>
      <w:rPr>
        <w:rFonts w:hint="default"/>
      </w:rPr>
    </w:lvl>
    <w:lvl w:ilvl="2">
      <w:start w:val="1"/>
      <w:numFmt w:val="decimal"/>
      <w:lvlText w:val="%1.%2.%3."/>
      <w:lvlJc w:val="left"/>
      <w:pPr>
        <w:ind w:left="4290" w:hanging="720"/>
      </w:pPr>
      <w:rPr>
        <w:rFonts w:hint="default"/>
      </w:rPr>
    </w:lvl>
    <w:lvl w:ilvl="3">
      <w:start w:val="1"/>
      <w:numFmt w:val="decimal"/>
      <w:lvlText w:val="%1.%2.%3.%4."/>
      <w:lvlJc w:val="left"/>
      <w:pPr>
        <w:ind w:left="6075" w:hanging="720"/>
      </w:pPr>
      <w:rPr>
        <w:rFonts w:hint="default"/>
      </w:rPr>
    </w:lvl>
    <w:lvl w:ilvl="4">
      <w:start w:val="1"/>
      <w:numFmt w:val="decimal"/>
      <w:lvlText w:val="%1.%2.%3.%4.%5."/>
      <w:lvlJc w:val="left"/>
      <w:pPr>
        <w:ind w:left="8220" w:hanging="1080"/>
      </w:pPr>
      <w:rPr>
        <w:rFonts w:hint="default"/>
      </w:rPr>
    </w:lvl>
    <w:lvl w:ilvl="5">
      <w:start w:val="1"/>
      <w:numFmt w:val="decimal"/>
      <w:lvlText w:val="%1.%2.%3.%4.%5.%6."/>
      <w:lvlJc w:val="left"/>
      <w:pPr>
        <w:ind w:left="10005" w:hanging="1080"/>
      </w:pPr>
      <w:rPr>
        <w:rFonts w:hint="default"/>
      </w:rPr>
    </w:lvl>
    <w:lvl w:ilvl="6">
      <w:start w:val="1"/>
      <w:numFmt w:val="decimal"/>
      <w:lvlText w:val="%1.%2.%3.%4.%5.%6.%7."/>
      <w:lvlJc w:val="left"/>
      <w:pPr>
        <w:ind w:left="12150" w:hanging="1440"/>
      </w:pPr>
      <w:rPr>
        <w:rFonts w:hint="default"/>
      </w:rPr>
    </w:lvl>
    <w:lvl w:ilvl="7">
      <w:start w:val="1"/>
      <w:numFmt w:val="decimal"/>
      <w:lvlText w:val="%1.%2.%3.%4.%5.%6.%7.%8."/>
      <w:lvlJc w:val="left"/>
      <w:pPr>
        <w:ind w:left="13935" w:hanging="1440"/>
      </w:pPr>
      <w:rPr>
        <w:rFonts w:hint="default"/>
      </w:rPr>
    </w:lvl>
    <w:lvl w:ilvl="8">
      <w:start w:val="1"/>
      <w:numFmt w:val="decimal"/>
      <w:lvlText w:val="%1.%2.%3.%4.%5.%6.%7.%8.%9."/>
      <w:lvlJc w:val="left"/>
      <w:pPr>
        <w:ind w:left="16080" w:hanging="1800"/>
      </w:pPr>
      <w:rPr>
        <w:rFonts w:hint="default"/>
      </w:rPr>
    </w:lvl>
  </w:abstractNum>
  <w:num w:numId="1">
    <w:abstractNumId w:val="4"/>
  </w:num>
  <w:num w:numId="2">
    <w:abstractNumId w:val="6"/>
  </w:num>
  <w:num w:numId="3">
    <w:abstractNumId w:val="1"/>
  </w:num>
  <w:num w:numId="4">
    <w:abstractNumId w:val="8"/>
  </w:num>
  <w:num w:numId="5">
    <w:abstractNumId w:val="5"/>
  </w:num>
  <w:num w:numId="6">
    <w:abstractNumId w:val="9"/>
  </w:num>
  <w:num w:numId="7">
    <w:abstractNumId w:val="7"/>
  </w:num>
  <w:num w:numId="8">
    <w:abstractNumId w:val="2"/>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6BF"/>
    <w:rsid w:val="00006BAC"/>
    <w:rsid w:val="00015D12"/>
    <w:rsid w:val="000563E6"/>
    <w:rsid w:val="00060E3B"/>
    <w:rsid w:val="001E24D5"/>
    <w:rsid w:val="002A226D"/>
    <w:rsid w:val="00342BF0"/>
    <w:rsid w:val="003A7204"/>
    <w:rsid w:val="003B5101"/>
    <w:rsid w:val="003E3651"/>
    <w:rsid w:val="00413938"/>
    <w:rsid w:val="00417FBB"/>
    <w:rsid w:val="00443DDE"/>
    <w:rsid w:val="004621E0"/>
    <w:rsid w:val="00463D41"/>
    <w:rsid w:val="004A01F0"/>
    <w:rsid w:val="004E0014"/>
    <w:rsid w:val="00565BCC"/>
    <w:rsid w:val="00582241"/>
    <w:rsid w:val="005B4244"/>
    <w:rsid w:val="00604118"/>
    <w:rsid w:val="00617ADE"/>
    <w:rsid w:val="00634CDF"/>
    <w:rsid w:val="006D34BB"/>
    <w:rsid w:val="006D6EE9"/>
    <w:rsid w:val="006F5E66"/>
    <w:rsid w:val="007560E2"/>
    <w:rsid w:val="007F4D55"/>
    <w:rsid w:val="008C412B"/>
    <w:rsid w:val="00906407"/>
    <w:rsid w:val="00933686"/>
    <w:rsid w:val="009F0083"/>
    <w:rsid w:val="00A12517"/>
    <w:rsid w:val="00A2206C"/>
    <w:rsid w:val="00A23D10"/>
    <w:rsid w:val="00A24ED5"/>
    <w:rsid w:val="00A57811"/>
    <w:rsid w:val="00AF091B"/>
    <w:rsid w:val="00B94001"/>
    <w:rsid w:val="00BB02A2"/>
    <w:rsid w:val="00C33B71"/>
    <w:rsid w:val="00C7092A"/>
    <w:rsid w:val="00C84511"/>
    <w:rsid w:val="00C95B21"/>
    <w:rsid w:val="00E17C9E"/>
    <w:rsid w:val="00E669F1"/>
    <w:rsid w:val="00EA5A98"/>
    <w:rsid w:val="00EC26BF"/>
    <w:rsid w:val="00EE5D8D"/>
    <w:rsid w:val="00F50A0D"/>
    <w:rsid w:val="00F977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C26B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rsid w:val="00413938"/>
    <w:rPr>
      <w:sz w:val="16"/>
      <w:szCs w:val="16"/>
    </w:rPr>
  </w:style>
  <w:style w:type="paragraph" w:styleId="Komentarotekstas">
    <w:name w:val="annotation text"/>
    <w:basedOn w:val="prastasis"/>
    <w:link w:val="KomentarotekstasDiagrama"/>
    <w:rsid w:val="00413938"/>
    <w:pPr>
      <w:spacing w:after="0" w:line="240" w:lineRule="auto"/>
    </w:pPr>
    <w:rPr>
      <w:rFonts w:eastAsia="Times New Roman" w:cs="Times New Roman"/>
      <w:sz w:val="20"/>
      <w:szCs w:val="20"/>
    </w:rPr>
  </w:style>
  <w:style w:type="character" w:customStyle="1" w:styleId="KomentarotekstasDiagrama">
    <w:name w:val="Komentaro tekstas Diagrama"/>
    <w:basedOn w:val="Numatytasispastraiposriftas"/>
    <w:link w:val="Komentarotekstas"/>
    <w:rsid w:val="00413938"/>
    <w:rPr>
      <w:rFonts w:eastAsia="Times New Roman" w:cs="Times New Roman"/>
      <w:sz w:val="20"/>
      <w:szCs w:val="20"/>
    </w:rPr>
  </w:style>
  <w:style w:type="paragraph" w:styleId="Debesliotekstas">
    <w:name w:val="Balloon Text"/>
    <w:basedOn w:val="prastasis"/>
    <w:link w:val="DebesliotekstasDiagrama"/>
    <w:uiPriority w:val="99"/>
    <w:semiHidden/>
    <w:unhideWhenUsed/>
    <w:rsid w:val="0041393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13938"/>
    <w:rPr>
      <w:rFonts w:ascii="Tahoma" w:hAnsi="Tahoma" w:cs="Tahoma"/>
      <w:sz w:val="16"/>
      <w:szCs w:val="16"/>
    </w:rPr>
  </w:style>
  <w:style w:type="paragraph" w:styleId="Sraopastraipa">
    <w:name w:val="List Paragraph"/>
    <w:basedOn w:val="prastasis"/>
    <w:uiPriority w:val="34"/>
    <w:qFormat/>
    <w:rsid w:val="00B94001"/>
    <w:pPr>
      <w:ind w:left="720"/>
      <w:contextualSpacing/>
    </w:pPr>
  </w:style>
  <w:style w:type="paragraph" w:styleId="Komentarotema">
    <w:name w:val="annotation subject"/>
    <w:basedOn w:val="Komentarotekstas"/>
    <w:next w:val="Komentarotekstas"/>
    <w:link w:val="KomentarotemaDiagrama"/>
    <w:uiPriority w:val="99"/>
    <w:semiHidden/>
    <w:unhideWhenUsed/>
    <w:rsid w:val="006D34BB"/>
    <w:pPr>
      <w:spacing w:after="200"/>
    </w:pPr>
    <w:rPr>
      <w:rFonts w:eastAsiaTheme="minorHAnsi" w:cstheme="minorBidi"/>
      <w:b/>
      <w:bCs/>
    </w:rPr>
  </w:style>
  <w:style w:type="character" w:customStyle="1" w:styleId="KomentarotemaDiagrama">
    <w:name w:val="Komentaro tema Diagrama"/>
    <w:basedOn w:val="KomentarotekstasDiagrama"/>
    <w:link w:val="Komentarotema"/>
    <w:uiPriority w:val="99"/>
    <w:semiHidden/>
    <w:rsid w:val="006D34BB"/>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C26B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rsid w:val="00413938"/>
    <w:rPr>
      <w:sz w:val="16"/>
      <w:szCs w:val="16"/>
    </w:rPr>
  </w:style>
  <w:style w:type="paragraph" w:styleId="Komentarotekstas">
    <w:name w:val="annotation text"/>
    <w:basedOn w:val="prastasis"/>
    <w:link w:val="KomentarotekstasDiagrama"/>
    <w:rsid w:val="00413938"/>
    <w:pPr>
      <w:spacing w:after="0" w:line="240" w:lineRule="auto"/>
    </w:pPr>
    <w:rPr>
      <w:rFonts w:eastAsia="Times New Roman" w:cs="Times New Roman"/>
      <w:sz w:val="20"/>
      <w:szCs w:val="20"/>
    </w:rPr>
  </w:style>
  <w:style w:type="character" w:customStyle="1" w:styleId="KomentarotekstasDiagrama">
    <w:name w:val="Komentaro tekstas Diagrama"/>
    <w:basedOn w:val="Numatytasispastraiposriftas"/>
    <w:link w:val="Komentarotekstas"/>
    <w:rsid w:val="00413938"/>
    <w:rPr>
      <w:rFonts w:eastAsia="Times New Roman" w:cs="Times New Roman"/>
      <w:sz w:val="20"/>
      <w:szCs w:val="20"/>
    </w:rPr>
  </w:style>
  <w:style w:type="paragraph" w:styleId="Debesliotekstas">
    <w:name w:val="Balloon Text"/>
    <w:basedOn w:val="prastasis"/>
    <w:link w:val="DebesliotekstasDiagrama"/>
    <w:uiPriority w:val="99"/>
    <w:semiHidden/>
    <w:unhideWhenUsed/>
    <w:rsid w:val="0041393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13938"/>
    <w:rPr>
      <w:rFonts w:ascii="Tahoma" w:hAnsi="Tahoma" w:cs="Tahoma"/>
      <w:sz w:val="16"/>
      <w:szCs w:val="16"/>
    </w:rPr>
  </w:style>
  <w:style w:type="paragraph" w:styleId="Sraopastraipa">
    <w:name w:val="List Paragraph"/>
    <w:basedOn w:val="prastasis"/>
    <w:uiPriority w:val="34"/>
    <w:qFormat/>
    <w:rsid w:val="00B94001"/>
    <w:pPr>
      <w:ind w:left="720"/>
      <w:contextualSpacing/>
    </w:pPr>
  </w:style>
  <w:style w:type="paragraph" w:styleId="Komentarotema">
    <w:name w:val="annotation subject"/>
    <w:basedOn w:val="Komentarotekstas"/>
    <w:next w:val="Komentarotekstas"/>
    <w:link w:val="KomentarotemaDiagrama"/>
    <w:uiPriority w:val="99"/>
    <w:semiHidden/>
    <w:unhideWhenUsed/>
    <w:rsid w:val="006D34BB"/>
    <w:pPr>
      <w:spacing w:after="200"/>
    </w:pPr>
    <w:rPr>
      <w:rFonts w:eastAsiaTheme="minorHAnsi" w:cstheme="minorBidi"/>
      <w:b/>
      <w:bCs/>
    </w:rPr>
  </w:style>
  <w:style w:type="character" w:customStyle="1" w:styleId="KomentarotemaDiagrama">
    <w:name w:val="Komentaro tema Diagrama"/>
    <w:basedOn w:val="KomentarotekstasDiagrama"/>
    <w:link w:val="Komentarotema"/>
    <w:uiPriority w:val="99"/>
    <w:semiHidden/>
    <w:rsid w:val="006D34BB"/>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4A523-8F64-41F8-AA85-899949854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7059</Words>
  <Characters>4024</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11061</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2020-04-08T13:47:00Z</dcterms:created>
  <dc:creator>Ramunė Žuklijaitė</dc:creator>
  <cp:lastModifiedBy>Edita Petrauskaitė</cp:lastModifiedBy>
  <dcterms:modified xsi:type="dcterms:W3CDTF">2020-04-22T05:45:00Z</dcterms:modified>
  <cp:revision>4</cp:revision>
</cp:coreProperties>
</file>