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5DDD9" w14:textId="77777777" w:rsidR="0000115D" w:rsidRDefault="0000115D" w:rsidP="0000115D">
      <w:pPr>
        <w:jc w:val="center"/>
        <w:rPr>
          <w:b/>
          <w:lang w:eastAsia="lt-LT"/>
        </w:rPr>
      </w:pPr>
      <w:r w:rsidRPr="00186E8B">
        <w:rPr>
          <w:b/>
          <w:lang w:eastAsia="lt-LT"/>
        </w:rPr>
        <w:t>Valstybei svarbaus projekto (toliau – projektas) įgyvendinimo ataskaitos forma</w:t>
      </w:r>
    </w:p>
    <w:p w14:paraId="1E7CAFEA" w14:textId="77777777" w:rsidR="00B74B00" w:rsidRDefault="00B74B00" w:rsidP="005D387D">
      <w:pPr>
        <w:jc w:val="left"/>
        <w:rPr>
          <w:b/>
          <w:lang w:eastAsia="lt-LT"/>
        </w:rPr>
      </w:pPr>
    </w:p>
    <w:tbl>
      <w:tblPr>
        <w:tblStyle w:val="TableGrid"/>
        <w:tblW w:w="0" w:type="auto"/>
        <w:tblInd w:w="-289" w:type="dxa"/>
        <w:tblLook w:val="04A0" w:firstRow="1" w:lastRow="0" w:firstColumn="1" w:lastColumn="0" w:noHBand="0" w:noVBand="1"/>
      </w:tblPr>
      <w:tblGrid>
        <w:gridCol w:w="9918"/>
      </w:tblGrid>
      <w:tr w:rsidR="008C02A5" w:rsidRPr="008C02A5" w14:paraId="7F295843" w14:textId="77777777" w:rsidTr="00D16EA3">
        <w:tc>
          <w:tcPr>
            <w:tcW w:w="9918" w:type="dxa"/>
          </w:tcPr>
          <w:p w14:paraId="307574EF" w14:textId="77777777" w:rsidR="00303C87" w:rsidRPr="008C02A5" w:rsidRDefault="00303C87" w:rsidP="00C322F0">
            <w:pPr>
              <w:rPr>
                <w:b/>
              </w:rPr>
            </w:pPr>
            <w:r w:rsidRPr="008C02A5">
              <w:rPr>
                <w:b/>
              </w:rPr>
              <w:t>Projekto pavadinimas:</w:t>
            </w:r>
          </w:p>
          <w:p w14:paraId="2513AEE5" w14:textId="0DD46F81" w:rsidR="00303C87" w:rsidRPr="00F324EE" w:rsidRDefault="003A2E8B" w:rsidP="00C322F0">
            <w:pPr>
              <w:ind w:firstLine="738"/>
            </w:pPr>
            <w:r w:rsidRPr="00F324EE">
              <w:t>Aukštųjų technologijų sektoriaus įmonėms palankios mokslinių tyrimų, eksperimentinės plėtros ir inovacijų (MTEPI) infrastruktūros plėtra Visorių informacinių technologijų parke</w:t>
            </w:r>
            <w:r w:rsidR="000676F4" w:rsidRPr="00F324EE">
              <w:t>.</w:t>
            </w:r>
          </w:p>
        </w:tc>
      </w:tr>
      <w:tr w:rsidR="008C02A5" w:rsidRPr="008C02A5" w14:paraId="60BE3F05" w14:textId="77777777" w:rsidTr="00D16EA3">
        <w:tc>
          <w:tcPr>
            <w:tcW w:w="9918" w:type="dxa"/>
          </w:tcPr>
          <w:p w14:paraId="702BF0B5" w14:textId="77777777" w:rsidR="00303C87" w:rsidRPr="008C02A5" w:rsidRDefault="00303C87" w:rsidP="0099069F">
            <w:pPr>
              <w:rPr>
                <w:b/>
              </w:rPr>
            </w:pPr>
            <w:r w:rsidRPr="008C02A5">
              <w:rPr>
                <w:b/>
              </w:rPr>
              <w:t xml:space="preserve">Atsakinga ministerija: </w:t>
            </w:r>
            <w:r w:rsidR="0099069F" w:rsidRPr="00F324EE">
              <w:t>Ekonomikos ir inovacijų</w:t>
            </w:r>
            <w:r w:rsidR="00C41710" w:rsidRPr="00F324EE">
              <w:t xml:space="preserve"> ministerija</w:t>
            </w:r>
          </w:p>
        </w:tc>
      </w:tr>
      <w:tr w:rsidR="008C02A5" w:rsidRPr="008C02A5" w14:paraId="62ED99D1" w14:textId="77777777" w:rsidTr="00D16EA3">
        <w:tc>
          <w:tcPr>
            <w:tcW w:w="9918" w:type="dxa"/>
          </w:tcPr>
          <w:p w14:paraId="7D8498FA" w14:textId="77777777" w:rsidR="00303C87" w:rsidRPr="008C02A5" w:rsidRDefault="00303C87" w:rsidP="00303C87">
            <w:pPr>
              <w:rPr>
                <w:b/>
              </w:rPr>
            </w:pPr>
            <w:r w:rsidRPr="008C02A5">
              <w:rPr>
                <w:b/>
              </w:rPr>
              <w:t>Projekto vykdytojas:</w:t>
            </w:r>
            <w:r w:rsidRPr="008C02A5">
              <w:t xml:space="preserve"> </w:t>
            </w:r>
            <w:r w:rsidR="00ED1FFA" w:rsidRPr="00F324EE">
              <w:t>VšĮ Visorių informacinių technologijų parkas</w:t>
            </w:r>
          </w:p>
        </w:tc>
      </w:tr>
      <w:tr w:rsidR="008C02A5" w:rsidRPr="008C02A5" w14:paraId="5A23AD55" w14:textId="77777777" w:rsidTr="00117809">
        <w:trPr>
          <w:trHeight w:val="1343"/>
        </w:trPr>
        <w:tc>
          <w:tcPr>
            <w:tcW w:w="9918" w:type="dxa"/>
          </w:tcPr>
          <w:p w14:paraId="5032CF73" w14:textId="77777777" w:rsidR="00303C87" w:rsidRPr="008C02A5" w:rsidRDefault="00303C87" w:rsidP="00C322F0">
            <w:pPr>
              <w:rPr>
                <w:b/>
              </w:rPr>
            </w:pPr>
            <w:r w:rsidRPr="008C02A5">
              <w:rPr>
                <w:b/>
              </w:rPr>
              <w:t>Projekto tikslas:</w:t>
            </w:r>
          </w:p>
          <w:p w14:paraId="484D5787" w14:textId="77777777" w:rsidR="00303C87" w:rsidRPr="00F324EE" w:rsidRDefault="00117809" w:rsidP="00117809">
            <w:pPr>
              <w:ind w:firstLine="738"/>
            </w:pPr>
            <w:r w:rsidRPr="00F324EE">
              <w:t>Didinti aukštųjų technologijų sektorių konkurencingumą, jų sukuriamų produktų dalį, palyginti su Lietuvos Respublikos bendruoju vidaus produktu, ir plėtoti šių sektorių produktų eksportą bei sukurti mokslinių tyrimų, eksperimentinės plėtros ir inovacijų (toliau – MTEPI) infrastruktūrą verslo plėtrai Visorių informacinių technologijų parke.</w:t>
            </w:r>
            <w:r w:rsidR="00E11AD0" w:rsidRPr="00F324EE">
              <w:t xml:space="preserve"> </w:t>
            </w:r>
          </w:p>
        </w:tc>
      </w:tr>
      <w:tr w:rsidR="008C02A5" w:rsidRPr="008C02A5" w14:paraId="79CAC3BF" w14:textId="77777777" w:rsidTr="00D16EA3">
        <w:tc>
          <w:tcPr>
            <w:tcW w:w="9918" w:type="dxa"/>
          </w:tcPr>
          <w:p w14:paraId="25BD872C" w14:textId="77777777" w:rsidR="009118FE" w:rsidRPr="008C02A5" w:rsidRDefault="00303C87" w:rsidP="00F41C8B">
            <w:pPr>
              <w:pStyle w:val="Default"/>
              <w:ind w:firstLine="880"/>
              <w:rPr>
                <w:color w:val="auto"/>
              </w:rPr>
            </w:pPr>
            <w:r w:rsidRPr="008C02A5">
              <w:rPr>
                <w:b/>
                <w:color w:val="auto"/>
              </w:rPr>
              <w:t xml:space="preserve">Projekto įgyvendinimo terminai, </w:t>
            </w:r>
            <w:r w:rsidRPr="008C02A5">
              <w:rPr>
                <w:color w:val="auto"/>
              </w:rPr>
              <w:t>planiniai / faktiniai</w:t>
            </w:r>
            <w:r w:rsidRPr="008C02A5">
              <w:rPr>
                <w:b/>
                <w:color w:val="auto"/>
              </w:rPr>
              <w:t xml:space="preserve"> </w:t>
            </w:r>
            <w:r w:rsidRPr="008C02A5">
              <w:rPr>
                <w:color w:val="auto"/>
              </w:rPr>
              <w:t>(galutinis ir, jeigu yra, etapų – nustatyti Vyriausybės nutarime dėl projekto pripažinimo valstybei svarbiu ir (ar) projekto sutartyje):</w:t>
            </w:r>
            <w:r w:rsidR="009118FE" w:rsidRPr="008C02A5">
              <w:rPr>
                <w:color w:val="auto"/>
              </w:rPr>
              <w:t xml:space="preserve"> </w:t>
            </w:r>
          </w:p>
          <w:p w14:paraId="72F76F09" w14:textId="77777777" w:rsidR="00831961" w:rsidRPr="00831961" w:rsidRDefault="00831961" w:rsidP="00831961">
            <w:pPr>
              <w:ind w:firstLine="738"/>
              <w:rPr>
                <w:i/>
              </w:rPr>
            </w:pPr>
            <w:r w:rsidRPr="00831961">
              <w:rPr>
                <w:i/>
              </w:rPr>
              <w:t>2009 m. rugsėjo 9 d. Vyriausybė atsižvelgdama į Integruoto mokslo, studijų ir verslo centro (slėnio) „Santara“ plėtros programą nutarimu Nr. 1038 Santaros slėniui suteikė valstybei svarbaus ekonominio projekto (toliau – VSP) statusą, o 2018 m. spalio 17 d. tą statusą pratęsė atnaujinant nutarimą pagal 2017 m. birželio 21 d. Vyriausybės nutarimu Nr.500 patvirtintą projektų pripažinimo VSP tvarkos aprašą, papildant jį projekto tikslu, objektu, įgyvendinimo terminu, finansavimo šaltiniais, esminiais projektų vykdytojo įsipareigojimais ir pakeičiant projekto pavadinimą.</w:t>
            </w:r>
          </w:p>
          <w:p w14:paraId="196B941F" w14:textId="77777777" w:rsidR="009118FE" w:rsidRPr="008C02A5" w:rsidRDefault="009118FE" w:rsidP="00F41C8B">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VšĮ „Visorių informacinių technologijų parkas“ (toliau VITP) kartu su įmonėmis ir Vilniaus Universitetu I plėtros etape įgyvendino šiuos projektus:  </w:t>
            </w:r>
          </w:p>
          <w:p w14:paraId="4F1E39CF" w14:textId="77777777" w:rsidR="009118FE" w:rsidRPr="008C02A5" w:rsidRDefault="009118FE" w:rsidP="00F7169D">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1) Įrengti informacinių ir komunikacijų technologijų ir biotechnologijų, </w:t>
            </w:r>
            <w:proofErr w:type="spellStart"/>
            <w:r w:rsidRPr="008C02A5">
              <w:rPr>
                <w:rFonts w:eastAsia="Times New Roman"/>
                <w:i/>
                <w:color w:val="auto"/>
                <w:szCs w:val="20"/>
                <w:lang w:eastAsia="en-US"/>
              </w:rPr>
              <w:t>inovatyvių</w:t>
            </w:r>
            <w:proofErr w:type="spellEnd"/>
            <w:r w:rsidRPr="008C02A5">
              <w:rPr>
                <w:rFonts w:eastAsia="Times New Roman"/>
                <w:i/>
                <w:color w:val="auto"/>
                <w:szCs w:val="20"/>
                <w:lang w:eastAsia="en-US"/>
              </w:rPr>
              <w:t xml:space="preserve"> medicinos technologijų parkų ir įmonių „plyno lauko“ investicijų teritorijos inžinerinius tinklus ir susisiekimo komunikacijas: 2011-2014 m. VITP įgyvendino ES SF ir nacionalinio biudžeto dalinai finansuojamą projektą „IKT IR BIO TECHNOLOGIJŲ PARKŲ IR ĮMONIŲ „PLYNO LAUKO“ INVESTICIJŲ TERITORIJOS INŽINERINIŲ TINKLŲ IR SUSISIEKIMO KOMUNIKACIJŲ ĮRENGIMAS BEI IKT VERSLO INKUBATORIAUS IR TECHNOLOGIJŲ CENTRO STATYBA IR ĮRENGIMAS“ (PROJEKTO KODAS NR. VP2-1.4-ŪM-04-V-01-007). Projekto metu parko panaudos teise valdomas sklypas buvo paruoštas privačioms technologinių įmonių investicijoms ir pastatytas parko pastatas.</w:t>
            </w:r>
            <w:r w:rsidR="00F7169D" w:rsidRPr="008C02A5">
              <w:rPr>
                <w:rFonts w:eastAsia="Times New Roman"/>
                <w:i/>
                <w:color w:val="auto"/>
                <w:szCs w:val="20"/>
                <w:lang w:eastAsia="en-US"/>
              </w:rPr>
              <w:t xml:space="preserve"> </w:t>
            </w:r>
            <w:r w:rsidRPr="008C02A5">
              <w:rPr>
                <w:rFonts w:eastAsia="Times New Roman"/>
                <w:i/>
                <w:color w:val="auto"/>
                <w:szCs w:val="20"/>
                <w:lang w:eastAsia="en-US"/>
              </w:rPr>
              <w:t>Taip pat šiuo 2011-2014 m. periodu „BOD Group“, „</w:t>
            </w:r>
            <w:proofErr w:type="spellStart"/>
            <w:r w:rsidRPr="008C02A5">
              <w:rPr>
                <w:rFonts w:eastAsia="Times New Roman"/>
                <w:i/>
                <w:color w:val="auto"/>
                <w:szCs w:val="20"/>
                <w:lang w:eastAsia="en-US"/>
              </w:rPr>
              <w:t>Biotechpharma</w:t>
            </w:r>
            <w:proofErr w:type="spellEnd"/>
            <w:r w:rsidRPr="008C02A5">
              <w:rPr>
                <w:rFonts w:eastAsia="Times New Roman"/>
                <w:i/>
                <w:color w:val="auto"/>
                <w:szCs w:val="20"/>
                <w:lang w:eastAsia="en-US"/>
              </w:rPr>
              <w:t>“, „</w:t>
            </w:r>
            <w:proofErr w:type="spellStart"/>
            <w:r w:rsidRPr="008C02A5">
              <w:rPr>
                <w:rFonts w:eastAsia="Times New Roman"/>
                <w:i/>
                <w:color w:val="auto"/>
                <w:szCs w:val="20"/>
                <w:lang w:eastAsia="en-US"/>
              </w:rPr>
              <w:t>Viltechmeda</w:t>
            </w:r>
            <w:proofErr w:type="spellEnd"/>
            <w:r w:rsidRPr="008C02A5">
              <w:rPr>
                <w:rFonts w:eastAsia="Times New Roman"/>
                <w:i/>
                <w:color w:val="auto"/>
                <w:szCs w:val="20"/>
                <w:lang w:eastAsia="en-US"/>
              </w:rPr>
              <w:t xml:space="preserve">“ (MOOG) ir kitos įmonės Visoriuose investavo daugiau nei 45 mln. EUR. </w:t>
            </w:r>
          </w:p>
          <w:p w14:paraId="559C9E27" w14:textId="6F7E9849"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2) Pastatyti ir įrengti informacinių ir komunikacijų technologijų verslo inkubatorių ir technologijų centrą: VšĮ „Visorių informacinių technologijų parkas“ (VITP) pastatė, įrengė ir nuo 2013 m. valdo 7300 kv.</w:t>
            </w:r>
            <w:r w:rsidR="00F324EE">
              <w:rPr>
                <w:rFonts w:eastAsia="Times New Roman"/>
                <w:i/>
                <w:color w:val="auto"/>
                <w:szCs w:val="20"/>
                <w:lang w:eastAsia="en-US"/>
              </w:rPr>
              <w:t xml:space="preserve"> </w:t>
            </w:r>
            <w:r w:rsidRPr="008C02A5">
              <w:rPr>
                <w:rFonts w:eastAsia="Times New Roman"/>
                <w:i/>
                <w:color w:val="auto"/>
                <w:szCs w:val="20"/>
                <w:lang w:eastAsia="en-US"/>
              </w:rPr>
              <w:t xml:space="preserve">m. technologijų centro ir verslo inkubatoriaus pastatą (Mokslininkų g. 2A, Vilnius). </w:t>
            </w:r>
          </w:p>
          <w:p w14:paraId="746C23D8" w14:textId="77777777"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2017 metų pradžioje Visorių IT parke ir Visorių aukštųjų technologijų branduolyje Santaros slėnyje veikė daugiau negu 40 įmonių.</w:t>
            </w:r>
            <w:r w:rsidR="00465D4B" w:rsidRPr="008C02A5">
              <w:rPr>
                <w:rFonts w:eastAsia="Times New Roman"/>
                <w:i/>
                <w:color w:val="auto"/>
                <w:szCs w:val="20"/>
                <w:lang w:eastAsia="en-US"/>
              </w:rPr>
              <w:t xml:space="preserve"> </w:t>
            </w:r>
            <w:r w:rsidRPr="008C02A5">
              <w:rPr>
                <w:rFonts w:eastAsia="Times New Roman"/>
                <w:i/>
                <w:color w:val="auto"/>
                <w:szCs w:val="20"/>
                <w:lang w:eastAsia="en-US"/>
              </w:rPr>
              <w:t>50 % iš jų – jaunos ir sparčiai augančios. Darbo vietų skaičius viršijo 1100, 70 % produkcijos yra eksportuojama. 2016 metais įmonės sukūrė 160 naujas aukštos kvalifikacijos darbo vietas, pritraukė apie 1 mln. EUR naujų investicijų, išleido į rinką virš 40 naujų produktų ir įgyvendino daugiau kaip 45 eksperimentinės plėtros ir inovacijų (MTEPI) projektus.</w:t>
            </w:r>
          </w:p>
          <w:p w14:paraId="73A801F6" w14:textId="77777777" w:rsidR="009118FE" w:rsidRPr="008C02A5" w:rsidRDefault="009118FE" w:rsidP="00465D4B">
            <w:pPr>
              <w:pStyle w:val="Default"/>
              <w:ind w:firstLine="880"/>
              <w:jc w:val="both"/>
              <w:rPr>
                <w:rFonts w:eastAsia="Times New Roman"/>
                <w:i/>
                <w:color w:val="auto"/>
                <w:szCs w:val="20"/>
                <w:lang w:eastAsia="en-US"/>
              </w:rPr>
            </w:pPr>
            <w:r w:rsidRPr="008C02A5">
              <w:rPr>
                <w:rFonts w:eastAsia="Times New Roman"/>
                <w:i/>
                <w:color w:val="auto"/>
                <w:szCs w:val="20"/>
                <w:lang w:eastAsia="en-US"/>
              </w:rPr>
              <w:t xml:space="preserve">3) Pastatyti ir įrengti informacinių ir komunikacijų technologijų klasterio mokslinių tyrimų, eksperimentinės plėtros ir mokymo centrą (su duomenų centru): sukurto IT atviros prieigos centro teikiamos paslaugos “Santaros” slėnio partneriams bei resursų suteikimas tarptautinių projektų vykdymui prisidėjo prie Lietuvos prioritetinių projektų įgyvendinimo, tačiau šuo metu centrui yra reikalingas </w:t>
            </w:r>
            <w:proofErr w:type="spellStart"/>
            <w:r w:rsidRPr="008C02A5">
              <w:rPr>
                <w:rFonts w:eastAsia="Times New Roman"/>
                <w:i/>
                <w:color w:val="auto"/>
                <w:szCs w:val="20"/>
                <w:lang w:eastAsia="en-US"/>
              </w:rPr>
              <w:t>atsinaujimas</w:t>
            </w:r>
            <w:proofErr w:type="spellEnd"/>
            <w:r w:rsidRPr="008C02A5">
              <w:rPr>
                <w:rFonts w:eastAsia="Times New Roman"/>
                <w:i/>
                <w:color w:val="auto"/>
                <w:szCs w:val="20"/>
                <w:lang w:eastAsia="en-US"/>
              </w:rPr>
              <w:t>, kadangi Vilniaus universitetas planuoja naujo Matematikos ir informatikos fakulteto statybas 2019-2022 metais.</w:t>
            </w:r>
          </w:p>
          <w:p w14:paraId="0F603B2C" w14:textId="194AA772" w:rsidR="00303C87" w:rsidRPr="008C02A5" w:rsidRDefault="009118FE" w:rsidP="00301E99">
            <w:pPr>
              <w:pStyle w:val="Default"/>
              <w:ind w:firstLine="880"/>
              <w:jc w:val="both"/>
              <w:rPr>
                <w:i/>
                <w:color w:val="auto"/>
              </w:rPr>
            </w:pPr>
            <w:r w:rsidRPr="008C02A5">
              <w:rPr>
                <w:rFonts w:eastAsia="Times New Roman"/>
                <w:i/>
                <w:color w:val="auto"/>
                <w:szCs w:val="20"/>
                <w:lang w:eastAsia="en-US"/>
              </w:rPr>
              <w:t>2018 – 202</w:t>
            </w:r>
            <w:r w:rsidR="00831961">
              <w:rPr>
                <w:rFonts w:eastAsia="Times New Roman"/>
                <w:i/>
                <w:color w:val="auto"/>
                <w:szCs w:val="20"/>
                <w:lang w:eastAsia="en-US"/>
              </w:rPr>
              <w:t>5</w:t>
            </w:r>
            <w:r w:rsidRPr="008C02A5">
              <w:rPr>
                <w:rFonts w:eastAsia="Times New Roman"/>
                <w:i/>
                <w:color w:val="auto"/>
                <w:szCs w:val="20"/>
                <w:lang w:eastAsia="en-US"/>
              </w:rPr>
              <w:t xml:space="preserve"> m. planuojama įgyvendinti naujas investicijas, t.</w:t>
            </w:r>
            <w:r w:rsidR="004D0318">
              <w:rPr>
                <w:rFonts w:eastAsia="Times New Roman"/>
                <w:i/>
                <w:color w:val="auto"/>
                <w:szCs w:val="20"/>
                <w:lang w:eastAsia="en-US"/>
              </w:rPr>
              <w:t xml:space="preserve"> </w:t>
            </w:r>
            <w:r w:rsidRPr="008C02A5">
              <w:rPr>
                <w:rFonts w:eastAsia="Times New Roman"/>
                <w:i/>
                <w:color w:val="auto"/>
                <w:szCs w:val="20"/>
                <w:lang w:eastAsia="en-US"/>
              </w:rPr>
              <w:t xml:space="preserve">y. antras plėtros etapas, kurio metu bus pastatyta ir įrengta apie </w:t>
            </w:r>
            <w:r w:rsidR="00301E99">
              <w:rPr>
                <w:rFonts w:eastAsia="Times New Roman"/>
                <w:i/>
                <w:color w:val="auto"/>
                <w:szCs w:val="20"/>
                <w:lang w:eastAsia="en-US"/>
              </w:rPr>
              <w:t>17</w:t>
            </w:r>
            <w:r w:rsidRPr="008C02A5">
              <w:rPr>
                <w:rFonts w:eastAsia="Times New Roman"/>
                <w:i/>
                <w:color w:val="auto"/>
                <w:szCs w:val="20"/>
                <w:lang w:eastAsia="en-US"/>
              </w:rPr>
              <w:t>.000 kv.</w:t>
            </w:r>
            <w:r w:rsidR="004D0318">
              <w:rPr>
                <w:rFonts w:eastAsia="Times New Roman"/>
                <w:i/>
                <w:color w:val="auto"/>
                <w:szCs w:val="20"/>
                <w:lang w:eastAsia="en-US"/>
              </w:rPr>
              <w:t xml:space="preserve"> </w:t>
            </w:r>
            <w:r w:rsidRPr="008C02A5">
              <w:rPr>
                <w:rFonts w:eastAsia="Times New Roman"/>
                <w:i/>
                <w:color w:val="auto"/>
                <w:szCs w:val="20"/>
                <w:lang w:eastAsia="en-US"/>
              </w:rPr>
              <w:t xml:space="preserve">m. moksliniams tyrimams, eksperimentinei plėtrai ir inovacijoms (toliau – MTEPI) skirta infrastruktūra </w:t>
            </w:r>
            <w:r w:rsidR="00301E99">
              <w:rPr>
                <w:rFonts w:eastAsia="Times New Roman"/>
                <w:i/>
                <w:color w:val="auto"/>
                <w:szCs w:val="20"/>
                <w:lang w:eastAsia="en-US"/>
              </w:rPr>
              <w:t xml:space="preserve">reikalinga laboratorijoms, </w:t>
            </w:r>
            <w:proofErr w:type="spellStart"/>
            <w:r w:rsidR="00301E99">
              <w:rPr>
                <w:rFonts w:eastAsia="Times New Roman"/>
                <w:i/>
                <w:color w:val="auto"/>
                <w:szCs w:val="20"/>
                <w:lang w:eastAsia="en-US"/>
              </w:rPr>
              <w:t>prototipavimui</w:t>
            </w:r>
            <w:proofErr w:type="spellEnd"/>
            <w:r w:rsidR="00301E99">
              <w:rPr>
                <w:rFonts w:eastAsia="Times New Roman"/>
                <w:i/>
                <w:color w:val="auto"/>
                <w:szCs w:val="20"/>
                <w:lang w:eastAsia="en-US"/>
              </w:rPr>
              <w:t>, padidintų reikalavimų švarioms ir kitos paskirties patalpoms įrengti</w:t>
            </w:r>
            <w:r w:rsidRPr="008C02A5">
              <w:rPr>
                <w:rFonts w:eastAsia="Times New Roman"/>
                <w:i/>
                <w:color w:val="auto"/>
                <w:szCs w:val="20"/>
                <w:lang w:eastAsia="en-US"/>
              </w:rPr>
              <w:t>.</w:t>
            </w:r>
          </w:p>
        </w:tc>
      </w:tr>
      <w:tr w:rsidR="008C02A5" w:rsidRPr="008C02A5" w14:paraId="4C140884" w14:textId="77777777" w:rsidTr="00D16EA3">
        <w:tc>
          <w:tcPr>
            <w:tcW w:w="9918" w:type="dxa"/>
          </w:tcPr>
          <w:p w14:paraId="72C48280" w14:textId="77777777" w:rsidR="00303C87" w:rsidRPr="008C02A5" w:rsidRDefault="00303C87" w:rsidP="00C322F0">
            <w:r w:rsidRPr="008C02A5">
              <w:rPr>
                <w:b/>
              </w:rPr>
              <w:lastRenderedPageBreak/>
              <w:t xml:space="preserve">Projekto įgyvendinimo rezultatai ir jų rodikliai, </w:t>
            </w:r>
            <w:r w:rsidRPr="008C02A5">
              <w:t>planiniai / faktiniai (galutiniai ir, jeigu yra, etapų – nustatyti Vyriausybės nutarime dėl projekto pripažinimo valstybei svarbiu ir (ar) projekto sutartyje):</w:t>
            </w:r>
          </w:p>
          <w:p w14:paraId="77CF5C1C" w14:textId="77777777" w:rsidR="00303C87" w:rsidRPr="003C497B" w:rsidRDefault="00ED60BA" w:rsidP="008420D2">
            <w:pPr>
              <w:pStyle w:val="ListParagraph"/>
              <w:numPr>
                <w:ilvl w:val="0"/>
                <w:numId w:val="9"/>
              </w:numPr>
              <w:ind w:left="38" w:firstLine="567"/>
              <w:rPr>
                <w:i/>
              </w:rPr>
            </w:pPr>
            <w:r w:rsidRPr="003C497B">
              <w:rPr>
                <w:bCs/>
                <w:i/>
                <w:color w:val="000000"/>
                <w:szCs w:val="24"/>
                <w:lang w:eastAsia="lt-LT"/>
              </w:rPr>
              <w:t xml:space="preserve">Užtikrinti, kad </w:t>
            </w:r>
            <w:r w:rsidR="008420D2" w:rsidRPr="003C497B">
              <w:rPr>
                <w:bCs/>
                <w:i/>
                <w:color w:val="000000"/>
                <w:szCs w:val="24"/>
                <w:lang w:eastAsia="lt-LT"/>
              </w:rPr>
              <w:t>4,4225</w:t>
            </w:r>
            <w:r w:rsidR="008420D2" w:rsidRPr="003C497B">
              <w:rPr>
                <w:i/>
                <w:color w:val="000000"/>
                <w:szCs w:val="24"/>
                <w:lang w:eastAsia="lt-LT"/>
              </w:rPr>
              <w:t xml:space="preserve"> ha ploto teritorijoje, esančioje Vilniaus mieste, tarp Geležinio Vilko g. ir Mokslininkų g., kurios žemės sklypų unikalūs numeriai yra Nr. </w:t>
            </w:r>
            <w:r w:rsidR="008420D2" w:rsidRPr="003C497B">
              <w:rPr>
                <w:bCs/>
                <w:i/>
                <w:color w:val="000000"/>
                <w:szCs w:val="24"/>
                <w:lang w:eastAsia="lt-LT"/>
              </w:rPr>
              <w:t xml:space="preserve">0101/0008:1174, (plotas 0,7867 </w:t>
            </w:r>
            <w:r w:rsidR="008420D2" w:rsidRPr="003C497B">
              <w:rPr>
                <w:i/>
                <w:noProof/>
              </w:rPr>
              <w:t>ha)</w:t>
            </w:r>
            <w:r w:rsidR="008420D2" w:rsidRPr="003C497B">
              <w:rPr>
                <w:i/>
                <w:color w:val="000000"/>
                <w:szCs w:val="24"/>
                <w:lang w:eastAsia="lt-LT"/>
              </w:rPr>
              <w:t xml:space="preserve"> ir Nr. </w:t>
            </w:r>
            <w:r w:rsidR="008420D2" w:rsidRPr="003C497B">
              <w:rPr>
                <w:bCs/>
                <w:i/>
                <w:color w:val="000000"/>
                <w:szCs w:val="24"/>
                <w:lang w:eastAsia="lt-LT"/>
              </w:rPr>
              <w:t xml:space="preserve">0101/0008:1175 (plotas </w:t>
            </w:r>
            <w:r w:rsidR="008420D2" w:rsidRPr="003C497B">
              <w:rPr>
                <w:i/>
                <w:noProof/>
              </w:rPr>
              <w:t xml:space="preserve">3,6358 </w:t>
            </w:r>
            <w:r w:rsidR="008420D2" w:rsidRPr="003C497B">
              <w:rPr>
                <w:bCs/>
                <w:i/>
                <w:color w:val="000000"/>
                <w:szCs w:val="24"/>
                <w:lang w:eastAsia="lt-LT"/>
              </w:rPr>
              <w:t>ha)</w:t>
            </w:r>
            <w:r w:rsidR="008420D2" w:rsidRPr="003C497B">
              <w:rPr>
                <w:i/>
                <w:color w:val="000000"/>
                <w:szCs w:val="24"/>
                <w:lang w:eastAsia="lt-LT"/>
              </w:rPr>
              <w:t xml:space="preserve">, aukštųjų technologijų sektoriaus įmonėms būtų pastatyta ne mažiau kaip 3 MTEPI centrai, t. y. </w:t>
            </w:r>
            <w:r w:rsidR="008420D2" w:rsidRPr="003C497B">
              <w:rPr>
                <w:i/>
              </w:rPr>
              <w:t xml:space="preserve">MTEPI veiklai pritaikyti pastatai bei įrengta infrastruktūra, reikalinga </w:t>
            </w:r>
            <w:r w:rsidR="008420D2" w:rsidRPr="003C497B">
              <w:rPr>
                <w:bCs/>
                <w:i/>
              </w:rPr>
              <w:t xml:space="preserve">laboratorijoms, </w:t>
            </w:r>
            <w:proofErr w:type="spellStart"/>
            <w:r w:rsidR="008420D2" w:rsidRPr="003C497B">
              <w:rPr>
                <w:bCs/>
                <w:i/>
              </w:rPr>
              <w:t>prototipavimui</w:t>
            </w:r>
            <w:proofErr w:type="spellEnd"/>
            <w:r w:rsidR="008420D2" w:rsidRPr="003C497B">
              <w:rPr>
                <w:bCs/>
                <w:i/>
              </w:rPr>
              <w:t xml:space="preserve">, padidintų reikalavimų švarioms ir kitos paskirties patalpoms įrengti </w:t>
            </w:r>
            <w:r w:rsidR="008420D2" w:rsidRPr="003C497B">
              <w:rPr>
                <w:i/>
                <w:color w:val="000000"/>
                <w:szCs w:val="24"/>
                <w:lang w:eastAsia="lt-LT"/>
              </w:rPr>
              <w:t xml:space="preserve">(pastatų bendras </w:t>
            </w:r>
            <w:r w:rsidR="008420D2" w:rsidRPr="003C497B">
              <w:rPr>
                <w:i/>
                <w:szCs w:val="24"/>
              </w:rPr>
              <w:t>plotas ne mažiau kaip 17 000 m</w:t>
            </w:r>
            <w:r w:rsidR="008420D2" w:rsidRPr="003C497B">
              <w:rPr>
                <w:i/>
                <w:szCs w:val="24"/>
                <w:vertAlign w:val="superscript"/>
              </w:rPr>
              <w:t>2</w:t>
            </w:r>
            <w:r w:rsidR="008420D2" w:rsidRPr="003C497B">
              <w:rPr>
                <w:i/>
                <w:szCs w:val="24"/>
              </w:rPr>
              <w:t>).</w:t>
            </w:r>
          </w:p>
          <w:p w14:paraId="677D771E" w14:textId="77777777" w:rsidR="008420D2" w:rsidRPr="003C497B" w:rsidRDefault="00ED60BA" w:rsidP="008420D2">
            <w:pPr>
              <w:pStyle w:val="ListParagraph"/>
              <w:numPr>
                <w:ilvl w:val="0"/>
                <w:numId w:val="9"/>
              </w:numPr>
              <w:ind w:left="38" w:firstLine="567"/>
              <w:rPr>
                <w:i/>
              </w:rPr>
            </w:pPr>
            <w:r w:rsidRPr="003C497B">
              <w:rPr>
                <w:i/>
                <w:color w:val="000000"/>
                <w:szCs w:val="24"/>
                <w:lang w:eastAsia="lt-LT"/>
              </w:rPr>
              <w:t>Pasiekti, kad projekto investicijų vertė būtų ne mažiau kaip 32 mln. (trisdešimt du milijonai) eurų, iš kurių ne mažiau kaip 23 mln. (dvidešimt trys milijonai) eurų būtų privačios investicijos, taip pat, kad būtų sukurta ne mažiau kaip 700 darbo vietų, pritraukta ne mažiau kaip 10 įmonių (ne mažiau 3 investuotojai ir ne mažiau 7 MTEP</w:t>
            </w:r>
            <w:r w:rsidR="003C497B" w:rsidRPr="003C497B">
              <w:rPr>
                <w:i/>
                <w:color w:val="000000"/>
                <w:szCs w:val="24"/>
                <w:lang w:eastAsia="lt-LT"/>
              </w:rPr>
              <w:t>I centruose veikiančios įmonės).</w:t>
            </w:r>
          </w:p>
          <w:p w14:paraId="25713621" w14:textId="6F645DC1" w:rsidR="003C497B" w:rsidRPr="003C497B" w:rsidRDefault="003C497B" w:rsidP="008420D2">
            <w:pPr>
              <w:pStyle w:val="ListParagraph"/>
              <w:numPr>
                <w:ilvl w:val="0"/>
                <w:numId w:val="9"/>
              </w:numPr>
              <w:ind w:left="38" w:firstLine="567"/>
              <w:rPr>
                <w:i/>
              </w:rPr>
            </w:pPr>
            <w:r>
              <w:rPr>
                <w:i/>
              </w:rPr>
              <w:t>S</w:t>
            </w:r>
            <w:r w:rsidRPr="003C497B">
              <w:rPr>
                <w:i/>
              </w:rPr>
              <w:t>ukurti ne mažiau kaip 700 darbo vietų.</w:t>
            </w:r>
          </w:p>
          <w:p w14:paraId="690DA8DD" w14:textId="5DAA4DDE" w:rsidR="003C497B" w:rsidRPr="008C02A5" w:rsidRDefault="003C497B" w:rsidP="008420D2">
            <w:pPr>
              <w:pStyle w:val="ListParagraph"/>
              <w:numPr>
                <w:ilvl w:val="0"/>
                <w:numId w:val="9"/>
              </w:numPr>
              <w:ind w:left="38" w:firstLine="567"/>
            </w:pPr>
            <w:r>
              <w:rPr>
                <w:i/>
              </w:rPr>
              <w:t>P</w:t>
            </w:r>
            <w:r w:rsidRPr="003C497B">
              <w:rPr>
                <w:i/>
              </w:rPr>
              <w:t>ritraukti ne mažiau kaip 10 įmonių (ne mažiau kaip 3 investuotojai ir ne mažiau kaip 7 MTEPI centruose veikiančios įmonės).</w:t>
            </w:r>
          </w:p>
        </w:tc>
      </w:tr>
      <w:tr w:rsidR="008C02A5" w:rsidRPr="008C02A5" w14:paraId="43138227" w14:textId="77777777" w:rsidTr="00D16EA3">
        <w:tc>
          <w:tcPr>
            <w:tcW w:w="9918" w:type="dxa"/>
          </w:tcPr>
          <w:p w14:paraId="37978ED0" w14:textId="77777777" w:rsidR="00303C87" w:rsidRPr="008C02A5" w:rsidRDefault="00303C87" w:rsidP="00C322F0">
            <w:pPr>
              <w:rPr>
                <w:b/>
              </w:rPr>
            </w:pPr>
            <w:r w:rsidRPr="008C02A5">
              <w:rPr>
                <w:b/>
              </w:rPr>
              <w:t xml:space="preserve">Projekto investicijų vertė, </w:t>
            </w:r>
            <w:r w:rsidRPr="008C02A5">
              <w:t>planinė / faktinė</w:t>
            </w:r>
            <w:r w:rsidRPr="008C02A5">
              <w:rPr>
                <w:b/>
              </w:rPr>
              <w:t>:</w:t>
            </w:r>
            <w:r w:rsidR="009118FE" w:rsidRPr="008C02A5">
              <w:rPr>
                <w:b/>
              </w:rPr>
              <w:t xml:space="preserve"> </w:t>
            </w:r>
          </w:p>
          <w:p w14:paraId="4C4E99C1" w14:textId="18EFC383" w:rsidR="009118FE" w:rsidRPr="008C02A5" w:rsidRDefault="009118FE" w:rsidP="00F7169D">
            <w:pPr>
              <w:ind w:firstLine="738"/>
              <w:rPr>
                <w:i/>
              </w:rPr>
            </w:pPr>
            <w:r w:rsidRPr="008C02A5">
              <w:rPr>
                <w:i/>
              </w:rPr>
              <w:t xml:space="preserve">I plėtros etapo: </w:t>
            </w:r>
            <w:r w:rsidR="00C73D47" w:rsidRPr="008C02A5">
              <w:rPr>
                <w:i/>
              </w:rPr>
              <w:t>52 mln. E</w:t>
            </w:r>
            <w:r w:rsidR="003C497B">
              <w:rPr>
                <w:i/>
              </w:rPr>
              <w:t>UR</w:t>
            </w:r>
            <w:r w:rsidR="00C73D47" w:rsidRPr="008C02A5">
              <w:rPr>
                <w:i/>
              </w:rPr>
              <w:t xml:space="preserve"> (skaičiuojant kartu su įmonių investicijomis)</w:t>
            </w:r>
          </w:p>
          <w:p w14:paraId="7E6D52EE" w14:textId="45CA07A1" w:rsidR="00303C87" w:rsidRPr="008C02A5" w:rsidRDefault="009118FE" w:rsidP="003C497B">
            <w:pPr>
              <w:ind w:firstLine="738"/>
            </w:pPr>
            <w:r w:rsidRPr="008C02A5">
              <w:rPr>
                <w:i/>
              </w:rPr>
              <w:t>II plėtros etapo (2018 – 202</w:t>
            </w:r>
            <w:r w:rsidR="00831961">
              <w:rPr>
                <w:i/>
              </w:rPr>
              <w:t>5</w:t>
            </w:r>
            <w:r w:rsidRPr="008C02A5">
              <w:rPr>
                <w:i/>
              </w:rPr>
              <w:t xml:space="preserve">): </w:t>
            </w:r>
            <w:r w:rsidR="00831961">
              <w:rPr>
                <w:i/>
              </w:rPr>
              <w:t>32</w:t>
            </w:r>
            <w:r w:rsidRPr="008C02A5">
              <w:rPr>
                <w:i/>
              </w:rPr>
              <w:t xml:space="preserve"> mln. E</w:t>
            </w:r>
            <w:r w:rsidR="003C497B">
              <w:rPr>
                <w:i/>
              </w:rPr>
              <w:t>UR</w:t>
            </w:r>
            <w:r w:rsidRPr="008C02A5">
              <w:rPr>
                <w:i/>
              </w:rPr>
              <w:t xml:space="preserve"> (skaičiuojant kartu su </w:t>
            </w:r>
            <w:r w:rsidR="00C73D47" w:rsidRPr="008C02A5">
              <w:rPr>
                <w:i/>
              </w:rPr>
              <w:t>VU investicijomis)</w:t>
            </w:r>
          </w:p>
        </w:tc>
      </w:tr>
      <w:tr w:rsidR="008C02A5" w:rsidRPr="008C02A5" w14:paraId="1931D3F3" w14:textId="77777777" w:rsidTr="00D16EA3">
        <w:tc>
          <w:tcPr>
            <w:tcW w:w="9918" w:type="dxa"/>
          </w:tcPr>
          <w:p w14:paraId="5E74D839" w14:textId="77777777" w:rsidR="00303C87" w:rsidRPr="008C02A5" w:rsidRDefault="00303C87" w:rsidP="00C322F0">
            <w:r w:rsidRPr="008C02A5">
              <w:rPr>
                <w:b/>
              </w:rPr>
              <w:t xml:space="preserve">Projekto įgyvendinimo priemonės, </w:t>
            </w:r>
            <w:r w:rsidRPr="008C02A5">
              <w:t>planinės / faktinės</w:t>
            </w:r>
            <w:r w:rsidRPr="008C02A5">
              <w:rPr>
                <w:b/>
              </w:rPr>
              <w:t xml:space="preserve"> </w:t>
            </w:r>
            <w:r w:rsidRPr="008C02A5">
              <w:t>(kurias projekto vykdytojas sutartimi su ministerija įsipareigojo nustatytu laiku ir apimtimi įvykdyti įgyvendindamas projektą):</w:t>
            </w:r>
          </w:p>
          <w:p w14:paraId="4397FC8A" w14:textId="77777777" w:rsidR="00303C87" w:rsidRDefault="00C73D47" w:rsidP="00F7169D">
            <w:pPr>
              <w:ind w:firstLine="738"/>
              <w:rPr>
                <w:i/>
              </w:rPr>
            </w:pPr>
            <w:r w:rsidRPr="008C02A5">
              <w:rPr>
                <w:i/>
              </w:rPr>
              <w:t xml:space="preserve">2011-2014 m. VITP </w:t>
            </w:r>
            <w:r w:rsidR="00CA69F5" w:rsidRPr="008C02A5">
              <w:rPr>
                <w:i/>
              </w:rPr>
              <w:t xml:space="preserve">nustatytu laiku ir apimtimi </w:t>
            </w:r>
            <w:r w:rsidRPr="008C02A5">
              <w:rPr>
                <w:i/>
              </w:rPr>
              <w:t>įgyvendino ES SF ir nacionalinio biudžeto dalinai finansuojamą projektą „IKT IR BIO TECHNOLOGIJŲ PARKŲ IR ĮMONIŲ „PLYNO LAUKO“ INVESTICIJŲ TERITORIJOS INŽINERINIŲ TINKLŲ IR SUSISIEKIMO KOMUNIKACIJŲ ĮRENGIMAS BEI IKT VERSLO INKUBATORIAUS IR TECHNOLOGIJŲ CENTRO STATYBA IR ĮRENGIMAS“ (PROJEKTO KODAS NR. VP2-1.4-ŪM-04-V-01-007).</w:t>
            </w:r>
          </w:p>
          <w:p w14:paraId="38C0214F" w14:textId="77777777" w:rsidR="0022282A" w:rsidRDefault="00F735BA" w:rsidP="008F7663">
            <w:pPr>
              <w:ind w:firstLine="851"/>
              <w:rPr>
                <w:i/>
              </w:rPr>
            </w:pPr>
            <w:r>
              <w:rPr>
                <w:i/>
              </w:rPr>
              <w:t>Projekto a</w:t>
            </w:r>
            <w:r w:rsidR="0022282A">
              <w:rPr>
                <w:i/>
              </w:rPr>
              <w:t>ntr</w:t>
            </w:r>
            <w:r>
              <w:rPr>
                <w:i/>
              </w:rPr>
              <w:t>as etapo</w:t>
            </w:r>
            <w:r w:rsidR="0022282A">
              <w:rPr>
                <w:i/>
              </w:rPr>
              <w:t xml:space="preserve"> įgyvendinamas vyksta tokiomis priemonėmis:</w:t>
            </w:r>
          </w:p>
          <w:p w14:paraId="3DCAB21C" w14:textId="77777777" w:rsidR="0022282A" w:rsidRPr="0022282A" w:rsidRDefault="0022282A" w:rsidP="008F7663">
            <w:pPr>
              <w:pStyle w:val="ListParagraph"/>
              <w:numPr>
                <w:ilvl w:val="0"/>
                <w:numId w:val="10"/>
              </w:numPr>
              <w:tabs>
                <w:tab w:val="left" w:pos="1031"/>
              </w:tabs>
              <w:ind w:left="38" w:firstLine="709"/>
              <w:rPr>
                <w:i/>
                <w:color w:val="000000"/>
                <w:szCs w:val="24"/>
                <w:lang w:eastAsia="lt-LT"/>
              </w:rPr>
            </w:pPr>
            <w:r w:rsidRPr="0022282A">
              <w:rPr>
                <w:i/>
                <w:color w:val="000000"/>
                <w:szCs w:val="24"/>
                <w:lang w:eastAsia="lt-LT"/>
              </w:rPr>
              <w:t>Vykdoma rinkodara, naujų klasterio narių pritraukimas. 2018 – 202</w:t>
            </w:r>
            <w:r w:rsidR="00EA21F5">
              <w:rPr>
                <w:i/>
                <w:color w:val="000000"/>
                <w:szCs w:val="24"/>
                <w:lang w:eastAsia="lt-LT"/>
              </w:rPr>
              <w:t>5</w:t>
            </w:r>
            <w:r w:rsidRPr="0022282A">
              <w:rPr>
                <w:i/>
                <w:color w:val="000000"/>
                <w:szCs w:val="24"/>
                <w:lang w:eastAsia="lt-LT"/>
              </w:rPr>
              <w:t xml:space="preserve"> m. planuojama pilnai išvystyti </w:t>
            </w:r>
            <w:r w:rsidR="00EA21F5">
              <w:rPr>
                <w:i/>
                <w:color w:val="000000"/>
                <w:szCs w:val="24"/>
                <w:lang w:eastAsia="lt-LT"/>
              </w:rPr>
              <w:t>17 000</w:t>
            </w:r>
            <w:r w:rsidRPr="0022282A">
              <w:rPr>
                <w:i/>
                <w:color w:val="000000"/>
                <w:szCs w:val="24"/>
                <w:lang w:eastAsia="lt-LT"/>
              </w:rPr>
              <w:t xml:space="preserve"> kv. m. teritoriją, įrengiant naujos MTEPI veiklos infrastruktūros. VITP toliau dirba su technologinėmis eksportuojančiomis įmonėmis ir finansinėmis institucijomis dėl infrastruktūros plėtros.</w:t>
            </w:r>
          </w:p>
          <w:p w14:paraId="241FB0EB" w14:textId="77777777" w:rsidR="0022282A" w:rsidRPr="0022282A" w:rsidRDefault="0022282A" w:rsidP="008F7663">
            <w:pPr>
              <w:pStyle w:val="ListParagraph"/>
              <w:numPr>
                <w:ilvl w:val="0"/>
                <w:numId w:val="10"/>
              </w:numPr>
              <w:tabs>
                <w:tab w:val="left" w:pos="1031"/>
              </w:tabs>
              <w:ind w:left="38" w:firstLine="709"/>
              <w:rPr>
                <w:i/>
                <w:color w:val="000000"/>
                <w:szCs w:val="24"/>
                <w:lang w:eastAsia="lt-LT"/>
              </w:rPr>
            </w:pPr>
            <w:r w:rsidRPr="0022282A">
              <w:rPr>
                <w:i/>
                <w:color w:val="000000"/>
                <w:szCs w:val="24"/>
                <w:lang w:eastAsia="lt-LT"/>
              </w:rPr>
              <w:t xml:space="preserve">Naujos MTEPI infrastruktūros projektavimas. 2018 m. parengti </w:t>
            </w:r>
            <w:proofErr w:type="spellStart"/>
            <w:r w:rsidRPr="0022282A">
              <w:rPr>
                <w:i/>
                <w:color w:val="000000"/>
                <w:szCs w:val="24"/>
                <w:lang w:eastAsia="lt-LT"/>
              </w:rPr>
              <w:t>priešprojektiniai</w:t>
            </w:r>
            <w:proofErr w:type="spellEnd"/>
            <w:r w:rsidRPr="0022282A">
              <w:rPr>
                <w:i/>
                <w:color w:val="000000"/>
                <w:szCs w:val="24"/>
                <w:lang w:eastAsia="lt-LT"/>
              </w:rPr>
              <w:t xml:space="preserve"> pasiūlymai apimantys</w:t>
            </w:r>
            <w:r w:rsidR="00935F84">
              <w:rPr>
                <w:i/>
                <w:color w:val="000000"/>
                <w:szCs w:val="24"/>
                <w:lang w:eastAsia="lt-LT"/>
              </w:rPr>
              <w:t xml:space="preserve"> </w:t>
            </w:r>
            <w:r w:rsidRPr="0022282A">
              <w:rPr>
                <w:i/>
                <w:color w:val="000000"/>
                <w:szCs w:val="24"/>
                <w:lang w:eastAsia="lt-LT"/>
              </w:rPr>
              <w:t>MTEPI infrastruktūros statiniuose zonavimą, parengtos projektavimo konkurso užduotys.</w:t>
            </w:r>
          </w:p>
          <w:p w14:paraId="6ED2EB8E" w14:textId="77777777" w:rsidR="0022282A" w:rsidRPr="00EA21F5" w:rsidRDefault="0022282A" w:rsidP="008F7663">
            <w:pPr>
              <w:pStyle w:val="ListParagraph"/>
              <w:numPr>
                <w:ilvl w:val="0"/>
                <w:numId w:val="10"/>
              </w:numPr>
              <w:tabs>
                <w:tab w:val="left" w:pos="1031"/>
              </w:tabs>
              <w:ind w:left="38" w:firstLine="709"/>
              <w:rPr>
                <w:i/>
                <w:color w:val="000000"/>
                <w:szCs w:val="24"/>
                <w:lang w:eastAsia="lt-LT"/>
              </w:rPr>
            </w:pPr>
            <w:r w:rsidRPr="00EA21F5">
              <w:rPr>
                <w:i/>
                <w:color w:val="000000"/>
                <w:szCs w:val="24"/>
                <w:lang w:eastAsia="lt-LT"/>
              </w:rPr>
              <w:t>Naujos infrastruktūros įrengimas 2019-202</w:t>
            </w:r>
            <w:r w:rsidR="00EA21F5">
              <w:rPr>
                <w:i/>
                <w:color w:val="000000"/>
                <w:szCs w:val="24"/>
                <w:lang w:eastAsia="lt-LT"/>
              </w:rPr>
              <w:t>5</w:t>
            </w:r>
            <w:r w:rsidRPr="00EA21F5">
              <w:rPr>
                <w:i/>
                <w:color w:val="000000"/>
                <w:szCs w:val="24"/>
                <w:lang w:eastAsia="lt-LT"/>
              </w:rPr>
              <w:t xml:space="preserve"> m.</w:t>
            </w:r>
            <w:r w:rsidR="00EA21F5" w:rsidRPr="00EA21F5">
              <w:rPr>
                <w:i/>
                <w:color w:val="000000"/>
                <w:szCs w:val="24"/>
                <w:lang w:eastAsia="lt-LT"/>
              </w:rPr>
              <w:t xml:space="preserve"> ir </w:t>
            </w:r>
            <w:r w:rsidR="00EA21F5">
              <w:rPr>
                <w:i/>
                <w:color w:val="000000"/>
                <w:szCs w:val="24"/>
                <w:lang w:eastAsia="lt-LT"/>
              </w:rPr>
              <w:t>n</w:t>
            </w:r>
            <w:r w:rsidRPr="00EA21F5">
              <w:rPr>
                <w:i/>
                <w:color w:val="000000"/>
                <w:szCs w:val="24"/>
                <w:lang w:eastAsia="lt-LT"/>
              </w:rPr>
              <w:t>aujų produktų inicijavimo, klasterio narių sinergijos ugdymo, eksporto rinkos plėtros veiklos.</w:t>
            </w:r>
          </w:p>
          <w:p w14:paraId="2CA38BAA" w14:textId="77777777" w:rsidR="00ED60BA" w:rsidRPr="008C02A5" w:rsidRDefault="00ED60BA" w:rsidP="00F7169D">
            <w:pPr>
              <w:ind w:firstLine="738"/>
              <w:rPr>
                <w:i/>
              </w:rPr>
            </w:pPr>
          </w:p>
        </w:tc>
      </w:tr>
      <w:tr w:rsidR="008C02A5" w:rsidRPr="008C02A5" w14:paraId="3C26843D" w14:textId="77777777" w:rsidTr="00D16EA3">
        <w:tc>
          <w:tcPr>
            <w:tcW w:w="9918" w:type="dxa"/>
          </w:tcPr>
          <w:p w14:paraId="279CC6EE" w14:textId="77777777" w:rsidR="00303C87" w:rsidRPr="008C02A5" w:rsidRDefault="00303C87" w:rsidP="00C322F0">
            <w:pPr>
              <w:rPr>
                <w:b/>
              </w:rPr>
            </w:pPr>
            <w:r w:rsidRPr="008C02A5">
              <w:rPr>
                <w:b/>
              </w:rPr>
              <w:t xml:space="preserve">Projekto įgyvendinimo metu numatomos taikyti įstatymais ir kitais teisės aktais nustatytos konkrečios lengvatos, jų taikymo sąlygos, </w:t>
            </w:r>
            <w:r w:rsidRPr="008C02A5">
              <w:t>nustatytos / suteiktos</w:t>
            </w:r>
            <w:r w:rsidRPr="008C02A5">
              <w:rPr>
                <w:b/>
              </w:rPr>
              <w:t>:</w:t>
            </w:r>
          </w:p>
          <w:p w14:paraId="44884E09" w14:textId="77777777" w:rsidR="009F4593" w:rsidRPr="008C02A5" w:rsidRDefault="009F4593" w:rsidP="0008137A">
            <w:pPr>
              <w:suppressAutoHyphens/>
              <w:spacing w:line="264" w:lineRule="auto"/>
              <w:ind w:firstLine="709"/>
              <w:rPr>
                <w:i/>
              </w:rPr>
            </w:pPr>
            <w:r w:rsidRPr="0008137A">
              <w:rPr>
                <w:i/>
              </w:rPr>
              <w:t>Teritorija, kurioje vykdomas valstybei svarbus projektas (toliau – VSP projektas), projekto vykdytojui yra suteikta pagal Vilniaus apskrities viršininko administracijos su projekto vykdytoju 2009 m. birželio 15 d. panaudos sutartis naudotis devyniasdešimt devyneriems metams, o VSP projekto statusas suteiktas vėliau, t. y. 2009 m. rugsėjo 9 dieną. Ateityje, projekto vykdytojui lengvatų taikymas nėra numatytas, todėl pratęsto valstybei svarbaus projekto Nutarim</w:t>
            </w:r>
            <w:r w:rsidR="0008137A" w:rsidRPr="0008137A">
              <w:rPr>
                <w:i/>
              </w:rPr>
              <w:t>e</w:t>
            </w:r>
            <w:r w:rsidRPr="0008137A">
              <w:rPr>
                <w:i/>
              </w:rPr>
              <w:t xml:space="preserve"> 4 punkt</w:t>
            </w:r>
            <w:r w:rsidR="0008137A" w:rsidRPr="0008137A">
              <w:rPr>
                <w:i/>
              </w:rPr>
              <w:t>e</w:t>
            </w:r>
            <w:r w:rsidRPr="0008137A">
              <w:rPr>
                <w:i/>
              </w:rPr>
              <w:t xml:space="preserve"> nustat</w:t>
            </w:r>
            <w:r w:rsidR="0008137A" w:rsidRPr="0008137A">
              <w:rPr>
                <w:i/>
              </w:rPr>
              <w:t>yta</w:t>
            </w:r>
            <w:r w:rsidRPr="0008137A">
              <w:rPr>
                <w:i/>
              </w:rPr>
              <w:t>, kad projekto įgyvendinimo metu, įstatymais ir kitais teisės aktais nustatytos lengvatos nenumatomos taikyti. Projektui pratęstas VSP statusas reikalingas užtikrinti, kad Santaros slėnyje norinčios investuoti žinioms imlios ir slėnio veiklos kryptis atitinkančios įmonės galės investuoti integruotame mokslo, studijų ir verslo centre (slėnyje) „Santara“.</w:t>
            </w:r>
          </w:p>
        </w:tc>
      </w:tr>
      <w:tr w:rsidR="008C02A5" w:rsidRPr="008C02A5" w14:paraId="5F9DD392" w14:textId="77777777" w:rsidTr="00D16EA3">
        <w:tc>
          <w:tcPr>
            <w:tcW w:w="9918" w:type="dxa"/>
          </w:tcPr>
          <w:p w14:paraId="2CABF140" w14:textId="77777777" w:rsidR="00303C87" w:rsidRPr="003A4E94" w:rsidRDefault="00303C87" w:rsidP="00C322F0">
            <w:r w:rsidRPr="003A4E94">
              <w:t>Projekto įgyvendinimo eiga (apibendrinamojo pobūdžio informacija):</w:t>
            </w:r>
          </w:p>
          <w:p w14:paraId="5B52FCF7" w14:textId="3AD6DE6B" w:rsidR="00C41710" w:rsidRPr="003A4E94" w:rsidRDefault="00C41710" w:rsidP="00C41710">
            <w:pPr>
              <w:ind w:firstLine="738"/>
              <w:rPr>
                <w:i/>
              </w:rPr>
            </w:pPr>
            <w:r w:rsidRPr="003A4E94">
              <w:rPr>
                <w:i/>
              </w:rPr>
              <w:t>Įgyvendinant projektą įrengta 6,9 ha verslo plėtros teritorija Santaros slėnyje padėjo pritraukti tokių įmonių, kaip „BOD Group“, „</w:t>
            </w:r>
            <w:proofErr w:type="spellStart"/>
            <w:r w:rsidRPr="003A4E94">
              <w:rPr>
                <w:i/>
              </w:rPr>
              <w:t>Biotechpharma</w:t>
            </w:r>
            <w:proofErr w:type="spellEnd"/>
            <w:r w:rsidRPr="003A4E94">
              <w:rPr>
                <w:i/>
              </w:rPr>
              <w:t>“ ir „</w:t>
            </w:r>
            <w:proofErr w:type="spellStart"/>
            <w:r w:rsidRPr="003A4E94">
              <w:rPr>
                <w:i/>
              </w:rPr>
              <w:t>Viltechmeda</w:t>
            </w:r>
            <w:proofErr w:type="spellEnd"/>
            <w:r w:rsidRPr="003A4E94">
              <w:rPr>
                <w:i/>
              </w:rPr>
              <w:t xml:space="preserve">“ (MOOG </w:t>
            </w:r>
            <w:proofErr w:type="spellStart"/>
            <w:r w:rsidRPr="003A4E94">
              <w:rPr>
                <w:i/>
              </w:rPr>
              <w:t>Medical</w:t>
            </w:r>
            <w:proofErr w:type="spellEnd"/>
            <w:r w:rsidRPr="003A4E94">
              <w:rPr>
                <w:i/>
              </w:rPr>
              <w:t xml:space="preserve"> </w:t>
            </w:r>
            <w:proofErr w:type="spellStart"/>
            <w:r w:rsidRPr="003A4E94">
              <w:rPr>
                <w:i/>
              </w:rPr>
              <w:lastRenderedPageBreak/>
              <w:t>Devices</w:t>
            </w:r>
            <w:proofErr w:type="spellEnd"/>
            <w:r w:rsidRPr="003A4E94">
              <w:rPr>
                <w:i/>
              </w:rPr>
              <w:t xml:space="preserve"> grupės narė) investicijas. Vystydamos tyrimų ir gamybinius centrus Visoriuose šios įmonės investavo daugiau nei 45 mln. E</w:t>
            </w:r>
            <w:r w:rsidR="004D0318">
              <w:rPr>
                <w:i/>
              </w:rPr>
              <w:t>UR</w:t>
            </w:r>
            <w:bookmarkStart w:id="0" w:name="_GoBack"/>
            <w:bookmarkEnd w:id="0"/>
            <w:r w:rsidRPr="003A4E94">
              <w:rPr>
                <w:i/>
              </w:rPr>
              <w:t xml:space="preserve"> nuosavų lėšų. </w:t>
            </w:r>
            <w:r w:rsidR="009118FE" w:rsidRPr="003A4E94">
              <w:rPr>
                <w:i/>
              </w:rPr>
              <w:t xml:space="preserve">2018 </w:t>
            </w:r>
            <w:r w:rsidRPr="003A4E94">
              <w:rPr>
                <w:i/>
              </w:rPr>
              <w:t>m. pradžioje Visorių IT parke ir Visorių aukštųjų technologijų branduolyje Santaros slėnyje veikė daugiau nei 40 įmonių, sukurta daugiau nei 1100 darbo vietų, 70 proc. produkcijos eksportuojama.</w:t>
            </w:r>
          </w:p>
          <w:p w14:paraId="4D646797" w14:textId="77777777" w:rsidR="00303C87" w:rsidRPr="003A4E94" w:rsidRDefault="009118FE" w:rsidP="0078116C">
            <w:pPr>
              <w:ind w:firstLine="738"/>
              <w:rPr>
                <w:i/>
              </w:rPr>
            </w:pPr>
            <w:r w:rsidRPr="003A4E94">
              <w:rPr>
                <w:i/>
              </w:rPr>
              <w:t>2018</w:t>
            </w:r>
            <w:r w:rsidR="00C41710" w:rsidRPr="003A4E94">
              <w:rPr>
                <w:i/>
              </w:rPr>
              <w:t>–20</w:t>
            </w:r>
            <w:r w:rsidR="0078116C" w:rsidRPr="003A4E94">
              <w:rPr>
                <w:i/>
              </w:rPr>
              <w:t>25</w:t>
            </w:r>
            <w:r w:rsidR="00F735BA" w:rsidRPr="003A4E94">
              <w:rPr>
                <w:i/>
              </w:rPr>
              <w:t xml:space="preserve"> </w:t>
            </w:r>
            <w:r w:rsidR="00C41710" w:rsidRPr="003A4E94">
              <w:rPr>
                <w:i/>
              </w:rPr>
              <w:t xml:space="preserve">m. rengiamasi naujoms investicijoms </w:t>
            </w:r>
            <w:r w:rsidR="0078116C" w:rsidRPr="003A4E94">
              <w:rPr>
                <w:i/>
              </w:rPr>
              <w:t>4,4225</w:t>
            </w:r>
            <w:r w:rsidR="00C41710" w:rsidRPr="003A4E94">
              <w:rPr>
                <w:i/>
              </w:rPr>
              <w:t xml:space="preserve"> ha ploto žemės sklypo dalyje, t. y. suplanuotas antras plėtros etapas, kurio metu bus pastatyta ir įrengta daugiau nei </w:t>
            </w:r>
            <w:r w:rsidR="00FA4004" w:rsidRPr="003A4E94">
              <w:rPr>
                <w:i/>
              </w:rPr>
              <w:t>17</w:t>
            </w:r>
            <w:r w:rsidR="00C41710" w:rsidRPr="003A4E94">
              <w:rPr>
                <w:i/>
              </w:rPr>
              <w:t xml:space="preserve">.000 kv. m. naujų patalpų aukštųjų technologijų sektoriaus įmonėms ir </w:t>
            </w:r>
            <w:proofErr w:type="spellStart"/>
            <w:r w:rsidR="00C41710" w:rsidRPr="003A4E94">
              <w:rPr>
                <w:i/>
              </w:rPr>
              <w:t>startuoliams</w:t>
            </w:r>
            <w:proofErr w:type="spellEnd"/>
            <w:r w:rsidR="00C41710" w:rsidRPr="003A4E94">
              <w:rPr>
                <w:i/>
              </w:rPr>
              <w:t xml:space="preserve"> bei pastatytas naujas VU Matematikos ir informatikos fakultetas. Jau yra parengti </w:t>
            </w:r>
            <w:proofErr w:type="spellStart"/>
            <w:r w:rsidR="00C41710" w:rsidRPr="003A4E94">
              <w:rPr>
                <w:i/>
              </w:rPr>
              <w:t>priešprojektiniai</w:t>
            </w:r>
            <w:proofErr w:type="spellEnd"/>
            <w:r w:rsidR="00C41710" w:rsidRPr="003A4E94">
              <w:rPr>
                <w:i/>
              </w:rPr>
              <w:t xml:space="preserve"> pasiūlymai, atlikti ekonominiai skaičiavimai dėl naujos infrastruktūros išvystymo bei tęsiamos derybos su potencialiais nuomininkais, kurie planuoja įsikurti naujuose pastatuose. Svarbiausias įmonių atrankos kriterijus – ar jos planuoja bendradarbiauti su VU Matematikos ir informatikos fakultetu, ar yra orientuotos į eksportą. </w:t>
            </w:r>
          </w:p>
          <w:p w14:paraId="3D2708F4" w14:textId="77777777" w:rsidR="003C497B" w:rsidRPr="003A4E94" w:rsidRDefault="003C497B" w:rsidP="003C497B">
            <w:pPr>
              <w:ind w:firstLine="738"/>
              <w:rPr>
                <w:lang w:val="en-US"/>
              </w:rPr>
            </w:pPr>
            <w:r w:rsidRPr="003A4E94">
              <w:t xml:space="preserve">2019-03-20 d. Visorių informacinių technologijų parkas pasirašė investicijų sutartį su Investuotoju Nr. 1 UAB „Inovacijų ir verslo centras“ (įmonė priklauso SIA Global BOD Group įmonių grupei). Sutarta, kad Investuotojo Nr. </w:t>
            </w:r>
            <w:r w:rsidRPr="003A4E94">
              <w:rPr>
                <w:lang w:val="en-US"/>
              </w:rPr>
              <w:t xml:space="preserve">1 </w:t>
            </w:r>
            <w:proofErr w:type="spellStart"/>
            <w:r w:rsidRPr="003A4E94">
              <w:rPr>
                <w:lang w:val="en-US"/>
              </w:rPr>
              <w:t>investicij</w:t>
            </w:r>
            <w:proofErr w:type="spellEnd"/>
            <w:r w:rsidRPr="003A4E94">
              <w:t xml:space="preserve">ų vertė į naują infrastruktūrą bus ne mažesnė kaip </w:t>
            </w:r>
            <w:r w:rsidRPr="003A4E94">
              <w:rPr>
                <w:lang w:val="en-US"/>
              </w:rPr>
              <w:t xml:space="preserve">15 </w:t>
            </w:r>
            <w:proofErr w:type="spellStart"/>
            <w:r w:rsidRPr="003A4E94">
              <w:rPr>
                <w:lang w:val="en-US"/>
              </w:rPr>
              <w:t>mln</w:t>
            </w:r>
            <w:proofErr w:type="spellEnd"/>
            <w:r w:rsidRPr="003A4E94">
              <w:rPr>
                <w:lang w:val="en-US"/>
              </w:rPr>
              <w:t xml:space="preserve">. EUR, </w:t>
            </w:r>
            <w:proofErr w:type="spellStart"/>
            <w:r w:rsidRPr="003A4E94">
              <w:rPr>
                <w:lang w:val="en-US"/>
              </w:rPr>
              <w:t>i</w:t>
            </w:r>
            <w:proofErr w:type="spellEnd"/>
            <w:r w:rsidRPr="003A4E94">
              <w:t xml:space="preserve">ų kurių privačios investicijos sudarys ne mažiau kaip </w:t>
            </w:r>
            <w:r w:rsidRPr="003A4E94">
              <w:rPr>
                <w:lang w:val="en-US"/>
              </w:rPr>
              <w:t xml:space="preserve">15 </w:t>
            </w:r>
            <w:proofErr w:type="spellStart"/>
            <w:r w:rsidRPr="003A4E94">
              <w:rPr>
                <w:lang w:val="en-US"/>
              </w:rPr>
              <w:t>mln</w:t>
            </w:r>
            <w:proofErr w:type="spellEnd"/>
            <w:r w:rsidRPr="003A4E94">
              <w:rPr>
                <w:lang w:val="en-US"/>
              </w:rPr>
              <w:t>. EUR</w:t>
            </w:r>
            <w:r w:rsidRPr="003A4E94">
              <w:rPr>
                <w:lang w:val="en-US"/>
              </w:rPr>
              <w:t>.</w:t>
            </w:r>
          </w:p>
          <w:p w14:paraId="1620BC13" w14:textId="3AAAF5A9" w:rsidR="003A5BF7" w:rsidRPr="003A4E94" w:rsidRDefault="003C497B" w:rsidP="003A5BF7">
            <w:pPr>
              <w:ind w:firstLine="738"/>
              <w:rPr>
                <w:lang w:val="en-US"/>
              </w:rPr>
            </w:pPr>
            <w:r w:rsidRPr="003A4E94">
              <w:rPr>
                <w:lang w:val="en-US"/>
              </w:rPr>
              <w:t xml:space="preserve">2019-07-22 d. </w:t>
            </w:r>
            <w:r w:rsidRPr="003A4E94">
              <w:t xml:space="preserve">Visorių informacinių technologijų parkas pasirašė investicijų sutartį su Investuotoju Nr. </w:t>
            </w:r>
            <w:r w:rsidRPr="003A4E94">
              <w:t>2</w:t>
            </w:r>
            <w:r w:rsidRPr="003A4E94">
              <w:t xml:space="preserve"> UAB</w:t>
            </w:r>
            <w:r w:rsidRPr="003A4E94">
              <w:t xml:space="preserve"> „Intersurgical</w:t>
            </w:r>
            <w:proofErr w:type="gramStart"/>
            <w:r w:rsidRPr="003A4E94">
              <w:t>“ dėl</w:t>
            </w:r>
            <w:proofErr w:type="gramEnd"/>
            <w:r w:rsidRPr="003A4E94">
              <w:t xml:space="preserve"> MTE</w:t>
            </w:r>
            <w:r w:rsidR="003A5BF7" w:rsidRPr="003A4E94">
              <w:t xml:space="preserve">PI centro, kurio bendras plotas būtų ne mažesnis, nei </w:t>
            </w:r>
            <w:r w:rsidR="003A5BF7" w:rsidRPr="003A4E94">
              <w:rPr>
                <w:lang w:val="en-US"/>
              </w:rPr>
              <w:t xml:space="preserve">4 000 </w:t>
            </w:r>
            <w:proofErr w:type="spellStart"/>
            <w:r w:rsidR="003A5BF7" w:rsidRPr="003A4E94">
              <w:rPr>
                <w:lang w:val="en-US"/>
              </w:rPr>
              <w:t>kv</w:t>
            </w:r>
            <w:proofErr w:type="spellEnd"/>
            <w:r w:rsidR="003A5BF7" w:rsidRPr="003A4E94">
              <w:rPr>
                <w:lang w:val="en-US"/>
              </w:rPr>
              <w:t xml:space="preserve">. m. </w:t>
            </w:r>
            <w:proofErr w:type="spellStart"/>
            <w:r w:rsidR="003A5BF7" w:rsidRPr="003A4E94">
              <w:rPr>
                <w:lang w:val="en-US"/>
              </w:rPr>
              <w:t>Sutarta</w:t>
            </w:r>
            <w:proofErr w:type="spellEnd"/>
            <w:r w:rsidR="003A5BF7" w:rsidRPr="003A4E94">
              <w:rPr>
                <w:lang w:val="en-US"/>
              </w:rPr>
              <w:t xml:space="preserve">, </w:t>
            </w:r>
            <w:proofErr w:type="spellStart"/>
            <w:r w:rsidR="003A5BF7" w:rsidRPr="003A4E94">
              <w:rPr>
                <w:lang w:val="en-US"/>
              </w:rPr>
              <w:t>kad</w:t>
            </w:r>
            <w:proofErr w:type="spellEnd"/>
            <w:r w:rsidR="003A5BF7" w:rsidRPr="003A4E94">
              <w:rPr>
                <w:lang w:val="en-US"/>
              </w:rPr>
              <w:t xml:space="preserve"> </w:t>
            </w:r>
            <w:proofErr w:type="spellStart"/>
            <w:r w:rsidR="003A5BF7" w:rsidRPr="003A4E94">
              <w:rPr>
                <w:lang w:val="en-US"/>
              </w:rPr>
              <w:t>Investuotojo</w:t>
            </w:r>
            <w:proofErr w:type="spellEnd"/>
            <w:r w:rsidR="003A5BF7" w:rsidRPr="003A4E94">
              <w:rPr>
                <w:lang w:val="en-US"/>
              </w:rPr>
              <w:t xml:space="preserve"> </w:t>
            </w:r>
            <w:proofErr w:type="spellStart"/>
            <w:r w:rsidR="003A5BF7" w:rsidRPr="003A4E94">
              <w:rPr>
                <w:lang w:val="en-US"/>
              </w:rPr>
              <w:t>Nr</w:t>
            </w:r>
            <w:proofErr w:type="spellEnd"/>
            <w:r w:rsidR="003A5BF7" w:rsidRPr="003A4E94">
              <w:rPr>
                <w:lang w:val="en-US"/>
              </w:rPr>
              <w:t xml:space="preserve">. 2 </w:t>
            </w:r>
            <w:proofErr w:type="spellStart"/>
            <w:r w:rsidR="003A5BF7" w:rsidRPr="003A4E94">
              <w:rPr>
                <w:lang w:val="en-US"/>
              </w:rPr>
              <w:t>investicij</w:t>
            </w:r>
            <w:proofErr w:type="spellEnd"/>
            <w:r w:rsidR="003A5BF7" w:rsidRPr="003A4E94">
              <w:t xml:space="preserve">ų vertė į naują infrastruktūrą bus </w:t>
            </w:r>
            <w:r w:rsidR="003A5BF7" w:rsidRPr="003A4E94">
              <w:t xml:space="preserve">ne mažesnė kaip </w:t>
            </w:r>
            <w:r w:rsidR="003A5BF7" w:rsidRPr="003A4E94">
              <w:rPr>
                <w:lang w:val="en-US"/>
              </w:rPr>
              <w:t>1</w:t>
            </w:r>
            <w:r w:rsidR="003A5BF7" w:rsidRPr="003A4E94">
              <w:rPr>
                <w:lang w:val="en-US"/>
              </w:rPr>
              <w:t>2</w:t>
            </w:r>
            <w:r w:rsidR="003A5BF7" w:rsidRPr="003A4E94">
              <w:rPr>
                <w:lang w:val="en-US"/>
              </w:rPr>
              <w:t xml:space="preserve"> </w:t>
            </w:r>
            <w:proofErr w:type="spellStart"/>
            <w:r w:rsidR="003A5BF7" w:rsidRPr="003A4E94">
              <w:rPr>
                <w:lang w:val="en-US"/>
              </w:rPr>
              <w:t>mln</w:t>
            </w:r>
            <w:proofErr w:type="spellEnd"/>
            <w:r w:rsidR="003A5BF7" w:rsidRPr="003A4E94">
              <w:rPr>
                <w:lang w:val="en-US"/>
              </w:rPr>
              <w:t xml:space="preserve">. EUR, </w:t>
            </w:r>
            <w:proofErr w:type="spellStart"/>
            <w:r w:rsidR="003A5BF7" w:rsidRPr="003A4E94">
              <w:rPr>
                <w:lang w:val="en-US"/>
              </w:rPr>
              <w:t>i</w:t>
            </w:r>
            <w:proofErr w:type="spellEnd"/>
            <w:r w:rsidR="003A5BF7" w:rsidRPr="003A4E94">
              <w:t xml:space="preserve">ų kurių privačios investicijos sudarys ne mažiau kaip </w:t>
            </w:r>
            <w:r w:rsidR="003A5BF7" w:rsidRPr="003A4E94">
              <w:rPr>
                <w:lang w:val="en-US"/>
              </w:rPr>
              <w:t>8</w:t>
            </w:r>
            <w:r w:rsidR="003A5BF7" w:rsidRPr="003A4E94">
              <w:rPr>
                <w:lang w:val="en-US"/>
              </w:rPr>
              <w:t xml:space="preserve"> </w:t>
            </w:r>
            <w:proofErr w:type="spellStart"/>
            <w:r w:rsidR="003A5BF7" w:rsidRPr="003A4E94">
              <w:rPr>
                <w:lang w:val="en-US"/>
              </w:rPr>
              <w:t>mln</w:t>
            </w:r>
            <w:proofErr w:type="spellEnd"/>
            <w:r w:rsidR="003A5BF7" w:rsidRPr="003A4E94">
              <w:rPr>
                <w:lang w:val="en-US"/>
              </w:rPr>
              <w:t>. EUR.</w:t>
            </w:r>
          </w:p>
          <w:p w14:paraId="68EF67E4" w14:textId="77777777" w:rsidR="003C497B" w:rsidRPr="003A4E94" w:rsidRDefault="00843EFA" w:rsidP="00843EFA">
            <w:pPr>
              <w:ind w:firstLine="738"/>
              <w:rPr>
                <w:lang w:val="en-US"/>
              </w:rPr>
            </w:pPr>
            <w:r w:rsidRPr="003A4E94">
              <w:rPr>
                <w:lang w:val="en-US"/>
              </w:rPr>
              <w:t xml:space="preserve">2019 m. </w:t>
            </w:r>
            <w:proofErr w:type="spellStart"/>
            <w:r w:rsidRPr="003A4E94">
              <w:rPr>
                <w:lang w:val="en-US"/>
              </w:rPr>
              <w:t>birželio</w:t>
            </w:r>
            <w:proofErr w:type="spellEnd"/>
            <w:r w:rsidRPr="003A4E94">
              <w:t xml:space="preserve"> mėnesį </w:t>
            </w:r>
            <w:r w:rsidRPr="003A4E94">
              <w:t xml:space="preserve">Visorių informacinių </w:t>
            </w:r>
            <w:r w:rsidRPr="003A4E94">
              <w:t>technologijų parkas</w:t>
            </w:r>
            <w:r w:rsidR="003A4E94" w:rsidRPr="003A4E94">
              <w:t>, veikiantis kaip Investuotojas Nr. 3,</w:t>
            </w:r>
            <w:r w:rsidRPr="003A4E94">
              <w:t xml:space="preserve"> pasirašė </w:t>
            </w:r>
            <w:r w:rsidRPr="003A4E94">
              <w:t>su</w:t>
            </w:r>
            <w:r w:rsidRPr="003A4E94">
              <w:t>tartį dėl projektavimo paslaugų su UAB „</w:t>
            </w:r>
            <w:proofErr w:type="spellStart"/>
            <w:r w:rsidRPr="003A4E94">
              <w:t>Unitectus</w:t>
            </w:r>
            <w:proofErr w:type="spellEnd"/>
            <w:r w:rsidRPr="003A4E94">
              <w:t xml:space="preserve">“, kuri </w:t>
            </w:r>
            <w:r w:rsidRPr="003A4E94">
              <w:rPr>
                <w:lang w:val="en-US"/>
              </w:rPr>
              <w:t>2019 m. bi</w:t>
            </w:r>
            <w:proofErr w:type="spellStart"/>
            <w:r w:rsidRPr="003A4E94">
              <w:t>rželio</w:t>
            </w:r>
            <w:proofErr w:type="spellEnd"/>
            <w:r w:rsidRPr="003A4E94">
              <w:t xml:space="preserve"> mėnesį pradėjo Investuotojo Nr. </w:t>
            </w:r>
            <w:r w:rsidRPr="003A4E94">
              <w:rPr>
                <w:lang w:val="en-US"/>
              </w:rPr>
              <w:t xml:space="preserve">3 MTEPI </w:t>
            </w:r>
            <w:proofErr w:type="spellStart"/>
            <w:r w:rsidRPr="003A4E94">
              <w:rPr>
                <w:lang w:val="en-US"/>
              </w:rPr>
              <w:t>centro</w:t>
            </w:r>
            <w:proofErr w:type="spellEnd"/>
            <w:r w:rsidRPr="003A4E94">
              <w:rPr>
                <w:lang w:val="en-US"/>
              </w:rPr>
              <w:t xml:space="preserve"> </w:t>
            </w:r>
            <w:proofErr w:type="spellStart"/>
            <w:r w:rsidRPr="003A4E94">
              <w:rPr>
                <w:lang w:val="en-US"/>
              </w:rPr>
              <w:t>projektavimo</w:t>
            </w:r>
            <w:proofErr w:type="spellEnd"/>
            <w:r w:rsidRPr="003A4E94">
              <w:rPr>
                <w:lang w:val="en-US"/>
              </w:rPr>
              <w:t xml:space="preserve"> </w:t>
            </w:r>
            <w:proofErr w:type="spellStart"/>
            <w:r w:rsidRPr="003A4E94">
              <w:rPr>
                <w:lang w:val="en-US"/>
              </w:rPr>
              <w:t>darbus</w:t>
            </w:r>
            <w:proofErr w:type="spellEnd"/>
            <w:r w:rsidRPr="003A4E94">
              <w:rPr>
                <w:lang w:val="en-US"/>
              </w:rPr>
              <w:t>.</w:t>
            </w:r>
          </w:p>
          <w:p w14:paraId="75C4C064" w14:textId="77777777" w:rsidR="003A4E94" w:rsidRPr="003A4E94" w:rsidRDefault="003A4E94" w:rsidP="003A4E94">
            <w:pPr>
              <w:ind w:firstLine="738"/>
            </w:pPr>
            <w:r w:rsidRPr="003A4E94">
              <w:rPr>
                <w:lang w:val="en-US"/>
              </w:rPr>
              <w:t xml:space="preserve">2019 m. </w:t>
            </w:r>
            <w:proofErr w:type="spellStart"/>
            <w:r w:rsidRPr="003A4E94">
              <w:rPr>
                <w:lang w:val="en-US"/>
              </w:rPr>
              <w:t>gruod</w:t>
            </w:r>
            <w:r w:rsidRPr="003A4E94">
              <w:t>žio</w:t>
            </w:r>
            <w:proofErr w:type="spellEnd"/>
            <w:r w:rsidRPr="003A4E94">
              <w:t xml:space="preserve"> mėnesį </w:t>
            </w:r>
            <w:r w:rsidRPr="003A4E94">
              <w:t>Visorių informacinių technologijų parkas</w:t>
            </w:r>
            <w:r w:rsidRPr="003A4E94">
              <w:t xml:space="preserve"> </w:t>
            </w:r>
            <w:r w:rsidRPr="003A4E94">
              <w:t>su Vilniaus miesto savivaldybės administracija pasirašė</w:t>
            </w:r>
            <w:r w:rsidRPr="003A4E94">
              <w:t xml:space="preserve"> „Teritorijų planavimo proceso inicijavimo sutartį“</w:t>
            </w:r>
            <w:r w:rsidRPr="003A4E94">
              <w:t xml:space="preserve"> </w:t>
            </w:r>
            <w:r w:rsidRPr="003A4E94">
              <w:t>dėl teritorijos tarp Geležinio Vilko ir Mokslininkų gatvių detaliojo plano koregavimo.</w:t>
            </w:r>
          </w:p>
          <w:p w14:paraId="19BF6BF8" w14:textId="66B479C8" w:rsidR="003A4E94" w:rsidRPr="003A4E94" w:rsidRDefault="003A4E94" w:rsidP="003A4E94">
            <w:pPr>
              <w:ind w:firstLine="738"/>
            </w:pPr>
            <w:r w:rsidRPr="003A4E94">
              <w:t>Investuotojo Nr. 3 Projektas pritraukė 5 įmones: UAB „</w:t>
            </w:r>
            <w:proofErr w:type="spellStart"/>
            <w:r w:rsidRPr="003A4E94">
              <w:t>Optogama</w:t>
            </w:r>
            <w:proofErr w:type="spellEnd"/>
            <w:r w:rsidRPr="003A4E94">
              <w:t>“, UAB „</w:t>
            </w:r>
            <w:r>
              <w:t>A</w:t>
            </w:r>
            <w:r w:rsidRPr="003A4E94">
              <w:t xml:space="preserve">dos </w:t>
            </w:r>
            <w:proofErr w:type="spellStart"/>
            <w:r w:rsidRPr="003A4E94">
              <w:t>Tech</w:t>
            </w:r>
            <w:proofErr w:type="spellEnd"/>
            <w:r w:rsidRPr="003A4E94">
              <w:t xml:space="preserve">“, </w:t>
            </w:r>
            <w:r>
              <w:t>UAB „</w:t>
            </w:r>
            <w:proofErr w:type="spellStart"/>
            <w:r>
              <w:t>Nano</w:t>
            </w:r>
            <w:proofErr w:type="spellEnd"/>
            <w:r>
              <w:t xml:space="preserve"> </w:t>
            </w:r>
            <w:proofErr w:type="spellStart"/>
            <w:r>
              <w:t>Avionika</w:t>
            </w:r>
            <w:proofErr w:type="spellEnd"/>
            <w:r>
              <w:t>“, UAB „</w:t>
            </w:r>
            <w:proofErr w:type="spellStart"/>
            <w:r>
              <w:t>Optonas</w:t>
            </w:r>
            <w:proofErr w:type="spellEnd"/>
            <w:r>
              <w:t>“, UAB „</w:t>
            </w:r>
            <w:proofErr w:type="spellStart"/>
            <w:r>
              <w:t>Cognitio</w:t>
            </w:r>
            <w:proofErr w:type="spellEnd"/>
            <w:r>
              <w:t xml:space="preserve">“ su kuriomis </w:t>
            </w:r>
            <w:r w:rsidRPr="003A4E94">
              <w:t>Visorių informacinių technologijų parkas</w:t>
            </w:r>
            <w:r>
              <w:t xml:space="preserve"> </w:t>
            </w:r>
            <w:r w:rsidRPr="003A4E94">
              <w:t>2019 m.</w:t>
            </w:r>
            <w:r>
              <w:t xml:space="preserve"> kovo-balandžio mėnesiais</w:t>
            </w:r>
            <w:r w:rsidRPr="003A4E94">
              <w:t xml:space="preserve"> pasirašė </w:t>
            </w:r>
            <w:r>
              <w:t>preliminarias nuomos</w:t>
            </w:r>
            <w:r w:rsidRPr="003A4E94">
              <w:t xml:space="preserve"> su</w:t>
            </w:r>
            <w:r>
              <w:t>tartis.</w:t>
            </w:r>
          </w:p>
        </w:tc>
      </w:tr>
      <w:tr w:rsidR="008C02A5" w:rsidRPr="008C02A5" w14:paraId="286E28B4" w14:textId="77777777" w:rsidTr="00D16EA3">
        <w:tc>
          <w:tcPr>
            <w:tcW w:w="9918" w:type="dxa"/>
          </w:tcPr>
          <w:p w14:paraId="44CA7702" w14:textId="77777777" w:rsidR="00303C87" w:rsidRPr="003A4E94" w:rsidRDefault="00303C87" w:rsidP="00C322F0">
            <w:r w:rsidRPr="003A4E94">
              <w:lastRenderedPageBreak/>
              <w:t>Siūlymai dėl projekto įgyvendinimo / statuso reikalingumo:</w:t>
            </w:r>
          </w:p>
          <w:p w14:paraId="264461F1" w14:textId="77777777" w:rsidR="002316FB" w:rsidRPr="003A4E94" w:rsidRDefault="00FA4004" w:rsidP="00FA4004">
            <w:pPr>
              <w:ind w:firstLine="738"/>
            </w:pPr>
            <w:r w:rsidRPr="003A4E94">
              <w:rPr>
                <w:i/>
              </w:rPr>
              <w:t>Atsižvelgiant į projekto</w:t>
            </w:r>
            <w:r w:rsidR="00C41710" w:rsidRPr="003A4E94">
              <w:rPr>
                <w:i/>
              </w:rPr>
              <w:t xml:space="preserve"> antro etapo plėtros darbus, VSEP statusas yra aktualus ir reikalingas.</w:t>
            </w:r>
          </w:p>
        </w:tc>
      </w:tr>
    </w:tbl>
    <w:p w14:paraId="251C462D" w14:textId="77777777" w:rsidR="007F3FE6" w:rsidRDefault="007F3FE6"/>
    <w:p w14:paraId="48BCFC72" w14:textId="77777777" w:rsidR="000E0305" w:rsidRPr="008C02A5" w:rsidRDefault="000E0305" w:rsidP="000E0305">
      <w:pPr>
        <w:jc w:val="center"/>
      </w:pPr>
      <w:r>
        <w:t>__________</w:t>
      </w:r>
    </w:p>
    <w:sectPr w:rsidR="000E0305" w:rsidRPr="008C02A5" w:rsidSect="00A22FAF">
      <w:headerReference w:type="default" r:id="rId7"/>
      <w:footerReference w:type="even" r:id="rId8"/>
      <w:headerReference w:type="first" r:id="rId9"/>
      <w:footerReference w:type="first" r:id="rId10"/>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C49DD" w14:textId="77777777" w:rsidR="003C6F73" w:rsidRDefault="003C6F73">
      <w:r>
        <w:separator/>
      </w:r>
    </w:p>
  </w:endnote>
  <w:endnote w:type="continuationSeparator" w:id="0">
    <w:p w14:paraId="6FE9E85E" w14:textId="77777777" w:rsidR="003C6F73" w:rsidRDefault="003C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7D0A" w14:textId="77777777" w:rsidR="00675A68" w:rsidRDefault="00B74B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B8EBFB" w14:textId="77777777" w:rsidR="00675A68" w:rsidRDefault="003C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8F01" w14:textId="77777777" w:rsidR="009D2E5B" w:rsidRDefault="00B74B00"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2B02B2CB" wp14:editId="2191E39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4D533DA" w14:textId="77777777" w:rsidR="00A22FAF" w:rsidRDefault="003C6F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11666"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4F03D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F8D59" w14:textId="77777777" w:rsidR="003C6F73" w:rsidRDefault="003C6F73">
      <w:r>
        <w:separator/>
      </w:r>
    </w:p>
  </w:footnote>
  <w:footnote w:type="continuationSeparator" w:id="0">
    <w:p w14:paraId="172B4E66" w14:textId="77777777" w:rsidR="003C6F73" w:rsidRDefault="003C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9044F" w14:textId="50FAF96F" w:rsidR="00675A68" w:rsidRDefault="00B74B00">
    <w:pPr>
      <w:pStyle w:val="Header"/>
      <w:jc w:val="center"/>
    </w:pPr>
    <w:r>
      <w:rPr>
        <w:rStyle w:val="PageNumber"/>
      </w:rPr>
      <w:fldChar w:fldCharType="begin"/>
    </w:r>
    <w:r>
      <w:rPr>
        <w:rStyle w:val="PageNumber"/>
      </w:rPr>
      <w:instrText xml:space="preserve"> PAGE </w:instrText>
    </w:r>
    <w:r>
      <w:rPr>
        <w:rStyle w:val="PageNumber"/>
      </w:rPr>
      <w:fldChar w:fldCharType="separate"/>
    </w:r>
    <w:r w:rsidR="004D0318">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9A40" w14:textId="77777777" w:rsidR="00051C5C" w:rsidRDefault="003C6F73"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D26"/>
    <w:multiLevelType w:val="hybridMultilevel"/>
    <w:tmpl w:val="45FA132C"/>
    <w:lvl w:ilvl="0" w:tplc="0427000F">
      <w:start w:val="1"/>
      <w:numFmt w:val="decimal"/>
      <w:lvlText w:val="%1."/>
      <w:lvlJc w:val="left"/>
      <w:pPr>
        <w:ind w:left="1458" w:hanging="360"/>
      </w:pPr>
      <w:rPr>
        <w:rFonts w:hint="default"/>
      </w:rPr>
    </w:lvl>
    <w:lvl w:ilvl="1" w:tplc="04270019" w:tentative="1">
      <w:start w:val="1"/>
      <w:numFmt w:val="lowerLetter"/>
      <w:lvlText w:val="%2."/>
      <w:lvlJc w:val="left"/>
      <w:pPr>
        <w:ind w:left="2178" w:hanging="360"/>
      </w:pPr>
    </w:lvl>
    <w:lvl w:ilvl="2" w:tplc="0427001B" w:tentative="1">
      <w:start w:val="1"/>
      <w:numFmt w:val="lowerRoman"/>
      <w:lvlText w:val="%3."/>
      <w:lvlJc w:val="right"/>
      <w:pPr>
        <w:ind w:left="2898" w:hanging="180"/>
      </w:pPr>
    </w:lvl>
    <w:lvl w:ilvl="3" w:tplc="0427000F" w:tentative="1">
      <w:start w:val="1"/>
      <w:numFmt w:val="decimal"/>
      <w:lvlText w:val="%4."/>
      <w:lvlJc w:val="left"/>
      <w:pPr>
        <w:ind w:left="3618" w:hanging="360"/>
      </w:pPr>
    </w:lvl>
    <w:lvl w:ilvl="4" w:tplc="04270019" w:tentative="1">
      <w:start w:val="1"/>
      <w:numFmt w:val="lowerLetter"/>
      <w:lvlText w:val="%5."/>
      <w:lvlJc w:val="left"/>
      <w:pPr>
        <w:ind w:left="4338" w:hanging="360"/>
      </w:pPr>
    </w:lvl>
    <w:lvl w:ilvl="5" w:tplc="0427001B" w:tentative="1">
      <w:start w:val="1"/>
      <w:numFmt w:val="lowerRoman"/>
      <w:lvlText w:val="%6."/>
      <w:lvlJc w:val="right"/>
      <w:pPr>
        <w:ind w:left="5058" w:hanging="180"/>
      </w:pPr>
    </w:lvl>
    <w:lvl w:ilvl="6" w:tplc="0427000F" w:tentative="1">
      <w:start w:val="1"/>
      <w:numFmt w:val="decimal"/>
      <w:lvlText w:val="%7."/>
      <w:lvlJc w:val="left"/>
      <w:pPr>
        <w:ind w:left="5778" w:hanging="360"/>
      </w:pPr>
    </w:lvl>
    <w:lvl w:ilvl="7" w:tplc="04270019" w:tentative="1">
      <w:start w:val="1"/>
      <w:numFmt w:val="lowerLetter"/>
      <w:lvlText w:val="%8."/>
      <w:lvlJc w:val="left"/>
      <w:pPr>
        <w:ind w:left="6498" w:hanging="360"/>
      </w:pPr>
    </w:lvl>
    <w:lvl w:ilvl="8" w:tplc="0427001B" w:tentative="1">
      <w:start w:val="1"/>
      <w:numFmt w:val="lowerRoman"/>
      <w:lvlText w:val="%9."/>
      <w:lvlJc w:val="right"/>
      <w:pPr>
        <w:ind w:left="7218" w:hanging="180"/>
      </w:pPr>
    </w:lvl>
  </w:abstractNum>
  <w:abstractNum w:abstractNumId="1" w15:restartNumberingAfterBreak="0">
    <w:nsid w:val="2B7A2368"/>
    <w:multiLevelType w:val="hybridMultilevel"/>
    <w:tmpl w:val="9B904C8A"/>
    <w:lvl w:ilvl="0" w:tplc="86B0A9CC">
      <w:start w:val="2015"/>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8FA1C9C"/>
    <w:multiLevelType w:val="hybridMultilevel"/>
    <w:tmpl w:val="9BAC98D6"/>
    <w:lvl w:ilvl="0" w:tplc="003E9110">
      <w:start w:val="1"/>
      <w:numFmt w:val="decimal"/>
      <w:lvlText w:val="%1)"/>
      <w:lvlJc w:val="left"/>
      <w:pPr>
        <w:ind w:left="1458" w:hanging="360"/>
      </w:pPr>
      <w:rPr>
        <w:rFonts w:hint="default"/>
      </w:rPr>
    </w:lvl>
    <w:lvl w:ilvl="1" w:tplc="04270019" w:tentative="1">
      <w:start w:val="1"/>
      <w:numFmt w:val="lowerLetter"/>
      <w:lvlText w:val="%2."/>
      <w:lvlJc w:val="left"/>
      <w:pPr>
        <w:ind w:left="2178" w:hanging="360"/>
      </w:pPr>
    </w:lvl>
    <w:lvl w:ilvl="2" w:tplc="0427001B" w:tentative="1">
      <w:start w:val="1"/>
      <w:numFmt w:val="lowerRoman"/>
      <w:lvlText w:val="%3."/>
      <w:lvlJc w:val="right"/>
      <w:pPr>
        <w:ind w:left="2898" w:hanging="180"/>
      </w:pPr>
    </w:lvl>
    <w:lvl w:ilvl="3" w:tplc="0427000F" w:tentative="1">
      <w:start w:val="1"/>
      <w:numFmt w:val="decimal"/>
      <w:lvlText w:val="%4."/>
      <w:lvlJc w:val="left"/>
      <w:pPr>
        <w:ind w:left="3618" w:hanging="360"/>
      </w:pPr>
    </w:lvl>
    <w:lvl w:ilvl="4" w:tplc="04270019" w:tentative="1">
      <w:start w:val="1"/>
      <w:numFmt w:val="lowerLetter"/>
      <w:lvlText w:val="%5."/>
      <w:lvlJc w:val="left"/>
      <w:pPr>
        <w:ind w:left="4338" w:hanging="360"/>
      </w:pPr>
    </w:lvl>
    <w:lvl w:ilvl="5" w:tplc="0427001B" w:tentative="1">
      <w:start w:val="1"/>
      <w:numFmt w:val="lowerRoman"/>
      <w:lvlText w:val="%6."/>
      <w:lvlJc w:val="right"/>
      <w:pPr>
        <w:ind w:left="5058" w:hanging="180"/>
      </w:pPr>
    </w:lvl>
    <w:lvl w:ilvl="6" w:tplc="0427000F" w:tentative="1">
      <w:start w:val="1"/>
      <w:numFmt w:val="decimal"/>
      <w:lvlText w:val="%7."/>
      <w:lvlJc w:val="left"/>
      <w:pPr>
        <w:ind w:left="5778" w:hanging="360"/>
      </w:pPr>
    </w:lvl>
    <w:lvl w:ilvl="7" w:tplc="04270019" w:tentative="1">
      <w:start w:val="1"/>
      <w:numFmt w:val="lowerLetter"/>
      <w:lvlText w:val="%8."/>
      <w:lvlJc w:val="left"/>
      <w:pPr>
        <w:ind w:left="6498" w:hanging="360"/>
      </w:pPr>
    </w:lvl>
    <w:lvl w:ilvl="8" w:tplc="0427001B" w:tentative="1">
      <w:start w:val="1"/>
      <w:numFmt w:val="lowerRoman"/>
      <w:lvlText w:val="%9."/>
      <w:lvlJc w:val="right"/>
      <w:pPr>
        <w:ind w:left="7218" w:hanging="180"/>
      </w:pPr>
    </w:lvl>
  </w:abstractNum>
  <w:abstractNum w:abstractNumId="3" w15:restartNumberingAfterBreak="0">
    <w:nsid w:val="3D1F047B"/>
    <w:multiLevelType w:val="multilevel"/>
    <w:tmpl w:val="B28E7BB6"/>
    <w:lvl w:ilvl="0">
      <w:start w:val="1"/>
      <w:numFmt w:val="decimal"/>
      <w:pStyle w:val="Heading1"/>
      <w:lvlText w:val="%1."/>
      <w:lvlJc w:val="left"/>
      <w:pPr>
        <w:tabs>
          <w:tab w:val="num" w:pos="567"/>
        </w:tabs>
        <w:ind w:left="567" w:hanging="567"/>
      </w:pPr>
      <w:rPr>
        <w:rFonts w:hint="default"/>
      </w:rPr>
    </w:lvl>
    <w:lvl w:ilvl="1">
      <w:start w:val="1"/>
      <w:numFmt w:val="decimal"/>
      <w:pStyle w:val="Headnorm1"/>
      <w:lvlText w:val="%1.%2"/>
      <w:lvlJc w:val="left"/>
      <w:pPr>
        <w:tabs>
          <w:tab w:val="num" w:pos="927"/>
        </w:tabs>
        <w:ind w:left="927" w:hanging="567"/>
      </w:pPr>
      <w:rPr>
        <w:rFonts w:hint="default"/>
      </w:rPr>
    </w:lvl>
    <w:lvl w:ilvl="2">
      <w:start w:val="1"/>
      <w:numFmt w:val="decimal"/>
      <w:pStyle w:val="Headnorm10"/>
      <w:lvlText w:val="%1.%2.%3"/>
      <w:lvlJc w:val="left"/>
      <w:pPr>
        <w:tabs>
          <w:tab w:val="num" w:pos="1287"/>
        </w:tabs>
        <w:ind w:left="1134" w:hanging="567"/>
      </w:pPr>
      <w:rPr>
        <w:rFonts w:hint="default"/>
      </w:rPr>
    </w:lvl>
    <w:lvl w:ilvl="3">
      <w:start w:val="1"/>
      <w:numFmt w:val="decimal"/>
      <w:pStyle w:val="Heading2"/>
      <w:lvlText w:val="%1.%4"/>
      <w:lvlJc w:val="left"/>
      <w:pPr>
        <w:tabs>
          <w:tab w:val="num" w:pos="567"/>
        </w:tabs>
        <w:ind w:left="567" w:hanging="567"/>
      </w:pPr>
      <w:rPr>
        <w:rFonts w:hint="default"/>
      </w:rPr>
    </w:lvl>
    <w:lvl w:ilvl="4">
      <w:start w:val="1"/>
      <w:numFmt w:val="decimal"/>
      <w:pStyle w:val="Headnorm2"/>
      <w:suff w:val="space"/>
      <w:lvlText w:val="%1.%4.%5"/>
      <w:lvlJc w:val="left"/>
      <w:pPr>
        <w:ind w:left="567" w:hanging="567"/>
      </w:pPr>
      <w:rPr>
        <w:rFonts w:hint="default"/>
      </w:rPr>
    </w:lvl>
    <w:lvl w:ilvl="5">
      <w:start w:val="1"/>
      <w:numFmt w:val="decimal"/>
      <w:pStyle w:val="Headnorm20"/>
      <w:lvlText w:val="%1.%4.%5.%6"/>
      <w:lvlJc w:val="left"/>
      <w:pPr>
        <w:tabs>
          <w:tab w:val="num" w:pos="1647"/>
        </w:tabs>
        <w:ind w:left="1418" w:hanging="851"/>
      </w:pPr>
      <w:rPr>
        <w:rFonts w:hint="default"/>
      </w:rPr>
    </w:lvl>
    <w:lvl w:ilvl="6">
      <w:start w:val="1"/>
      <w:numFmt w:val="decimal"/>
      <w:pStyle w:val="Heading3"/>
      <w:lvlText w:val="%1.%4.%7"/>
      <w:lvlJc w:val="left"/>
      <w:pPr>
        <w:tabs>
          <w:tab w:val="num" w:pos="737"/>
        </w:tabs>
        <w:ind w:left="737" w:hanging="737"/>
      </w:pPr>
      <w:rPr>
        <w:rFonts w:hint="default"/>
      </w:rPr>
    </w:lvl>
    <w:lvl w:ilvl="7">
      <w:start w:val="1"/>
      <w:numFmt w:val="decimal"/>
      <w:pStyle w:val="Headnorm3"/>
      <w:lvlText w:val="%1.%4.%7.%8"/>
      <w:lvlJc w:val="left"/>
      <w:pPr>
        <w:tabs>
          <w:tab w:val="num" w:pos="1080"/>
        </w:tabs>
        <w:ind w:left="851" w:hanging="851"/>
      </w:pPr>
      <w:rPr>
        <w:rFonts w:hint="default"/>
      </w:rPr>
    </w:lvl>
    <w:lvl w:ilvl="8">
      <w:start w:val="1"/>
      <w:numFmt w:val="decimal"/>
      <w:pStyle w:val="Headnorm30"/>
      <w:lvlText w:val="%1.%4.%7.%8.%9"/>
      <w:lvlJc w:val="left"/>
      <w:pPr>
        <w:tabs>
          <w:tab w:val="num" w:pos="2007"/>
        </w:tabs>
        <w:ind w:left="1418" w:hanging="851"/>
      </w:pPr>
      <w:rPr>
        <w:rFonts w:hint="default"/>
      </w:rPr>
    </w:lvl>
  </w:abstractNum>
  <w:abstractNum w:abstractNumId="4" w15:restartNumberingAfterBreak="0">
    <w:nsid w:val="47845F22"/>
    <w:multiLevelType w:val="hybridMultilevel"/>
    <w:tmpl w:val="D6F4D1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60210A0A"/>
    <w:multiLevelType w:val="hybridMultilevel"/>
    <w:tmpl w:val="A90EEF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52D3530"/>
    <w:multiLevelType w:val="hybridMultilevel"/>
    <w:tmpl w:val="6F0455EC"/>
    <w:lvl w:ilvl="0" w:tplc="C56EC026">
      <w:start w:val="1"/>
      <w:numFmt w:val="bullet"/>
      <w:lvlText w:val="●"/>
      <w:lvlJc w:val="left"/>
      <w:pPr>
        <w:tabs>
          <w:tab w:val="num" w:pos="720"/>
        </w:tabs>
        <w:ind w:left="720" w:hanging="360"/>
      </w:pPr>
      <w:rPr>
        <w:rFonts w:ascii="Verdana" w:hAnsi="Verdana" w:hint="default"/>
      </w:rPr>
    </w:lvl>
    <w:lvl w:ilvl="1" w:tplc="0C1E3354" w:tentative="1">
      <w:start w:val="1"/>
      <w:numFmt w:val="bullet"/>
      <w:lvlText w:val="●"/>
      <w:lvlJc w:val="left"/>
      <w:pPr>
        <w:tabs>
          <w:tab w:val="num" w:pos="1440"/>
        </w:tabs>
        <w:ind w:left="1440" w:hanging="360"/>
      </w:pPr>
      <w:rPr>
        <w:rFonts w:ascii="Verdana" w:hAnsi="Verdana" w:hint="default"/>
      </w:rPr>
    </w:lvl>
    <w:lvl w:ilvl="2" w:tplc="A9D03218" w:tentative="1">
      <w:start w:val="1"/>
      <w:numFmt w:val="bullet"/>
      <w:lvlText w:val="●"/>
      <w:lvlJc w:val="left"/>
      <w:pPr>
        <w:tabs>
          <w:tab w:val="num" w:pos="2160"/>
        </w:tabs>
        <w:ind w:left="2160" w:hanging="360"/>
      </w:pPr>
      <w:rPr>
        <w:rFonts w:ascii="Verdana" w:hAnsi="Verdana" w:hint="default"/>
      </w:rPr>
    </w:lvl>
    <w:lvl w:ilvl="3" w:tplc="2BD28B10" w:tentative="1">
      <w:start w:val="1"/>
      <w:numFmt w:val="bullet"/>
      <w:lvlText w:val="●"/>
      <w:lvlJc w:val="left"/>
      <w:pPr>
        <w:tabs>
          <w:tab w:val="num" w:pos="2880"/>
        </w:tabs>
        <w:ind w:left="2880" w:hanging="360"/>
      </w:pPr>
      <w:rPr>
        <w:rFonts w:ascii="Verdana" w:hAnsi="Verdana" w:hint="default"/>
      </w:rPr>
    </w:lvl>
    <w:lvl w:ilvl="4" w:tplc="6BB21170" w:tentative="1">
      <w:start w:val="1"/>
      <w:numFmt w:val="bullet"/>
      <w:lvlText w:val="●"/>
      <w:lvlJc w:val="left"/>
      <w:pPr>
        <w:tabs>
          <w:tab w:val="num" w:pos="3600"/>
        </w:tabs>
        <w:ind w:left="3600" w:hanging="360"/>
      </w:pPr>
      <w:rPr>
        <w:rFonts w:ascii="Verdana" w:hAnsi="Verdana" w:hint="default"/>
      </w:rPr>
    </w:lvl>
    <w:lvl w:ilvl="5" w:tplc="7122C338" w:tentative="1">
      <w:start w:val="1"/>
      <w:numFmt w:val="bullet"/>
      <w:lvlText w:val="●"/>
      <w:lvlJc w:val="left"/>
      <w:pPr>
        <w:tabs>
          <w:tab w:val="num" w:pos="4320"/>
        </w:tabs>
        <w:ind w:left="4320" w:hanging="360"/>
      </w:pPr>
      <w:rPr>
        <w:rFonts w:ascii="Verdana" w:hAnsi="Verdana" w:hint="default"/>
      </w:rPr>
    </w:lvl>
    <w:lvl w:ilvl="6" w:tplc="BBCAB8C6" w:tentative="1">
      <w:start w:val="1"/>
      <w:numFmt w:val="bullet"/>
      <w:lvlText w:val="●"/>
      <w:lvlJc w:val="left"/>
      <w:pPr>
        <w:tabs>
          <w:tab w:val="num" w:pos="5040"/>
        </w:tabs>
        <w:ind w:left="5040" w:hanging="360"/>
      </w:pPr>
      <w:rPr>
        <w:rFonts w:ascii="Verdana" w:hAnsi="Verdana" w:hint="default"/>
      </w:rPr>
    </w:lvl>
    <w:lvl w:ilvl="7" w:tplc="390288F0" w:tentative="1">
      <w:start w:val="1"/>
      <w:numFmt w:val="bullet"/>
      <w:lvlText w:val="●"/>
      <w:lvlJc w:val="left"/>
      <w:pPr>
        <w:tabs>
          <w:tab w:val="num" w:pos="5760"/>
        </w:tabs>
        <w:ind w:left="5760" w:hanging="360"/>
      </w:pPr>
      <w:rPr>
        <w:rFonts w:ascii="Verdana" w:hAnsi="Verdana" w:hint="default"/>
      </w:rPr>
    </w:lvl>
    <w:lvl w:ilvl="8" w:tplc="F9E2EE32"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69B0450E"/>
    <w:multiLevelType w:val="hybridMultilevel"/>
    <w:tmpl w:val="9D765692"/>
    <w:lvl w:ilvl="0" w:tplc="44643586">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8" w15:restartNumberingAfterBreak="0">
    <w:nsid w:val="69F36156"/>
    <w:multiLevelType w:val="hybridMultilevel"/>
    <w:tmpl w:val="E136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3"/>
  </w:num>
  <w:num w:numId="6">
    <w:abstractNumId w:val="3"/>
  </w:num>
  <w:num w:numId="7">
    <w:abstractNumId w:val="5"/>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D5"/>
    <w:rsid w:val="0000115D"/>
    <w:rsid w:val="000525A9"/>
    <w:rsid w:val="00063AC6"/>
    <w:rsid w:val="000676F4"/>
    <w:rsid w:val="0008137A"/>
    <w:rsid w:val="000E0305"/>
    <w:rsid w:val="00117809"/>
    <w:rsid w:val="00130D60"/>
    <w:rsid w:val="001654D5"/>
    <w:rsid w:val="001A1F43"/>
    <w:rsid w:val="001C288B"/>
    <w:rsid w:val="0022282A"/>
    <w:rsid w:val="002316FB"/>
    <w:rsid w:val="00254F4C"/>
    <w:rsid w:val="00261DD0"/>
    <w:rsid w:val="002A1719"/>
    <w:rsid w:val="002E1EEC"/>
    <w:rsid w:val="002E62F5"/>
    <w:rsid w:val="00301E99"/>
    <w:rsid w:val="00303C87"/>
    <w:rsid w:val="00312A32"/>
    <w:rsid w:val="0039444D"/>
    <w:rsid w:val="003A2A6F"/>
    <w:rsid w:val="003A2E8B"/>
    <w:rsid w:val="003A3ABE"/>
    <w:rsid w:val="003A4E94"/>
    <w:rsid w:val="003A5BF7"/>
    <w:rsid w:val="003C497B"/>
    <w:rsid w:val="003C6F73"/>
    <w:rsid w:val="00436257"/>
    <w:rsid w:val="00465D4B"/>
    <w:rsid w:val="004936AA"/>
    <w:rsid w:val="004D0318"/>
    <w:rsid w:val="004F03D1"/>
    <w:rsid w:val="004F5FBE"/>
    <w:rsid w:val="00510071"/>
    <w:rsid w:val="005A44BF"/>
    <w:rsid w:val="005D2DAB"/>
    <w:rsid w:val="005D387D"/>
    <w:rsid w:val="00617D6A"/>
    <w:rsid w:val="006574C3"/>
    <w:rsid w:val="00760566"/>
    <w:rsid w:val="0078116C"/>
    <w:rsid w:val="00787A1F"/>
    <w:rsid w:val="007F3FE6"/>
    <w:rsid w:val="00831961"/>
    <w:rsid w:val="00841715"/>
    <w:rsid w:val="008420D2"/>
    <w:rsid w:val="00843EFA"/>
    <w:rsid w:val="00855708"/>
    <w:rsid w:val="00892EFA"/>
    <w:rsid w:val="008C02A5"/>
    <w:rsid w:val="008D55D9"/>
    <w:rsid w:val="008D77ED"/>
    <w:rsid w:val="008F7663"/>
    <w:rsid w:val="009118FE"/>
    <w:rsid w:val="00916BE7"/>
    <w:rsid w:val="00935F84"/>
    <w:rsid w:val="009867B1"/>
    <w:rsid w:val="0099069F"/>
    <w:rsid w:val="009A1684"/>
    <w:rsid w:val="009A6028"/>
    <w:rsid w:val="009F4593"/>
    <w:rsid w:val="00A8224E"/>
    <w:rsid w:val="00A92BFC"/>
    <w:rsid w:val="00AB7A42"/>
    <w:rsid w:val="00B74B00"/>
    <w:rsid w:val="00B82157"/>
    <w:rsid w:val="00B86A2B"/>
    <w:rsid w:val="00BA2E6C"/>
    <w:rsid w:val="00BC1C61"/>
    <w:rsid w:val="00BF34DA"/>
    <w:rsid w:val="00C17C90"/>
    <w:rsid w:val="00C41710"/>
    <w:rsid w:val="00C6456A"/>
    <w:rsid w:val="00C73D47"/>
    <w:rsid w:val="00C7779E"/>
    <w:rsid w:val="00CA69F5"/>
    <w:rsid w:val="00CC7A77"/>
    <w:rsid w:val="00D16EA3"/>
    <w:rsid w:val="00D6233C"/>
    <w:rsid w:val="00DC52C5"/>
    <w:rsid w:val="00E11AD0"/>
    <w:rsid w:val="00E217EC"/>
    <w:rsid w:val="00EA21F5"/>
    <w:rsid w:val="00EB1B12"/>
    <w:rsid w:val="00EB75AC"/>
    <w:rsid w:val="00ED1FFA"/>
    <w:rsid w:val="00ED60BA"/>
    <w:rsid w:val="00F02DA8"/>
    <w:rsid w:val="00F324EE"/>
    <w:rsid w:val="00F344AE"/>
    <w:rsid w:val="00F41C8B"/>
    <w:rsid w:val="00F55BEC"/>
    <w:rsid w:val="00F7169D"/>
    <w:rsid w:val="00F735BA"/>
    <w:rsid w:val="00F95E1D"/>
    <w:rsid w:val="00F960CD"/>
    <w:rsid w:val="00FA4004"/>
    <w:rsid w:val="00FA7A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83BC"/>
  <w15:chartTrackingRefBased/>
  <w15:docId w15:val="{4AFBE45F-A71F-49C0-BF3F-E9F86694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B0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Headnorm1"/>
    <w:link w:val="Heading1Char"/>
    <w:uiPriority w:val="99"/>
    <w:qFormat/>
    <w:rsid w:val="001A1F43"/>
    <w:pPr>
      <w:keepNext/>
      <w:numPr>
        <w:numId w:val="5"/>
      </w:numPr>
      <w:spacing w:before="240" w:after="120"/>
      <w:jc w:val="left"/>
      <w:outlineLvl w:val="0"/>
    </w:pPr>
    <w:rPr>
      <w:rFonts w:ascii="Arial" w:hAnsi="Arial" w:cs="Arial"/>
      <w:b/>
      <w:bCs/>
      <w:kern w:val="32"/>
      <w:sz w:val="28"/>
      <w:szCs w:val="28"/>
    </w:rPr>
  </w:style>
  <w:style w:type="paragraph" w:styleId="Heading2">
    <w:name w:val="heading 2"/>
    <w:basedOn w:val="Heading1"/>
    <w:next w:val="Headnorm2"/>
    <w:link w:val="Heading2Char"/>
    <w:uiPriority w:val="99"/>
    <w:qFormat/>
    <w:rsid w:val="001A1F43"/>
    <w:pPr>
      <w:numPr>
        <w:ilvl w:val="3"/>
      </w:numPr>
      <w:outlineLvl w:val="1"/>
    </w:pPr>
    <w:rPr>
      <w:b w:val="0"/>
      <w:bCs w:val="0"/>
    </w:rPr>
  </w:style>
  <w:style w:type="paragraph" w:styleId="Heading3">
    <w:name w:val="heading 3"/>
    <w:basedOn w:val="Heading2"/>
    <w:next w:val="Headnorm3"/>
    <w:link w:val="Heading3Char"/>
    <w:uiPriority w:val="99"/>
    <w:qFormat/>
    <w:rsid w:val="001A1F43"/>
    <w:pPr>
      <w:numPr>
        <w:ilvl w:val="6"/>
      </w:num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B00"/>
    <w:pPr>
      <w:tabs>
        <w:tab w:val="center" w:pos="4153"/>
        <w:tab w:val="right" w:pos="8306"/>
      </w:tabs>
    </w:pPr>
  </w:style>
  <w:style w:type="character" w:customStyle="1" w:styleId="HeaderChar">
    <w:name w:val="Header Char"/>
    <w:basedOn w:val="DefaultParagraphFont"/>
    <w:link w:val="Header"/>
    <w:uiPriority w:val="99"/>
    <w:rsid w:val="00B74B00"/>
    <w:rPr>
      <w:rFonts w:ascii="Times New Roman" w:eastAsia="Times New Roman" w:hAnsi="Times New Roman" w:cs="Times New Roman"/>
      <w:sz w:val="24"/>
      <w:szCs w:val="20"/>
    </w:rPr>
  </w:style>
  <w:style w:type="paragraph" w:styleId="Footer">
    <w:name w:val="footer"/>
    <w:basedOn w:val="Normal"/>
    <w:link w:val="FooterChar"/>
    <w:semiHidden/>
    <w:rsid w:val="00B74B00"/>
    <w:pPr>
      <w:tabs>
        <w:tab w:val="center" w:pos="4153"/>
        <w:tab w:val="right" w:pos="8306"/>
      </w:tabs>
    </w:pPr>
  </w:style>
  <w:style w:type="character" w:customStyle="1" w:styleId="FooterChar">
    <w:name w:val="Footer Char"/>
    <w:basedOn w:val="DefaultParagraphFont"/>
    <w:link w:val="Footer"/>
    <w:semiHidden/>
    <w:rsid w:val="00B74B00"/>
    <w:rPr>
      <w:rFonts w:ascii="Times New Roman" w:eastAsia="Times New Roman" w:hAnsi="Times New Roman" w:cs="Times New Roman"/>
      <w:sz w:val="24"/>
      <w:szCs w:val="20"/>
    </w:rPr>
  </w:style>
  <w:style w:type="character" w:styleId="PageNumber">
    <w:name w:val="page number"/>
    <w:basedOn w:val="DefaultParagraphFont"/>
    <w:semiHidden/>
    <w:rsid w:val="00B74B00"/>
  </w:style>
  <w:style w:type="table" w:styleId="TableGrid">
    <w:name w:val="Table Grid"/>
    <w:basedOn w:val="TableNormal"/>
    <w:uiPriority w:val="39"/>
    <w:rsid w:val="00B7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C90"/>
    <w:pPr>
      <w:ind w:left="720"/>
      <w:contextualSpacing/>
    </w:pPr>
  </w:style>
  <w:style w:type="paragraph" w:styleId="BalloonText">
    <w:name w:val="Balloon Text"/>
    <w:basedOn w:val="Normal"/>
    <w:link w:val="BalloonTextChar"/>
    <w:uiPriority w:val="99"/>
    <w:semiHidden/>
    <w:unhideWhenUsed/>
    <w:rsid w:val="00986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B1"/>
    <w:rPr>
      <w:rFonts w:ascii="Segoe UI" w:eastAsia="Times New Roman" w:hAnsi="Segoe UI" w:cs="Segoe UI"/>
      <w:sz w:val="18"/>
      <w:szCs w:val="18"/>
    </w:rPr>
  </w:style>
  <w:style w:type="paragraph" w:customStyle="1" w:styleId="Default">
    <w:name w:val="Default"/>
    <w:basedOn w:val="Normal"/>
    <w:rsid w:val="009118FE"/>
    <w:pPr>
      <w:autoSpaceDE w:val="0"/>
      <w:autoSpaceDN w:val="0"/>
      <w:jc w:val="left"/>
    </w:pPr>
    <w:rPr>
      <w:rFonts w:eastAsia="Calibri"/>
      <w:color w:val="000000"/>
      <w:szCs w:val="24"/>
      <w:lang w:eastAsia="lt-LT"/>
    </w:rPr>
  </w:style>
  <w:style w:type="character" w:customStyle="1" w:styleId="Heading1Char">
    <w:name w:val="Heading 1 Char"/>
    <w:basedOn w:val="DefaultParagraphFont"/>
    <w:link w:val="Heading1"/>
    <w:uiPriority w:val="99"/>
    <w:rsid w:val="001A1F43"/>
    <w:rPr>
      <w:rFonts w:ascii="Arial" w:eastAsia="Times New Roman" w:hAnsi="Arial" w:cs="Arial"/>
      <w:b/>
      <w:bCs/>
      <w:kern w:val="32"/>
      <w:sz w:val="28"/>
      <w:szCs w:val="28"/>
    </w:rPr>
  </w:style>
  <w:style w:type="character" w:customStyle="1" w:styleId="Heading2Char">
    <w:name w:val="Heading 2 Char"/>
    <w:basedOn w:val="DefaultParagraphFont"/>
    <w:link w:val="Heading2"/>
    <w:uiPriority w:val="99"/>
    <w:rsid w:val="001A1F43"/>
    <w:rPr>
      <w:rFonts w:ascii="Arial" w:eastAsia="Times New Roman" w:hAnsi="Arial" w:cs="Arial"/>
      <w:kern w:val="32"/>
      <w:sz w:val="28"/>
      <w:szCs w:val="28"/>
    </w:rPr>
  </w:style>
  <w:style w:type="character" w:customStyle="1" w:styleId="Heading3Char">
    <w:name w:val="Heading 3 Char"/>
    <w:basedOn w:val="DefaultParagraphFont"/>
    <w:link w:val="Heading3"/>
    <w:uiPriority w:val="99"/>
    <w:rsid w:val="001A1F43"/>
    <w:rPr>
      <w:rFonts w:ascii="Arial" w:eastAsia="Times New Roman" w:hAnsi="Arial" w:cs="Arial"/>
      <w:b/>
      <w:bCs/>
      <w:kern w:val="32"/>
      <w:sz w:val="24"/>
      <w:szCs w:val="24"/>
    </w:rPr>
  </w:style>
  <w:style w:type="paragraph" w:customStyle="1" w:styleId="Headnorm1">
    <w:name w:val="Headnorm1"/>
    <w:basedOn w:val="Heading1"/>
    <w:uiPriority w:val="99"/>
    <w:rsid w:val="001A1F43"/>
    <w:pPr>
      <w:numPr>
        <w:ilvl w:val="1"/>
      </w:numPr>
      <w:spacing w:before="60" w:after="60"/>
      <w:jc w:val="both"/>
      <w:outlineLvl w:val="1"/>
    </w:pPr>
    <w:rPr>
      <w:b w:val="0"/>
      <w:bCs w:val="0"/>
      <w:sz w:val="20"/>
      <w:szCs w:val="20"/>
    </w:rPr>
  </w:style>
  <w:style w:type="paragraph" w:customStyle="1" w:styleId="Headnorm2">
    <w:name w:val="Headnorm2"/>
    <w:basedOn w:val="Heading2"/>
    <w:uiPriority w:val="99"/>
    <w:rsid w:val="001A1F43"/>
    <w:pPr>
      <w:numPr>
        <w:ilvl w:val="4"/>
      </w:numPr>
      <w:spacing w:before="60" w:after="60"/>
      <w:outlineLvl w:val="2"/>
    </w:pPr>
    <w:rPr>
      <w:sz w:val="20"/>
      <w:szCs w:val="20"/>
    </w:rPr>
  </w:style>
  <w:style w:type="paragraph" w:customStyle="1" w:styleId="Headnorm3">
    <w:name w:val="Headnorm3"/>
    <w:basedOn w:val="Heading3"/>
    <w:uiPriority w:val="99"/>
    <w:rsid w:val="001A1F43"/>
    <w:pPr>
      <w:keepNext w:val="0"/>
      <w:numPr>
        <w:ilvl w:val="7"/>
      </w:numPr>
      <w:tabs>
        <w:tab w:val="left" w:pos="851"/>
      </w:tabs>
      <w:spacing w:before="60" w:after="60"/>
      <w:jc w:val="both"/>
      <w:outlineLvl w:val="3"/>
    </w:pPr>
    <w:rPr>
      <w:b w:val="0"/>
      <w:bCs w:val="0"/>
      <w:sz w:val="20"/>
      <w:szCs w:val="20"/>
    </w:rPr>
  </w:style>
  <w:style w:type="paragraph" w:customStyle="1" w:styleId="Headnorm10">
    <w:name w:val="Headnorm1_"/>
    <w:basedOn w:val="Headnorm1"/>
    <w:uiPriority w:val="99"/>
    <w:rsid w:val="001A1F43"/>
    <w:pPr>
      <w:numPr>
        <w:ilvl w:val="2"/>
      </w:numPr>
      <w:tabs>
        <w:tab w:val="left" w:pos="1134"/>
      </w:tabs>
      <w:spacing w:before="0" w:after="0"/>
      <w:outlineLvl w:val="2"/>
    </w:pPr>
  </w:style>
  <w:style w:type="paragraph" w:customStyle="1" w:styleId="Headnorm20">
    <w:name w:val="Headnorm2_"/>
    <w:basedOn w:val="Headnorm2"/>
    <w:next w:val="Headnorm2"/>
    <w:uiPriority w:val="99"/>
    <w:rsid w:val="001A1F43"/>
    <w:pPr>
      <w:numPr>
        <w:ilvl w:val="5"/>
      </w:numPr>
      <w:tabs>
        <w:tab w:val="left" w:pos="1418"/>
      </w:tabs>
      <w:spacing w:before="0" w:after="0"/>
      <w:outlineLvl w:val="3"/>
    </w:pPr>
  </w:style>
  <w:style w:type="paragraph" w:customStyle="1" w:styleId="Headnorm30">
    <w:name w:val="Headnorm3_"/>
    <w:basedOn w:val="Headnorm3"/>
    <w:uiPriority w:val="99"/>
    <w:rsid w:val="001A1F43"/>
    <w:pPr>
      <w:numPr>
        <w:ilvl w:val="8"/>
      </w:numPr>
      <w:tabs>
        <w:tab w:val="clear" w:pos="851"/>
        <w:tab w:val="left" w:pos="1418"/>
      </w:tabs>
      <w:spacing w:before="0" w:after="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1184">
      <w:bodyDiv w:val="1"/>
      <w:marLeft w:val="0"/>
      <w:marRight w:val="0"/>
      <w:marTop w:val="0"/>
      <w:marBottom w:val="0"/>
      <w:divBdr>
        <w:top w:val="none" w:sz="0" w:space="0" w:color="auto"/>
        <w:left w:val="none" w:sz="0" w:space="0" w:color="auto"/>
        <w:bottom w:val="none" w:sz="0" w:space="0" w:color="auto"/>
        <w:right w:val="none" w:sz="0" w:space="0" w:color="auto"/>
      </w:divBdr>
      <w:divsChild>
        <w:div w:id="1888447609">
          <w:marLeft w:val="0"/>
          <w:marRight w:val="0"/>
          <w:marTop w:val="0"/>
          <w:marBottom w:val="0"/>
          <w:divBdr>
            <w:top w:val="none" w:sz="0" w:space="0" w:color="auto"/>
            <w:left w:val="none" w:sz="0" w:space="0" w:color="auto"/>
            <w:bottom w:val="none" w:sz="0" w:space="0" w:color="auto"/>
            <w:right w:val="none" w:sz="0" w:space="0" w:color="auto"/>
          </w:divBdr>
        </w:div>
        <w:div w:id="2099978314">
          <w:marLeft w:val="0"/>
          <w:marRight w:val="0"/>
          <w:marTop w:val="0"/>
          <w:marBottom w:val="0"/>
          <w:divBdr>
            <w:top w:val="none" w:sz="0" w:space="0" w:color="auto"/>
            <w:left w:val="none" w:sz="0" w:space="0" w:color="auto"/>
            <w:bottom w:val="none" w:sz="0" w:space="0" w:color="auto"/>
            <w:right w:val="none" w:sz="0" w:space="0" w:color="auto"/>
          </w:divBdr>
        </w:div>
        <w:div w:id="1059749130">
          <w:marLeft w:val="0"/>
          <w:marRight w:val="0"/>
          <w:marTop w:val="0"/>
          <w:marBottom w:val="0"/>
          <w:divBdr>
            <w:top w:val="none" w:sz="0" w:space="0" w:color="auto"/>
            <w:left w:val="none" w:sz="0" w:space="0" w:color="auto"/>
            <w:bottom w:val="none" w:sz="0" w:space="0" w:color="auto"/>
            <w:right w:val="none" w:sz="0" w:space="0" w:color="auto"/>
          </w:divBdr>
        </w:div>
        <w:div w:id="507717046">
          <w:marLeft w:val="0"/>
          <w:marRight w:val="0"/>
          <w:marTop w:val="0"/>
          <w:marBottom w:val="0"/>
          <w:divBdr>
            <w:top w:val="none" w:sz="0" w:space="0" w:color="auto"/>
            <w:left w:val="none" w:sz="0" w:space="0" w:color="auto"/>
            <w:bottom w:val="none" w:sz="0" w:space="0" w:color="auto"/>
            <w:right w:val="none" w:sz="0" w:space="0" w:color="auto"/>
          </w:divBdr>
        </w:div>
        <w:div w:id="1061173768">
          <w:marLeft w:val="0"/>
          <w:marRight w:val="0"/>
          <w:marTop w:val="0"/>
          <w:marBottom w:val="0"/>
          <w:divBdr>
            <w:top w:val="none" w:sz="0" w:space="0" w:color="auto"/>
            <w:left w:val="none" w:sz="0" w:space="0" w:color="auto"/>
            <w:bottom w:val="none" w:sz="0" w:space="0" w:color="auto"/>
            <w:right w:val="none" w:sz="0" w:space="0" w:color="auto"/>
          </w:divBdr>
        </w:div>
        <w:div w:id="1500851496">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62433484">
          <w:marLeft w:val="0"/>
          <w:marRight w:val="0"/>
          <w:marTop w:val="0"/>
          <w:marBottom w:val="0"/>
          <w:divBdr>
            <w:top w:val="none" w:sz="0" w:space="0" w:color="auto"/>
            <w:left w:val="none" w:sz="0" w:space="0" w:color="auto"/>
            <w:bottom w:val="none" w:sz="0" w:space="0" w:color="auto"/>
            <w:right w:val="none" w:sz="0" w:space="0" w:color="auto"/>
          </w:divBdr>
        </w:div>
      </w:divsChild>
    </w:div>
    <w:div w:id="168743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6951</Words>
  <Characters>3963</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Danilkeviciute Alma</dc:creator>
  <cp:keywords/>
  <dc:description/>
  <cp:lastModifiedBy>Bendras Naudotojas</cp:lastModifiedBy>
  <cp:revision>6</cp:revision>
  <cp:lastPrinted>2018-04-19T09:03:00Z</cp:lastPrinted>
  <dcterms:created xsi:type="dcterms:W3CDTF">2020-05-15T14:14:00Z</dcterms:created>
  <dcterms:modified xsi:type="dcterms:W3CDTF">2020-05-18T13:10:00Z</dcterms:modified>
</cp:coreProperties>
</file>