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97F2" w14:textId="77777777" w:rsidR="005B2AEF" w:rsidRPr="00154EF4" w:rsidRDefault="005B2AEF" w:rsidP="005B2AEF">
      <w:pPr>
        <w:pStyle w:val="Betarp"/>
        <w:jc w:val="center"/>
        <w:rPr>
          <w:b/>
        </w:rPr>
      </w:pPr>
      <w:r w:rsidRPr="00154EF4">
        <w:rPr>
          <w:b/>
        </w:rPr>
        <w:t>LIETUVOS RESPUBLIKOS ŽEMĖS ŪKIO MINISTERIJA</w:t>
      </w:r>
    </w:p>
    <w:p w14:paraId="0F4797F3" w14:textId="77777777" w:rsidR="005B2AEF" w:rsidRPr="00154EF4" w:rsidRDefault="005B2AEF" w:rsidP="005B2AEF">
      <w:pPr>
        <w:pStyle w:val="Betarp"/>
        <w:jc w:val="center"/>
        <w:rPr>
          <w:b/>
        </w:rPr>
      </w:pPr>
    </w:p>
    <w:p w14:paraId="0F4797F4" w14:textId="77777777" w:rsidR="005B2AEF" w:rsidRPr="00154EF4" w:rsidRDefault="002E310C" w:rsidP="005B2AEF">
      <w:pPr>
        <w:pStyle w:val="Betarp"/>
        <w:jc w:val="center"/>
        <w:rPr>
          <w:b/>
        </w:rPr>
      </w:pPr>
      <w:r w:rsidRPr="00154EF4">
        <w:rPr>
          <w:b/>
        </w:rPr>
        <w:t>PAŽYMA</w:t>
      </w:r>
    </w:p>
    <w:p w14:paraId="0F4797F5" w14:textId="77777777" w:rsidR="005B2AEF" w:rsidRPr="00154EF4" w:rsidRDefault="005B2AEF" w:rsidP="005B2AEF">
      <w:pPr>
        <w:pStyle w:val="Betarp"/>
        <w:jc w:val="center"/>
        <w:rPr>
          <w:b/>
        </w:rPr>
      </w:pPr>
      <w:r w:rsidRPr="00154EF4">
        <w:rPr>
          <w:b/>
        </w:rPr>
        <w:t xml:space="preserve">APIE </w:t>
      </w:r>
      <w:r w:rsidR="0034703C" w:rsidRPr="00154EF4">
        <w:rPr>
          <w:b/>
        </w:rPr>
        <w:t>LIETUVOS ŽUVININKYSTĖS SEKTORIAUS</w:t>
      </w:r>
      <w:r w:rsidR="00A2086E" w:rsidRPr="00154EF4">
        <w:rPr>
          <w:b/>
        </w:rPr>
        <w:t xml:space="preserve"> 2014–2020 METŲ</w:t>
      </w:r>
      <w:r w:rsidR="00DC3AC9" w:rsidRPr="00154EF4">
        <w:rPr>
          <w:b/>
        </w:rPr>
        <w:t xml:space="preserve"> </w:t>
      </w:r>
      <w:r w:rsidR="005C102F" w:rsidRPr="00154EF4">
        <w:rPr>
          <w:b/>
        </w:rPr>
        <w:t>VEIKSMŲ PROGRAM</w:t>
      </w:r>
      <w:r w:rsidR="001356FC" w:rsidRPr="00154EF4">
        <w:rPr>
          <w:b/>
        </w:rPr>
        <w:t>OS</w:t>
      </w:r>
      <w:r w:rsidR="0034703C" w:rsidRPr="00154EF4">
        <w:rPr>
          <w:b/>
        </w:rPr>
        <w:t xml:space="preserve"> ĮGYVENDINIMĄ</w:t>
      </w:r>
      <w:r w:rsidR="00F74D3D" w:rsidRPr="00154EF4">
        <w:rPr>
          <w:b/>
        </w:rPr>
        <w:t xml:space="preserve"> IKI</w:t>
      </w:r>
      <w:r w:rsidRPr="00154EF4">
        <w:rPr>
          <w:b/>
        </w:rPr>
        <w:t xml:space="preserve"> 201</w:t>
      </w:r>
      <w:r w:rsidR="00426D30">
        <w:rPr>
          <w:b/>
        </w:rPr>
        <w:t>8</w:t>
      </w:r>
      <w:r w:rsidRPr="00154EF4">
        <w:rPr>
          <w:b/>
        </w:rPr>
        <w:t xml:space="preserve"> M.</w:t>
      </w:r>
      <w:r w:rsidR="009E78D8" w:rsidRPr="00154EF4">
        <w:rPr>
          <w:b/>
        </w:rPr>
        <w:t xml:space="preserve"> </w:t>
      </w:r>
      <w:r w:rsidR="00426D30">
        <w:rPr>
          <w:b/>
        </w:rPr>
        <w:t>I</w:t>
      </w:r>
      <w:r w:rsidR="00F74D3D" w:rsidRPr="00154EF4">
        <w:rPr>
          <w:b/>
        </w:rPr>
        <w:t xml:space="preserve"> KETVIRČIO</w:t>
      </w:r>
    </w:p>
    <w:p w14:paraId="0F4797F6" w14:textId="77777777" w:rsidR="00582A36" w:rsidRPr="00154EF4" w:rsidRDefault="00582A36" w:rsidP="005B2AEF">
      <w:pPr>
        <w:pStyle w:val="Betarp"/>
        <w:jc w:val="center"/>
        <w:rPr>
          <w:b/>
        </w:rPr>
      </w:pPr>
    </w:p>
    <w:p w14:paraId="0F4797F7" w14:textId="0DE88D0C" w:rsidR="005B2AEF" w:rsidRPr="00154EF4" w:rsidRDefault="005B2AEF" w:rsidP="005B2AEF">
      <w:pPr>
        <w:pStyle w:val="Betarp"/>
        <w:jc w:val="center"/>
        <w:rPr>
          <w:b/>
        </w:rPr>
      </w:pPr>
      <w:r w:rsidRPr="00154EF4">
        <w:rPr>
          <w:b/>
        </w:rPr>
        <w:t>201</w:t>
      </w:r>
      <w:r w:rsidR="00900B44">
        <w:rPr>
          <w:b/>
        </w:rPr>
        <w:t>8</w:t>
      </w:r>
      <w:r w:rsidRPr="00154EF4">
        <w:rPr>
          <w:b/>
        </w:rPr>
        <w:t>-</w:t>
      </w:r>
      <w:r w:rsidR="00426D30">
        <w:rPr>
          <w:b/>
        </w:rPr>
        <w:t>0</w:t>
      </w:r>
      <w:r w:rsidR="008617D4">
        <w:rPr>
          <w:b/>
        </w:rPr>
        <w:t>7-30</w:t>
      </w:r>
    </w:p>
    <w:p w14:paraId="0F4797F8" w14:textId="77777777" w:rsidR="006E173C" w:rsidRPr="00154EF4" w:rsidRDefault="006E173C" w:rsidP="005B2AEF">
      <w:pPr>
        <w:pStyle w:val="Betarp"/>
        <w:jc w:val="center"/>
      </w:pPr>
      <w:r w:rsidRPr="00154EF4">
        <w:t xml:space="preserve">Vilnius </w:t>
      </w:r>
    </w:p>
    <w:p w14:paraId="0F4797F9" w14:textId="77777777" w:rsidR="0034703C" w:rsidRPr="00154EF4" w:rsidRDefault="0034703C" w:rsidP="005B2AEF">
      <w:pPr>
        <w:pStyle w:val="Betarp"/>
        <w:jc w:val="both"/>
        <w:rPr>
          <w:b/>
        </w:rPr>
      </w:pPr>
    </w:p>
    <w:p w14:paraId="0F4797FA" w14:textId="77777777" w:rsidR="000B697C" w:rsidRPr="00154EF4" w:rsidRDefault="000B697C" w:rsidP="00F01B73">
      <w:pPr>
        <w:spacing w:line="360" w:lineRule="auto"/>
        <w:rPr>
          <w:rFonts w:eastAsia="Times New Roman"/>
          <w:b/>
        </w:rPr>
      </w:pPr>
    </w:p>
    <w:p w14:paraId="0F4797FB" w14:textId="77777777" w:rsidR="000B697C" w:rsidRPr="00154EF4" w:rsidRDefault="000B697C" w:rsidP="000B697C">
      <w:pPr>
        <w:pStyle w:val="Betarp"/>
        <w:jc w:val="center"/>
        <w:rPr>
          <w:b/>
        </w:rPr>
      </w:pPr>
      <w:r w:rsidRPr="00154EF4">
        <w:rPr>
          <w:b/>
        </w:rPr>
        <w:t>LIETUVOS ŽUVININKYSTĖS SEKTORIAUS 2014–2020 MET</w:t>
      </w:r>
      <w:r w:rsidR="007A1FFB" w:rsidRPr="00154EF4">
        <w:rPr>
          <w:b/>
        </w:rPr>
        <w:t>Ų VEIKSMŲ PROGRAMOS (TOLIAU – VEIKSMŲ PROGRAMA) ĮGYVENDINIMO BŪKLĖ</w:t>
      </w:r>
      <w:r w:rsidR="004F602C" w:rsidRPr="00154EF4">
        <w:rPr>
          <w:rStyle w:val="Puslapioinaosnuoroda"/>
          <w:b/>
        </w:rPr>
        <w:footnoteReference w:id="1"/>
      </w:r>
      <w:r w:rsidR="007A1FFB" w:rsidRPr="00154EF4">
        <w:rPr>
          <w:b/>
        </w:rPr>
        <w:t xml:space="preserve"> </w:t>
      </w:r>
    </w:p>
    <w:p w14:paraId="0F4797FC" w14:textId="77777777" w:rsidR="007A1FFB" w:rsidRPr="00154EF4" w:rsidRDefault="007A1FFB" w:rsidP="000B697C">
      <w:pPr>
        <w:pStyle w:val="Betarp"/>
        <w:jc w:val="center"/>
        <w:rPr>
          <w:b/>
        </w:rPr>
      </w:pPr>
    </w:p>
    <w:p w14:paraId="0F4797FD" w14:textId="77777777" w:rsidR="00974AC2" w:rsidRPr="00154EF4" w:rsidRDefault="00974AC2" w:rsidP="007A1FFB">
      <w:pPr>
        <w:spacing w:line="360" w:lineRule="auto"/>
        <w:ind w:firstLine="720"/>
        <w:jc w:val="both"/>
        <w:rPr>
          <w:rFonts w:eastAsia="Times New Roman"/>
          <w:b/>
        </w:rPr>
      </w:pPr>
      <w:r w:rsidRPr="00154EF4">
        <w:rPr>
          <w:rFonts w:eastAsia="Times New Roman"/>
          <w:b/>
        </w:rPr>
        <w:t xml:space="preserve">1. Bendra informacija apie Veiksmų programos įgyvendinimą </w:t>
      </w:r>
    </w:p>
    <w:p w14:paraId="0F4797FE" w14:textId="6387C010" w:rsidR="000B697C" w:rsidRPr="00154EF4" w:rsidRDefault="007A1FFB" w:rsidP="007A1FFB">
      <w:pPr>
        <w:spacing w:line="360" w:lineRule="auto"/>
        <w:ind w:firstLine="720"/>
        <w:jc w:val="both"/>
        <w:rPr>
          <w:rFonts w:eastAsia="Times New Roman"/>
        </w:rPr>
      </w:pPr>
      <w:r w:rsidRPr="00154EF4">
        <w:rPr>
          <w:rFonts w:eastAsia="Times New Roman"/>
        </w:rPr>
        <w:t>Nuo programo</w:t>
      </w:r>
      <w:r w:rsidR="00426D30">
        <w:rPr>
          <w:rFonts w:eastAsia="Times New Roman"/>
        </w:rPr>
        <w:t>s įgyvendinimo pradžios iki 2018</w:t>
      </w:r>
      <w:r w:rsidR="00900B44">
        <w:rPr>
          <w:rFonts w:eastAsia="Times New Roman"/>
        </w:rPr>
        <w:t xml:space="preserve"> m. </w:t>
      </w:r>
      <w:r w:rsidR="004865D9">
        <w:rPr>
          <w:rFonts w:eastAsia="Times New Roman"/>
        </w:rPr>
        <w:t>birželio</w:t>
      </w:r>
      <w:r w:rsidR="00217B89" w:rsidRPr="00154EF4">
        <w:rPr>
          <w:rFonts w:eastAsia="Times New Roman"/>
        </w:rPr>
        <w:t xml:space="preserve"> 3</w:t>
      </w:r>
      <w:r w:rsidR="004865D9">
        <w:rPr>
          <w:rFonts w:eastAsia="Times New Roman"/>
        </w:rPr>
        <w:t>0</w:t>
      </w:r>
      <w:r w:rsidR="00754F91" w:rsidRPr="00154EF4">
        <w:rPr>
          <w:rFonts w:eastAsia="Times New Roman"/>
        </w:rPr>
        <w:t xml:space="preserve"> d. iš viso gaut</w:t>
      </w:r>
      <w:r w:rsidR="004865D9">
        <w:rPr>
          <w:rFonts w:eastAsia="Times New Roman"/>
        </w:rPr>
        <w:t>a</w:t>
      </w:r>
      <w:r w:rsidR="00C35EA7" w:rsidRPr="00154EF4">
        <w:rPr>
          <w:rFonts w:eastAsia="Times New Roman"/>
        </w:rPr>
        <w:t xml:space="preserve"> </w:t>
      </w:r>
      <w:r w:rsidR="00426D30">
        <w:rPr>
          <w:rFonts w:eastAsia="Times New Roman"/>
        </w:rPr>
        <w:t>2</w:t>
      </w:r>
      <w:r w:rsidR="004865D9">
        <w:rPr>
          <w:rFonts w:eastAsia="Times New Roman"/>
        </w:rPr>
        <w:t>70</w:t>
      </w:r>
      <w:r w:rsidRPr="00154EF4">
        <w:rPr>
          <w:rFonts w:eastAsia="Times New Roman"/>
        </w:rPr>
        <w:t xml:space="preserve"> </w:t>
      </w:r>
      <w:r w:rsidR="0039509D" w:rsidRPr="00154EF4">
        <w:rPr>
          <w:rFonts w:eastAsia="Times New Roman"/>
        </w:rPr>
        <w:t xml:space="preserve">paramos </w:t>
      </w:r>
      <w:r w:rsidRPr="00154EF4">
        <w:rPr>
          <w:rFonts w:eastAsia="Times New Roman"/>
        </w:rPr>
        <w:t>paraišk</w:t>
      </w:r>
      <w:r w:rsidR="004865D9">
        <w:rPr>
          <w:rFonts w:eastAsia="Times New Roman"/>
        </w:rPr>
        <w:t xml:space="preserve">ų, kuriose prašoma paramos </w:t>
      </w:r>
      <w:r w:rsidR="00B603B3">
        <w:rPr>
          <w:rFonts w:eastAsia="Times New Roman"/>
        </w:rPr>
        <w:t xml:space="preserve"> </w:t>
      </w:r>
      <w:r w:rsidR="002C64E6" w:rsidRPr="00154EF4">
        <w:rPr>
          <w:rFonts w:eastAsia="Times New Roman"/>
        </w:rPr>
        <w:t>suma</w:t>
      </w:r>
      <w:r w:rsidR="002C64E6">
        <w:rPr>
          <w:rFonts w:eastAsia="Times New Roman"/>
        </w:rPr>
        <w:t xml:space="preserve"> –</w:t>
      </w:r>
      <w:r w:rsidR="004865D9">
        <w:rPr>
          <w:rFonts w:eastAsia="Times New Roman"/>
        </w:rPr>
        <w:t>5</w:t>
      </w:r>
      <w:r w:rsidR="00FA10C2">
        <w:rPr>
          <w:rFonts w:eastAsia="Times New Roman"/>
        </w:rPr>
        <w:t>3,4</w:t>
      </w:r>
      <w:r w:rsidR="004865D9">
        <w:rPr>
          <w:rFonts w:eastAsia="Times New Roman"/>
        </w:rPr>
        <w:t>5</w:t>
      </w:r>
      <w:r w:rsidR="00FA10C2">
        <w:rPr>
          <w:rFonts w:eastAsia="Times New Roman"/>
        </w:rPr>
        <w:t xml:space="preserve"> </w:t>
      </w:r>
      <w:r w:rsidRPr="00154EF4">
        <w:rPr>
          <w:rFonts w:eastAsia="Times New Roman"/>
        </w:rPr>
        <w:t>mln. Eur</w:t>
      </w:r>
      <w:r w:rsidR="006B27AE" w:rsidRPr="00154EF4">
        <w:rPr>
          <w:rFonts w:eastAsia="Times New Roman"/>
        </w:rPr>
        <w:t>.</w:t>
      </w:r>
      <w:r w:rsidR="00C75E40" w:rsidRPr="00154EF4">
        <w:rPr>
          <w:rFonts w:eastAsia="Times New Roman"/>
        </w:rPr>
        <w:t xml:space="preserve"> Iš jų</w:t>
      </w:r>
      <w:r w:rsidR="00754F91" w:rsidRPr="00154EF4">
        <w:rPr>
          <w:rFonts w:eastAsia="Times New Roman"/>
        </w:rPr>
        <w:t xml:space="preserve"> </w:t>
      </w:r>
      <w:r w:rsidR="004865D9">
        <w:rPr>
          <w:rFonts w:eastAsia="Times New Roman"/>
        </w:rPr>
        <w:t>6</w:t>
      </w:r>
      <w:r w:rsidR="00FA10C2">
        <w:rPr>
          <w:rFonts w:eastAsia="Times New Roman"/>
        </w:rPr>
        <w:t>1</w:t>
      </w:r>
      <w:r w:rsidR="0039509D" w:rsidRPr="00154EF4">
        <w:rPr>
          <w:rFonts w:eastAsia="Times New Roman"/>
        </w:rPr>
        <w:t xml:space="preserve"> paramos</w:t>
      </w:r>
      <w:r w:rsidR="006B27AE" w:rsidRPr="00154EF4">
        <w:rPr>
          <w:rFonts w:eastAsia="Times New Roman"/>
        </w:rPr>
        <w:t xml:space="preserve"> </w:t>
      </w:r>
      <w:r w:rsidR="00FA10C2">
        <w:rPr>
          <w:rFonts w:eastAsia="Times New Roman"/>
        </w:rPr>
        <w:t>paraišk</w:t>
      </w:r>
      <w:r w:rsidR="004865D9">
        <w:rPr>
          <w:rFonts w:eastAsia="Times New Roman"/>
        </w:rPr>
        <w:t>a</w:t>
      </w:r>
      <w:r w:rsidR="00CA04D9" w:rsidRPr="00154EF4">
        <w:rPr>
          <w:rFonts w:eastAsia="Times New Roman"/>
        </w:rPr>
        <w:t xml:space="preserve"> atmest</w:t>
      </w:r>
      <w:r w:rsidR="0085443E">
        <w:rPr>
          <w:rFonts w:eastAsia="Times New Roman"/>
        </w:rPr>
        <w:t>a</w:t>
      </w:r>
      <w:r w:rsidR="0039509D" w:rsidRPr="00154EF4">
        <w:rPr>
          <w:rFonts w:eastAsia="Times New Roman"/>
        </w:rPr>
        <w:t xml:space="preserve"> </w:t>
      </w:r>
      <w:r w:rsidR="002C64E6">
        <w:rPr>
          <w:rFonts w:eastAsia="Times New Roman"/>
        </w:rPr>
        <w:t xml:space="preserve"> ir (arba)</w:t>
      </w:r>
      <w:r w:rsidR="002C64E6" w:rsidRPr="00154EF4">
        <w:rPr>
          <w:rFonts w:eastAsia="Times New Roman"/>
        </w:rPr>
        <w:t xml:space="preserve"> išsiregistr</w:t>
      </w:r>
      <w:r w:rsidR="002C64E6">
        <w:rPr>
          <w:rFonts w:eastAsia="Times New Roman"/>
        </w:rPr>
        <w:t>uot</w:t>
      </w:r>
      <w:r w:rsidR="004865D9">
        <w:rPr>
          <w:rFonts w:eastAsia="Times New Roman"/>
        </w:rPr>
        <w:t>a</w:t>
      </w:r>
      <w:r w:rsidR="0085443E">
        <w:rPr>
          <w:rFonts w:eastAsia="Times New Roman"/>
        </w:rPr>
        <w:t xml:space="preserve"> </w:t>
      </w:r>
      <w:r w:rsidR="002C64E6" w:rsidRPr="00154EF4">
        <w:rPr>
          <w:rFonts w:eastAsia="Times New Roman"/>
        </w:rPr>
        <w:t xml:space="preserve"> </w:t>
      </w:r>
      <w:r w:rsidR="0085443E">
        <w:rPr>
          <w:rFonts w:eastAsia="Times New Roman"/>
        </w:rPr>
        <w:t>(</w:t>
      </w:r>
      <w:r w:rsidR="00CA04D9" w:rsidRPr="00154EF4">
        <w:rPr>
          <w:rFonts w:eastAsia="Times New Roman"/>
        </w:rPr>
        <w:t xml:space="preserve">prašoma paramos suma sudarė </w:t>
      </w:r>
      <w:r w:rsidR="004865D9">
        <w:rPr>
          <w:rFonts w:eastAsia="Times New Roman"/>
        </w:rPr>
        <w:t>11,9</w:t>
      </w:r>
      <w:r w:rsidR="0023742C" w:rsidRPr="00154EF4">
        <w:rPr>
          <w:rFonts w:eastAsia="Times New Roman"/>
        </w:rPr>
        <w:t xml:space="preserve"> mln. Eur</w:t>
      </w:r>
      <w:r w:rsidR="0085443E">
        <w:rPr>
          <w:rFonts w:eastAsia="Times New Roman"/>
        </w:rPr>
        <w:t>)</w:t>
      </w:r>
      <w:r w:rsidR="00C75E40" w:rsidRPr="00154EF4">
        <w:rPr>
          <w:rFonts w:eastAsia="Times New Roman"/>
        </w:rPr>
        <w:t xml:space="preserve">. </w:t>
      </w:r>
      <w:r w:rsidR="004865D9">
        <w:rPr>
          <w:rFonts w:eastAsia="Times New Roman"/>
        </w:rPr>
        <w:t>192</w:t>
      </w:r>
      <w:r w:rsidR="00F37FB3">
        <w:rPr>
          <w:rFonts w:eastAsia="Times New Roman"/>
        </w:rPr>
        <w:t xml:space="preserve"> paramos paraišk</w:t>
      </w:r>
      <w:r w:rsidR="004865D9">
        <w:rPr>
          <w:rFonts w:eastAsia="Times New Roman"/>
        </w:rPr>
        <w:t xml:space="preserve">ai </w:t>
      </w:r>
      <w:r w:rsidR="00F37FB3">
        <w:rPr>
          <w:rFonts w:eastAsia="Times New Roman"/>
        </w:rPr>
        <w:t xml:space="preserve">buvo skirta </w:t>
      </w:r>
      <w:r w:rsidR="004865D9">
        <w:rPr>
          <w:rFonts w:eastAsia="Times New Roman"/>
        </w:rPr>
        <w:t>37,78</w:t>
      </w:r>
      <w:r w:rsidR="00701D06" w:rsidRPr="00154EF4">
        <w:rPr>
          <w:rFonts w:eastAsia="Times New Roman"/>
        </w:rPr>
        <w:t xml:space="preserve"> m</w:t>
      </w:r>
      <w:r w:rsidR="006B0E8C" w:rsidRPr="00154EF4">
        <w:rPr>
          <w:rFonts w:eastAsia="Times New Roman"/>
        </w:rPr>
        <w:t xml:space="preserve">ln. Eur </w:t>
      </w:r>
      <w:r w:rsidR="00F37FB3" w:rsidRPr="00154EF4">
        <w:rPr>
          <w:rFonts w:eastAsia="Times New Roman"/>
        </w:rPr>
        <w:t>param</w:t>
      </w:r>
      <w:r w:rsidR="00F37FB3">
        <w:rPr>
          <w:rFonts w:eastAsia="Times New Roman"/>
        </w:rPr>
        <w:t xml:space="preserve">os </w:t>
      </w:r>
      <w:r w:rsidR="006B0E8C" w:rsidRPr="00154EF4">
        <w:rPr>
          <w:rFonts w:eastAsia="Times New Roman"/>
        </w:rPr>
        <w:t xml:space="preserve">(iš jų </w:t>
      </w:r>
      <w:r w:rsidR="00A6666E">
        <w:rPr>
          <w:rFonts w:eastAsia="Times New Roman"/>
        </w:rPr>
        <w:t>EJRŽF</w:t>
      </w:r>
      <w:r w:rsidR="006B0E8C" w:rsidRPr="00154EF4">
        <w:rPr>
          <w:rFonts w:eastAsia="Times New Roman"/>
        </w:rPr>
        <w:t xml:space="preserve"> lėšos sudaro </w:t>
      </w:r>
      <w:r w:rsidR="00A6666E">
        <w:rPr>
          <w:rFonts w:eastAsia="Times New Roman"/>
        </w:rPr>
        <w:t>33,11</w:t>
      </w:r>
      <w:r w:rsidR="00701D06" w:rsidRPr="00154EF4">
        <w:rPr>
          <w:rFonts w:eastAsia="Times New Roman"/>
        </w:rPr>
        <w:t xml:space="preserve"> mln. Eur</w:t>
      </w:r>
      <w:r w:rsidR="009C6520" w:rsidRPr="00154EF4">
        <w:rPr>
          <w:rFonts w:eastAsia="Times New Roman"/>
        </w:rPr>
        <w:t>, t.</w:t>
      </w:r>
      <w:r w:rsidR="002C64E6">
        <w:rPr>
          <w:rFonts w:eastAsia="Times New Roman"/>
        </w:rPr>
        <w:t xml:space="preserve"> </w:t>
      </w:r>
      <w:r w:rsidR="009C6520" w:rsidRPr="00154EF4">
        <w:rPr>
          <w:rFonts w:eastAsia="Times New Roman"/>
        </w:rPr>
        <w:t xml:space="preserve">y. </w:t>
      </w:r>
      <w:r w:rsidR="00A6666E">
        <w:rPr>
          <w:rFonts w:eastAsia="Times New Roman"/>
        </w:rPr>
        <w:t>52</w:t>
      </w:r>
      <w:r w:rsidR="00870CCC" w:rsidRPr="00154EF4">
        <w:rPr>
          <w:rFonts w:eastAsia="Times New Roman"/>
        </w:rPr>
        <w:t xml:space="preserve"> </w:t>
      </w:r>
      <w:r w:rsidR="00470DBE" w:rsidRPr="00154EF4">
        <w:rPr>
          <w:rFonts w:eastAsia="Times New Roman"/>
        </w:rPr>
        <w:t>proc. visai Veiksmų programai įgyvendinti skirtų</w:t>
      </w:r>
      <w:r w:rsidR="00870CCC" w:rsidRPr="00154EF4">
        <w:rPr>
          <w:rFonts w:eastAsia="Times New Roman"/>
        </w:rPr>
        <w:t xml:space="preserve"> lėšų</w:t>
      </w:r>
      <w:r w:rsidR="00701D06" w:rsidRPr="00154EF4">
        <w:rPr>
          <w:rFonts w:eastAsia="Times New Roman"/>
        </w:rPr>
        <w:t xml:space="preserve">). </w:t>
      </w:r>
      <w:r w:rsidR="00470DBE" w:rsidRPr="00154EF4">
        <w:rPr>
          <w:rFonts w:eastAsia="Times New Roman"/>
        </w:rPr>
        <w:t>Per visą laikotarpį</w:t>
      </w:r>
      <w:r w:rsidR="006B0E8C" w:rsidRPr="00154EF4">
        <w:rPr>
          <w:rFonts w:eastAsia="Times New Roman"/>
        </w:rPr>
        <w:t xml:space="preserve"> paramos gavėjams išmokėta </w:t>
      </w:r>
      <w:r w:rsidR="00A6666E">
        <w:rPr>
          <w:rFonts w:eastAsia="Times New Roman"/>
        </w:rPr>
        <w:t>14</w:t>
      </w:r>
      <w:r w:rsidR="00352E3C">
        <w:rPr>
          <w:rFonts w:eastAsia="Times New Roman"/>
        </w:rPr>
        <w:t>,</w:t>
      </w:r>
      <w:r w:rsidR="00A6666E">
        <w:rPr>
          <w:rFonts w:eastAsia="Times New Roman"/>
        </w:rPr>
        <w:t>228</w:t>
      </w:r>
      <w:r w:rsidR="009965EC" w:rsidRPr="00154EF4">
        <w:rPr>
          <w:rFonts w:eastAsia="Times New Roman"/>
        </w:rPr>
        <w:t xml:space="preserve"> mln. </w:t>
      </w:r>
      <w:r w:rsidR="00F37FB3">
        <w:rPr>
          <w:rFonts w:eastAsia="Times New Roman"/>
        </w:rPr>
        <w:t>Eur (</w:t>
      </w:r>
      <w:r w:rsidR="00D20E7F" w:rsidRPr="00154EF4">
        <w:rPr>
          <w:rFonts w:eastAsia="Times New Roman"/>
        </w:rPr>
        <w:t xml:space="preserve">iš jų ES lėšos </w:t>
      </w:r>
      <w:r w:rsidR="00D20E7F" w:rsidRPr="00352E3C">
        <w:rPr>
          <w:rFonts w:eastAsia="Times New Roman"/>
        </w:rPr>
        <w:t>sudaro</w:t>
      </w:r>
      <w:r w:rsidR="00BD2F7D">
        <w:rPr>
          <w:rFonts w:eastAsia="Times New Roman"/>
        </w:rPr>
        <w:t xml:space="preserve"> </w:t>
      </w:r>
      <w:r w:rsidR="00A6666E">
        <w:rPr>
          <w:rFonts w:eastAsia="Times New Roman"/>
        </w:rPr>
        <w:t>11</w:t>
      </w:r>
      <w:r w:rsidR="003F6CA4">
        <w:rPr>
          <w:rFonts w:eastAsia="Times New Roman"/>
        </w:rPr>
        <w:t>,</w:t>
      </w:r>
      <w:r w:rsidR="00A6666E">
        <w:rPr>
          <w:rFonts w:eastAsia="Times New Roman"/>
        </w:rPr>
        <w:t>132</w:t>
      </w:r>
      <w:r w:rsidR="003F6CA4">
        <w:rPr>
          <w:rFonts w:eastAsia="Times New Roman"/>
        </w:rPr>
        <w:t xml:space="preserve"> </w:t>
      </w:r>
      <w:r w:rsidR="00F568DC" w:rsidRPr="00352E3C">
        <w:rPr>
          <w:rFonts w:eastAsia="Times New Roman"/>
        </w:rPr>
        <w:t>mln</w:t>
      </w:r>
      <w:r w:rsidR="00F568DC" w:rsidRPr="00154EF4">
        <w:rPr>
          <w:rFonts w:eastAsia="Times New Roman"/>
        </w:rPr>
        <w:t>. Eur, t.</w:t>
      </w:r>
      <w:r w:rsidR="002C64E6">
        <w:rPr>
          <w:rFonts w:eastAsia="Times New Roman"/>
        </w:rPr>
        <w:t xml:space="preserve"> </w:t>
      </w:r>
      <w:r w:rsidR="00F568DC" w:rsidRPr="00154EF4">
        <w:rPr>
          <w:rFonts w:eastAsia="Times New Roman"/>
        </w:rPr>
        <w:t xml:space="preserve">y. </w:t>
      </w:r>
      <w:r w:rsidR="00A6666E">
        <w:rPr>
          <w:rFonts w:eastAsia="Times New Roman"/>
        </w:rPr>
        <w:t>17,5</w:t>
      </w:r>
      <w:r w:rsidR="009965EC" w:rsidRPr="00154EF4">
        <w:rPr>
          <w:rFonts w:eastAsia="Times New Roman"/>
        </w:rPr>
        <w:t xml:space="preserve"> proc. visai Veiksmų programai įgyvendinti skirtų </w:t>
      </w:r>
      <w:r w:rsidR="00A6666E">
        <w:rPr>
          <w:rFonts w:eastAsia="Times New Roman"/>
        </w:rPr>
        <w:t xml:space="preserve">EJRŽF </w:t>
      </w:r>
      <w:r w:rsidR="009965EC" w:rsidRPr="00154EF4">
        <w:rPr>
          <w:rFonts w:eastAsia="Times New Roman"/>
        </w:rPr>
        <w:t xml:space="preserve">lėšų). </w:t>
      </w:r>
    </w:p>
    <w:p w14:paraId="0F4797FF" w14:textId="77777777" w:rsidR="00974AC2" w:rsidRPr="00154EF4" w:rsidRDefault="00974AC2" w:rsidP="007A1FFB">
      <w:pPr>
        <w:spacing w:line="360" w:lineRule="auto"/>
        <w:ind w:firstLine="720"/>
        <w:jc w:val="both"/>
        <w:rPr>
          <w:rFonts w:eastAsia="Times New Roman"/>
          <w:b/>
        </w:rPr>
      </w:pPr>
    </w:p>
    <w:p w14:paraId="0F479800" w14:textId="6378F9DD" w:rsidR="00974AC2" w:rsidRPr="00154EF4" w:rsidRDefault="004865D9" w:rsidP="00496550">
      <w:pPr>
        <w:pStyle w:val="Betarp"/>
        <w:spacing w:line="360" w:lineRule="auto"/>
        <w:ind w:firstLine="720"/>
        <w:jc w:val="both"/>
        <w:rPr>
          <w:b/>
        </w:rPr>
      </w:pPr>
      <w:r>
        <w:rPr>
          <w:noProof/>
        </w:rPr>
        <w:drawing>
          <wp:inline distT="0" distB="0" distL="0" distR="0" wp14:anchorId="33166FE6" wp14:editId="2C7BC634">
            <wp:extent cx="5781675" cy="3552825"/>
            <wp:effectExtent l="0" t="0" r="9525" b="9525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62485716-9E22-42E7-A677-480B20948F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F479801" w14:textId="3CDFAF8A" w:rsidR="009965EC" w:rsidRPr="00154EF4" w:rsidRDefault="00A6666E" w:rsidP="00496550">
      <w:pPr>
        <w:pStyle w:val="Betarp"/>
        <w:spacing w:line="360" w:lineRule="auto"/>
        <w:ind w:firstLine="720"/>
        <w:jc w:val="both"/>
        <w:rPr>
          <w:b/>
        </w:rPr>
      </w:pPr>
      <w:r>
        <w:rPr>
          <w:noProof/>
        </w:rPr>
        <w:lastRenderedPageBreak/>
        <w:drawing>
          <wp:inline distT="0" distB="0" distL="0" distR="0" wp14:anchorId="6C5E22FD" wp14:editId="40263513">
            <wp:extent cx="5548630" cy="3448050"/>
            <wp:effectExtent l="0" t="0" r="0" b="0"/>
            <wp:docPr id="4" name="Diagrama 4">
              <a:extLst xmlns:a="http://schemas.openxmlformats.org/drawingml/2006/main">
                <a:ext uri="{FF2B5EF4-FFF2-40B4-BE49-F238E27FC236}">
                  <a16:creationId xmlns:a16="http://schemas.microsoft.com/office/drawing/2014/main" id="{85E8FC18-BFEC-40FC-A6B9-403E82435C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479802" w14:textId="62A6E414" w:rsidR="0071143E" w:rsidRPr="006F5C71" w:rsidRDefault="006F5C71" w:rsidP="0002500D">
      <w:pPr>
        <w:pStyle w:val="Betarp"/>
        <w:spacing w:line="360" w:lineRule="auto"/>
        <w:jc w:val="both"/>
        <w:rPr>
          <w:sz w:val="22"/>
          <w:szCs w:val="22"/>
        </w:rPr>
      </w:pPr>
      <w:r w:rsidRPr="006F5C71">
        <w:rPr>
          <w:sz w:val="22"/>
          <w:szCs w:val="22"/>
        </w:rPr>
        <w:t>* iki liepos 31 d. numatoma EK deklaruota dar beveik 1,2 mln. Eur EJRŽ paramos lėšų</w:t>
      </w:r>
      <w:r>
        <w:rPr>
          <w:sz w:val="22"/>
          <w:szCs w:val="22"/>
        </w:rPr>
        <w:t xml:space="preserve"> (+ 2 %)</w:t>
      </w:r>
    </w:p>
    <w:p w14:paraId="0F479803" w14:textId="5AE39DA8" w:rsidR="00EE6BC1" w:rsidRDefault="00974AC2" w:rsidP="00EE6BC1">
      <w:pPr>
        <w:pStyle w:val="Betarp"/>
        <w:spacing w:line="360" w:lineRule="auto"/>
        <w:ind w:firstLine="720"/>
        <w:jc w:val="both"/>
        <w:rPr>
          <w:b/>
        </w:rPr>
      </w:pPr>
      <w:r w:rsidRPr="00154EF4">
        <w:rPr>
          <w:b/>
        </w:rPr>
        <w:t xml:space="preserve">2. </w:t>
      </w:r>
      <w:r w:rsidR="00B02A6B" w:rsidRPr="00154EF4">
        <w:rPr>
          <w:b/>
        </w:rPr>
        <w:t>Gautos paramos</w:t>
      </w:r>
      <w:r w:rsidR="00F540B5" w:rsidRPr="00154EF4">
        <w:rPr>
          <w:b/>
        </w:rPr>
        <w:t xml:space="preserve"> parai</w:t>
      </w:r>
      <w:r w:rsidR="00B02A6B" w:rsidRPr="00154EF4">
        <w:rPr>
          <w:b/>
        </w:rPr>
        <w:t>š</w:t>
      </w:r>
      <w:r w:rsidR="00F540B5" w:rsidRPr="00154EF4">
        <w:rPr>
          <w:b/>
        </w:rPr>
        <w:t>k</w:t>
      </w:r>
      <w:r w:rsidR="00B02A6B" w:rsidRPr="00154EF4">
        <w:rPr>
          <w:b/>
        </w:rPr>
        <w:t>os</w:t>
      </w:r>
      <w:r w:rsidR="00B12844" w:rsidRPr="00154EF4">
        <w:rPr>
          <w:b/>
        </w:rPr>
        <w:t xml:space="preserve">  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3411"/>
        <w:gridCol w:w="1103"/>
        <w:gridCol w:w="688"/>
        <w:gridCol w:w="1518"/>
        <w:gridCol w:w="1286"/>
        <w:gridCol w:w="1623"/>
      </w:tblGrid>
      <w:tr w:rsidR="005B5B30" w:rsidRPr="005B5B30" w14:paraId="06BD2F8F" w14:textId="77777777" w:rsidTr="000153DF">
        <w:trPr>
          <w:trHeight w:val="282"/>
        </w:trPr>
        <w:tc>
          <w:tcPr>
            <w:tcW w:w="3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0C38" w14:textId="55143FAA" w:rsidR="005B5B30" w:rsidRPr="005B5B30" w:rsidRDefault="005B5B30" w:rsidP="005B5B30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5B5B30">
              <w:rPr>
                <w:rFonts w:eastAsia="Times New Roman"/>
                <w:b/>
                <w:bCs/>
                <w:sz w:val="22"/>
                <w:szCs w:val="22"/>
              </w:rPr>
              <w:t>Sąjungos prioriteto pavadinimas</w:t>
            </w:r>
          </w:p>
        </w:tc>
        <w:tc>
          <w:tcPr>
            <w:tcW w:w="6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4E78" w14:textId="3DA592DA" w:rsidR="005B5B30" w:rsidRPr="005B5B30" w:rsidRDefault="008617D4" w:rsidP="005B5B3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IŠ v</w:t>
            </w:r>
            <w:r w:rsidR="005B5B30">
              <w:rPr>
                <w:rFonts w:eastAsia="Times New Roman"/>
                <w:b/>
                <w:bCs/>
                <w:sz w:val="22"/>
                <w:szCs w:val="22"/>
              </w:rPr>
              <w:t xml:space="preserve">iso iki 2018 m. liepos 5 d. </w:t>
            </w:r>
          </w:p>
        </w:tc>
      </w:tr>
      <w:tr w:rsidR="005B5B30" w:rsidRPr="005B5B30" w14:paraId="213D6C57" w14:textId="77777777" w:rsidTr="000153DF">
        <w:trPr>
          <w:trHeight w:val="1140"/>
        </w:trPr>
        <w:tc>
          <w:tcPr>
            <w:tcW w:w="3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7E2F" w14:textId="77777777" w:rsidR="005B5B30" w:rsidRPr="005B5B30" w:rsidRDefault="005B5B30" w:rsidP="005B5B30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C80F" w14:textId="77777777" w:rsidR="005B5B30" w:rsidRPr="005B5B30" w:rsidRDefault="005B5B30" w:rsidP="005B5B3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B5B30">
              <w:rPr>
                <w:rFonts w:eastAsia="Times New Roman"/>
                <w:b/>
                <w:bCs/>
                <w:sz w:val="22"/>
                <w:szCs w:val="22"/>
              </w:rPr>
              <w:t>Surinkta paraiškų, vnt.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D25E" w14:textId="50758316" w:rsidR="005B5B30" w:rsidRPr="005B5B30" w:rsidRDefault="005B5B30" w:rsidP="005B5B3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B5B30">
              <w:rPr>
                <w:rFonts w:eastAsia="Times New Roman"/>
                <w:b/>
                <w:bCs/>
                <w:sz w:val="22"/>
                <w:szCs w:val="22"/>
              </w:rPr>
              <w:t>(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iš jų</w:t>
            </w:r>
            <w:r w:rsidRPr="005B5B30">
              <w:rPr>
                <w:rFonts w:eastAsia="Times New Roman"/>
                <w:b/>
                <w:bCs/>
                <w:sz w:val="22"/>
                <w:szCs w:val="22"/>
              </w:rPr>
              <w:t xml:space="preserve"> 2018 m., vnt.)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6826" w14:textId="0BE81B23" w:rsidR="005B5B30" w:rsidRPr="005B5B30" w:rsidRDefault="005B5B30" w:rsidP="005B5B3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B5B30">
              <w:rPr>
                <w:rFonts w:eastAsia="Times New Roman"/>
                <w:b/>
                <w:bCs/>
                <w:sz w:val="22"/>
                <w:szCs w:val="22"/>
              </w:rPr>
              <w:t>Atmesta</w:t>
            </w:r>
            <w:r w:rsidR="008617D4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5B5B30">
              <w:rPr>
                <w:rFonts w:eastAsia="Times New Roman"/>
                <w:b/>
                <w:bCs/>
                <w:sz w:val="22"/>
                <w:szCs w:val="22"/>
              </w:rPr>
              <w:t>/ išsiregistravo, vnt.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20FE" w14:textId="77777777" w:rsidR="005B5B30" w:rsidRPr="005B5B30" w:rsidRDefault="005B5B30" w:rsidP="005B5B3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B5B30">
              <w:rPr>
                <w:rFonts w:eastAsia="Times New Roman"/>
                <w:b/>
                <w:bCs/>
                <w:sz w:val="22"/>
                <w:szCs w:val="22"/>
              </w:rPr>
              <w:t>Vertinama, vnt.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58A09" w14:textId="77777777" w:rsidR="005B5B30" w:rsidRPr="005B5B30" w:rsidRDefault="005B5B30" w:rsidP="005B5B3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B5B30">
              <w:rPr>
                <w:rFonts w:eastAsia="Times New Roman"/>
                <w:b/>
                <w:bCs/>
                <w:sz w:val="22"/>
                <w:szCs w:val="22"/>
              </w:rPr>
              <w:t>Priimtas sprendimas skirti paramą, vnt.</w:t>
            </w:r>
          </w:p>
        </w:tc>
      </w:tr>
      <w:tr w:rsidR="005B5B30" w:rsidRPr="005B5B30" w14:paraId="3CA63784" w14:textId="77777777" w:rsidTr="000153DF">
        <w:trPr>
          <w:trHeight w:val="885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DD48" w14:textId="5E9F9536" w:rsidR="005B5B30" w:rsidRPr="00ED08E2" w:rsidRDefault="005B5B30" w:rsidP="005B5B30">
            <w:pPr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</w:t>
            </w:r>
            <w:r w:rsidR="000153DF" w:rsidRPr="00ED08E2">
              <w:rPr>
                <w:rFonts w:eastAsia="Times New Roman"/>
                <w:bCs/>
                <w:sz w:val="22"/>
                <w:szCs w:val="22"/>
              </w:rPr>
              <w:t>.</w:t>
            </w:r>
            <w:r w:rsidRPr="00ED08E2">
              <w:rPr>
                <w:rFonts w:eastAsia="Times New Roman"/>
                <w:bCs/>
                <w:sz w:val="22"/>
                <w:szCs w:val="22"/>
              </w:rPr>
              <w:t xml:space="preserve"> Sąjungos prioritetas.  Aplinkosaugos požiūriu tvarios, efektyviai išteklius naudojančios, inovacinės, konkurencingos ir žiniomis grindžiamos žvejybos skatinimas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4AD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130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1B71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998A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23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14A8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3C7C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99</w:t>
            </w:r>
          </w:p>
        </w:tc>
      </w:tr>
      <w:tr w:rsidR="005B5B30" w:rsidRPr="005B5B30" w14:paraId="170D5D24" w14:textId="77777777" w:rsidTr="000153DF">
        <w:trPr>
          <w:trHeight w:val="81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8DF5" w14:textId="77777777" w:rsidR="005B5B30" w:rsidRPr="00ED08E2" w:rsidRDefault="005B5B30" w:rsidP="005B5B30">
            <w:pPr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2. Sąjungos prioritetas. Aplinkosaugos požiūriu tvarios, efektyviai išteklius naudojančios, inovacinės, konkurencingos ir žiniomis grindžiamo akvakultūros skatinimas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C307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65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A0E8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DB6A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6A85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3149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39</w:t>
            </w:r>
          </w:p>
        </w:tc>
      </w:tr>
      <w:tr w:rsidR="005B5B30" w:rsidRPr="005B5B30" w14:paraId="03BAC51A" w14:textId="77777777" w:rsidTr="000153DF">
        <w:trPr>
          <w:trHeight w:val="51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CF77" w14:textId="6D04DF19" w:rsidR="005B5B30" w:rsidRPr="00ED08E2" w:rsidRDefault="000153DF" w:rsidP="005B5B30">
            <w:pPr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3. Sąjungos prioritetas. BŽP įgyvendinimo skatinimas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BCE7" w14:textId="59F77294" w:rsidR="005B5B30" w:rsidRPr="00ED08E2" w:rsidRDefault="000153DF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DE5C" w14:textId="75DAFEFC" w:rsidR="005B5B30" w:rsidRPr="00ED08E2" w:rsidRDefault="000153DF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38B4" w14:textId="08DDAA38" w:rsidR="005B5B30" w:rsidRPr="00ED08E2" w:rsidRDefault="000153DF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1D98" w14:textId="7C252E60" w:rsidR="005B5B30" w:rsidRPr="00ED08E2" w:rsidRDefault="000153DF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1FA4" w14:textId="6A0CEF0C" w:rsidR="005B5B30" w:rsidRPr="00ED08E2" w:rsidRDefault="000153DF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13</w:t>
            </w:r>
          </w:p>
        </w:tc>
      </w:tr>
      <w:tr w:rsidR="005B5B30" w:rsidRPr="005B5B30" w14:paraId="6563669E" w14:textId="77777777" w:rsidTr="000153DF">
        <w:trPr>
          <w:trHeight w:val="51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FA94" w14:textId="77777777" w:rsidR="005B5B30" w:rsidRPr="00ED08E2" w:rsidRDefault="005B5B30" w:rsidP="005B5B30">
            <w:pPr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4. Sąjungos prioritetas. Užimtumo ir teritorinės sanglaudos didinimas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F690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27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DF08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554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BEE4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ED39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21</w:t>
            </w:r>
          </w:p>
        </w:tc>
      </w:tr>
      <w:tr w:rsidR="005B5B30" w:rsidRPr="005B5B30" w14:paraId="208553D0" w14:textId="77777777" w:rsidTr="000153DF">
        <w:trPr>
          <w:trHeight w:val="30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9D1B" w14:textId="77777777" w:rsidR="005B5B30" w:rsidRPr="00ED08E2" w:rsidRDefault="005B5B30" w:rsidP="005B5B30">
            <w:pPr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5. Sąjungos prioritetas. Prekybos ir perdirbimo skatinimas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F4B7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30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FD81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FC6F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D524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7D00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15</w:t>
            </w:r>
          </w:p>
        </w:tc>
      </w:tr>
      <w:tr w:rsidR="005B5B30" w:rsidRPr="005B5B30" w14:paraId="65E7E15A" w14:textId="77777777" w:rsidTr="000153DF">
        <w:trPr>
          <w:trHeight w:val="57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1686" w14:textId="77777777" w:rsidR="005B5B30" w:rsidRPr="00ED08E2" w:rsidRDefault="005B5B30" w:rsidP="005B5B30">
            <w:pPr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6. Sąjungos prioritetas. Integruotos jūrų politikos</w:t>
            </w:r>
            <w:r w:rsidRPr="00ED08E2">
              <w:rPr>
                <w:rFonts w:eastAsia="Times New Roman"/>
                <w:bCs/>
                <w:sz w:val="22"/>
                <w:szCs w:val="22"/>
              </w:rPr>
              <w:br/>
              <w:t xml:space="preserve"> įgyvendinimo skatinimas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E2DA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ACAC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1667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580A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63AE" w14:textId="77777777" w:rsidR="005B5B30" w:rsidRPr="00ED08E2" w:rsidRDefault="005B5B30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</w:tr>
      <w:tr w:rsidR="000153DF" w:rsidRPr="005B5B30" w14:paraId="7360C330" w14:textId="77777777" w:rsidTr="000153DF">
        <w:trPr>
          <w:trHeight w:val="57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83B7" w14:textId="6B4E2652" w:rsidR="000153DF" w:rsidRPr="00ED08E2" w:rsidRDefault="000153DF" w:rsidP="005B5B30">
            <w:pPr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Techninė parama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CE69" w14:textId="0EA50260" w:rsidR="000153DF" w:rsidRPr="00ED08E2" w:rsidRDefault="000153DF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5E32" w14:textId="11CE030C" w:rsidR="000153DF" w:rsidRPr="00ED08E2" w:rsidRDefault="000153DF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8C03" w14:textId="2461E127" w:rsidR="000153DF" w:rsidRPr="00ED08E2" w:rsidRDefault="000153DF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4601" w14:textId="445130DA" w:rsidR="000153DF" w:rsidRPr="00ED08E2" w:rsidRDefault="000153DF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5208" w14:textId="31F60FA9" w:rsidR="000153DF" w:rsidRPr="00ED08E2" w:rsidRDefault="000153DF" w:rsidP="005B5B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Cs/>
                <w:sz w:val="22"/>
                <w:szCs w:val="22"/>
              </w:rPr>
              <w:t>4</w:t>
            </w:r>
          </w:p>
        </w:tc>
      </w:tr>
      <w:tr w:rsidR="00ED08E2" w:rsidRPr="005B5B30" w14:paraId="14218362" w14:textId="77777777" w:rsidTr="002C6B3A">
        <w:trPr>
          <w:trHeight w:val="570"/>
        </w:trPr>
        <w:tc>
          <w:tcPr>
            <w:tcW w:w="3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CA7D" w14:textId="16EA27CB" w:rsidR="00ED08E2" w:rsidRPr="00ED08E2" w:rsidRDefault="00ED08E2" w:rsidP="00ED08E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04A9" w14:textId="30055DDB" w:rsidR="00ED08E2" w:rsidRPr="00ED08E2" w:rsidRDefault="00ED08E2" w:rsidP="00ED08E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/>
                <w:bCs/>
                <w:sz w:val="22"/>
                <w:szCs w:val="22"/>
              </w:rPr>
              <w:t>270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ACC5" w14:textId="58EE5C7F" w:rsidR="00ED08E2" w:rsidRPr="00ED08E2" w:rsidRDefault="00ED08E2" w:rsidP="00ED08E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F88D" w14:textId="4B5F47FB" w:rsidR="00ED08E2" w:rsidRPr="00ED08E2" w:rsidRDefault="00ED08E2" w:rsidP="00ED08E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2426" w14:textId="21594BD7" w:rsidR="00ED08E2" w:rsidRPr="00ED08E2" w:rsidRDefault="00ED08E2" w:rsidP="00ED08E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18114" w14:textId="79BF40E8" w:rsidR="00ED08E2" w:rsidRPr="00ED08E2" w:rsidRDefault="00ED08E2" w:rsidP="00ED08E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D08E2">
              <w:rPr>
                <w:rFonts w:eastAsia="Times New Roman"/>
                <w:b/>
                <w:bCs/>
                <w:sz w:val="22"/>
                <w:szCs w:val="22"/>
              </w:rPr>
              <w:t>192</w:t>
            </w:r>
          </w:p>
        </w:tc>
      </w:tr>
    </w:tbl>
    <w:p w14:paraId="69241DA8" w14:textId="77777777" w:rsidR="005B5B30" w:rsidRPr="00154EF4" w:rsidRDefault="005B5B30" w:rsidP="00EE6BC1">
      <w:pPr>
        <w:pStyle w:val="Betarp"/>
        <w:spacing w:line="360" w:lineRule="auto"/>
        <w:ind w:firstLine="720"/>
        <w:jc w:val="both"/>
        <w:rPr>
          <w:b/>
        </w:rPr>
      </w:pPr>
    </w:p>
    <w:tbl>
      <w:tblPr>
        <w:tblStyle w:val="1tinkleliolentelviesi5parykinimas"/>
        <w:tblpPr w:leftFromText="180" w:rightFromText="180" w:vertAnchor="text" w:tblpXSpec="center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5671"/>
        <w:gridCol w:w="1723"/>
        <w:gridCol w:w="2099"/>
      </w:tblGrid>
      <w:tr w:rsidR="005B5B30" w:rsidRPr="00BF0944" w14:paraId="0F479805" w14:textId="56893442" w:rsidTr="002C6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AABB" w14:textId="13FF8453" w:rsidR="005B5B30" w:rsidRPr="000153DF" w:rsidRDefault="008617D4" w:rsidP="0072342C">
            <w:pPr>
              <w:jc w:val="center"/>
              <w:textAlignment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 w:val="0"/>
                <w:sz w:val="22"/>
                <w:szCs w:val="22"/>
              </w:rPr>
              <w:lastRenderedPageBreak/>
              <w:t>Iš v</w:t>
            </w:r>
            <w:r w:rsidR="000153DF" w:rsidRPr="000153DF">
              <w:rPr>
                <w:rFonts w:eastAsia="Times New Roman"/>
                <w:bCs w:val="0"/>
                <w:sz w:val="22"/>
                <w:szCs w:val="22"/>
              </w:rPr>
              <w:t>iso iki 2018 m. liepos 5 d.</w:t>
            </w:r>
            <w:r w:rsidR="005A3604">
              <w:rPr>
                <w:rFonts w:eastAsia="Times New Roman"/>
                <w:bCs w:val="0"/>
                <w:sz w:val="22"/>
                <w:szCs w:val="22"/>
              </w:rPr>
              <w:t xml:space="preserve"> </w:t>
            </w:r>
            <w:r w:rsidR="005A3604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(išskyrus 3  Sąjungos prioritetą ir techninę paramą)</w:t>
            </w:r>
          </w:p>
        </w:tc>
      </w:tr>
      <w:tr w:rsidR="005B5B30" w:rsidRPr="00BF0944" w14:paraId="0F479808" w14:textId="5CF0B135" w:rsidTr="002C6B3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9806" w14:textId="52695BB5" w:rsidR="005B5B30" w:rsidRPr="000153DF" w:rsidRDefault="005B5B30" w:rsidP="00D36F37">
            <w:pPr>
              <w:textAlignment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0153D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Priemonė</w:t>
            </w:r>
            <w:r w:rsidR="005A3604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9807" w14:textId="0B78F4D7" w:rsidR="005B5B30" w:rsidRPr="000153DF" w:rsidRDefault="005B5B30" w:rsidP="0072342C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0153DF">
              <w:rPr>
                <w:rFonts w:eastAsia="Times New Roman"/>
                <w:b/>
                <w:sz w:val="22"/>
                <w:szCs w:val="22"/>
                <w:lang w:eastAsia="en-US"/>
              </w:rPr>
              <w:t>Gautos, vnt.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FF7" w14:textId="23B72757" w:rsidR="005B5B30" w:rsidRPr="000153DF" w:rsidRDefault="000153DF" w:rsidP="000153DF">
            <w:pPr>
              <w:ind w:left="-113" w:right="-17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0153DF">
              <w:rPr>
                <w:rFonts w:eastAsia="Times New Roman"/>
                <w:b/>
                <w:bCs/>
                <w:sz w:val="22"/>
                <w:szCs w:val="22"/>
              </w:rPr>
              <w:t>Priimtas sprendimas skirti paramą, vnt.</w:t>
            </w:r>
          </w:p>
        </w:tc>
      </w:tr>
      <w:tr w:rsidR="005B5B30" w:rsidRPr="00BF0944" w14:paraId="0F47980B" w14:textId="4395F4D0" w:rsidTr="002C6B3A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09" w14:textId="77777777" w:rsidR="005B5B30" w:rsidRPr="00D36F37" w:rsidRDefault="005B5B30" w:rsidP="00D36F37">
            <w:pPr>
              <w:textAlignment w:val="center"/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t>Parama išsaugojimo priemonių rengimui ir įgyvendinimui (veiklos sritis skirta ungurių plano įgyvendinimui)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0A" w14:textId="77777777" w:rsidR="005B5B30" w:rsidRPr="005A3604" w:rsidRDefault="005B5B30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9E3C" w14:textId="4D50A300" w:rsidR="005B5B30" w:rsidRPr="005A3604" w:rsidRDefault="000153DF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</w:tr>
      <w:tr w:rsidR="005B5B30" w:rsidRPr="00BF0944" w14:paraId="0F47980F" w14:textId="530C595C" w:rsidTr="002C6B3A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0D" w14:textId="1F4A3A0B" w:rsidR="005B5B30" w:rsidRPr="00D36F37" w:rsidRDefault="005B5B30" w:rsidP="00D36F37">
            <w:pPr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t>Žvejybos poveikio jūrų aplinkai mažinimas ir žvejybos pritaikymas siekiant apsaugoti rūšis (jūrų ir vidaus vandenų žvejybai)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0E" w14:textId="3794F8F9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3604">
              <w:rPr>
                <w:sz w:val="22"/>
                <w:szCs w:val="22"/>
              </w:rPr>
              <w:t>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81D" w14:textId="5456F821" w:rsidR="005B5B30" w:rsidRPr="005A3604" w:rsidRDefault="000153DF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3604">
              <w:rPr>
                <w:sz w:val="22"/>
                <w:szCs w:val="22"/>
              </w:rPr>
              <w:t>12</w:t>
            </w:r>
          </w:p>
        </w:tc>
      </w:tr>
      <w:tr w:rsidR="005B5B30" w:rsidRPr="00BF0944" w14:paraId="0F479812" w14:textId="21573446" w:rsidTr="002C6B3A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10" w14:textId="77777777" w:rsidR="005B5B30" w:rsidRPr="00D36F37" w:rsidRDefault="005B5B30" w:rsidP="00D36F37">
            <w:pPr>
              <w:rPr>
                <w:b w:val="0"/>
                <w:sz w:val="22"/>
                <w:szCs w:val="22"/>
                <w:lang w:val="en-US"/>
              </w:rPr>
            </w:pP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t>Vidaus vandenų žvejyba ir vidaus vandenų gyvūnija bei augalija – vidaus vandenų gyvūnijos ir augalijos apsaugojimas ir praturtinimas (žuvų migracijos takų įrengimas ir atkūrimas)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11" w14:textId="77777777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3604">
              <w:rPr>
                <w:sz w:val="22"/>
                <w:szCs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CB3" w14:textId="076FEBF7" w:rsidR="005B5B30" w:rsidRPr="005A3604" w:rsidRDefault="000153DF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3604">
              <w:rPr>
                <w:sz w:val="22"/>
                <w:szCs w:val="22"/>
              </w:rPr>
              <w:t>1</w:t>
            </w:r>
          </w:p>
        </w:tc>
      </w:tr>
      <w:tr w:rsidR="005B5B30" w:rsidRPr="00BF0944" w14:paraId="0F479815" w14:textId="3FC2CC81" w:rsidTr="002C6B3A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13" w14:textId="77777777" w:rsidR="005B5B30" w:rsidRPr="00D36F37" w:rsidRDefault="005B5B30" w:rsidP="00D36F37">
            <w:pPr>
              <w:rPr>
                <w:b w:val="0"/>
                <w:bCs w:val="0"/>
                <w:sz w:val="22"/>
                <w:szCs w:val="22"/>
              </w:rPr>
            </w:pP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t>Parama sistemoms, perskirstančioms žvejybos galimybes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14" w14:textId="77777777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3604">
              <w:rPr>
                <w:sz w:val="22"/>
                <w:szCs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3A9" w14:textId="17D9190A" w:rsidR="005B5B30" w:rsidRPr="005A3604" w:rsidRDefault="000153DF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3604">
              <w:rPr>
                <w:sz w:val="22"/>
                <w:szCs w:val="22"/>
              </w:rPr>
              <w:t>1</w:t>
            </w:r>
          </w:p>
        </w:tc>
      </w:tr>
      <w:tr w:rsidR="005B5B30" w:rsidRPr="00BF0944" w14:paraId="0F479818" w14:textId="502C7938" w:rsidTr="002C6B3A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16" w14:textId="10702A18" w:rsidR="005B5B30" w:rsidRPr="00D36F37" w:rsidRDefault="005B5B30" w:rsidP="00D36F37">
            <w:pPr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t>Jūrų biologinės įvairovės išsaugojimas ir atkūrimas. Laimikiui žinduolių ir paukščių padarytos žalos kompensavimo sistemos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17" w14:textId="77777777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3604">
              <w:rPr>
                <w:sz w:val="22"/>
                <w:szCs w:val="22"/>
              </w:rPr>
              <w:t>87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367B" w14:textId="29ABA7BF" w:rsidR="005B5B30" w:rsidRPr="005A3604" w:rsidRDefault="000153DF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A3604">
              <w:rPr>
                <w:sz w:val="22"/>
                <w:szCs w:val="22"/>
              </w:rPr>
              <w:t>78</w:t>
            </w:r>
          </w:p>
        </w:tc>
      </w:tr>
      <w:tr w:rsidR="005B5B30" w:rsidRPr="00BF0944" w14:paraId="0F47981B" w14:textId="28BDDE0F" w:rsidTr="002C6B3A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19" w14:textId="77777777" w:rsidR="005B5B30" w:rsidRPr="00D36F37" w:rsidRDefault="005B5B30" w:rsidP="00D36F37">
            <w:pPr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t>Pridėtinė vertė, produktų kokybė ir nepageidaujamos priegaudos panaudojimas</w:t>
            </w: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1A" w14:textId="128BC775" w:rsidR="005B5B30" w:rsidRPr="005A3604" w:rsidRDefault="000153DF" w:rsidP="005A3604">
            <w:pPr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21</w:t>
            </w:r>
            <w:r w:rsidR="005B5B30" w:rsidRPr="005A3604">
              <w:rPr>
                <w:rFonts w:eastAsia="Times New Roman"/>
                <w:sz w:val="22"/>
                <w:szCs w:val="22"/>
                <w:lang w:eastAsia="en-US"/>
              </w:rPr>
              <w:t xml:space="preserve"> (iš jų </w:t>
            </w: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14</w:t>
            </w:r>
            <w:r w:rsidR="005B5B30" w:rsidRPr="005A3604">
              <w:rPr>
                <w:rFonts w:eastAsia="Times New Roman"/>
                <w:sz w:val="22"/>
                <w:szCs w:val="22"/>
                <w:lang w:eastAsia="en-US"/>
              </w:rPr>
              <w:t xml:space="preserve"> pagal supaprastintąsias taisykles)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A2F8" w14:textId="2EC25E52" w:rsidR="005B5B30" w:rsidRPr="005A3604" w:rsidRDefault="000153DF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5 (iš jų 4 pagal supaprastintąsias taisykles)</w:t>
            </w:r>
          </w:p>
        </w:tc>
      </w:tr>
      <w:tr w:rsidR="005B5B30" w:rsidRPr="00BF0944" w14:paraId="0F47981E" w14:textId="7504BC70" w:rsidTr="002C6B3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1C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t>Mokslininkų ir žvejų partnerystės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1D" w14:textId="77777777" w:rsidR="005B5B30" w:rsidRPr="005A3604" w:rsidRDefault="005B5B30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54E" w14:textId="62F8625A" w:rsidR="005B5B30" w:rsidRPr="005A3604" w:rsidRDefault="005A3604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</w:tr>
      <w:tr w:rsidR="005B5B30" w:rsidRPr="00BF0944" w14:paraId="0F479822" w14:textId="01DE5B7B" w:rsidTr="002C6B3A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0" w14:textId="13EF712A" w:rsidR="005B5B30" w:rsidRPr="00D36F37" w:rsidRDefault="005B5B30" w:rsidP="00D36F37">
            <w:pPr>
              <w:rPr>
                <w:b w:val="0"/>
                <w:sz w:val="22"/>
                <w:szCs w:val="22"/>
                <w:lang w:val="en-US" w:eastAsia="en-US"/>
              </w:rPr>
            </w:pPr>
            <w:r w:rsidRPr="00D36F37">
              <w:rPr>
                <w:b w:val="0"/>
                <w:sz w:val="22"/>
                <w:szCs w:val="22"/>
              </w:rPr>
              <w:t>Energijos vartojimo efektyvumas ir klimato kaitos švelninimas. Pagrindinių arba pagalbinių variklių keitimas arba modernizavimas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1" w14:textId="77777777" w:rsidR="005B5B30" w:rsidRPr="005A3604" w:rsidRDefault="005B5B30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E80" w14:textId="030E22DE" w:rsidR="005B5B30" w:rsidRPr="005A3604" w:rsidRDefault="005A3604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</w:tr>
      <w:tr w:rsidR="005B5B30" w:rsidRPr="00BF0944" w14:paraId="0F479825" w14:textId="176703C6" w:rsidTr="002C6B3A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3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t>Produktyvios investicijos į akvakultūrą (išskyrus energijos vartojimo efektyvumo didinimą)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4" w14:textId="22E75904" w:rsidR="005B5B30" w:rsidRPr="005A3604" w:rsidRDefault="005A3604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43</w:t>
            </w:r>
            <w:r w:rsidR="005B5B30" w:rsidRPr="005A3604">
              <w:rPr>
                <w:rFonts w:eastAsia="Times New Roman"/>
                <w:sz w:val="22"/>
                <w:szCs w:val="22"/>
                <w:lang w:eastAsia="en-US"/>
              </w:rPr>
              <w:t>(iš jų 1</w:t>
            </w: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4</w:t>
            </w:r>
            <w:r w:rsidR="005B5B30" w:rsidRPr="005A3604">
              <w:rPr>
                <w:rFonts w:eastAsia="Times New Roman"/>
                <w:sz w:val="22"/>
                <w:szCs w:val="22"/>
                <w:lang w:eastAsia="en-US"/>
              </w:rPr>
              <w:t xml:space="preserve"> pagal supaprastintąsias taisykles)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834B" w14:textId="65D522D3" w:rsidR="005B5B30" w:rsidRPr="005A3604" w:rsidRDefault="005A3604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21(iš jų 12 pagal supaprastintąsias taisykles)</w:t>
            </w:r>
          </w:p>
        </w:tc>
      </w:tr>
      <w:tr w:rsidR="005B5B30" w:rsidRPr="00BF0944" w14:paraId="0F479828" w14:textId="6FA1AF35" w:rsidTr="002C6B3A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6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t>Produktyvios investicijos į akvakultūrą. Energijos vartojimo efektyvumo didinimas ir atsinaujinančioji energija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7" w14:textId="5FC4762F" w:rsidR="005B5B30" w:rsidRPr="005A3604" w:rsidRDefault="005A3604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1BA" w14:textId="74A8EF9B" w:rsidR="005B5B30" w:rsidRPr="005A3604" w:rsidRDefault="005A3604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</w:tr>
      <w:tr w:rsidR="005B5B30" w:rsidRPr="00BF0944" w14:paraId="0F47982B" w14:textId="1FD6AE96" w:rsidTr="002C6B3A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9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  <w:r w:rsidRPr="00D36F37">
              <w:rPr>
                <w:rFonts w:eastAsia="Times New Roman"/>
                <w:b w:val="0"/>
                <w:color w:val="000000"/>
                <w:sz w:val="22"/>
                <w:szCs w:val="22"/>
                <w:lang w:eastAsia="en-US"/>
              </w:rPr>
              <w:t>Aplinkos apsaugos funkcijas atliekanti akvakultūra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A" w14:textId="77777777" w:rsidR="005B5B30" w:rsidRPr="005A3604" w:rsidRDefault="005B5B30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4F2" w14:textId="357EBA81" w:rsidR="005B5B30" w:rsidRPr="005A3604" w:rsidRDefault="005A3604" w:rsidP="005A3604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18</w:t>
            </w:r>
          </w:p>
        </w:tc>
      </w:tr>
      <w:tr w:rsidR="005B5B30" w:rsidRPr="00BF0944" w14:paraId="0F47982E" w14:textId="7FD15115" w:rsidTr="002C6B3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C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  <w:r w:rsidRPr="00D36F37">
              <w:rPr>
                <w:b w:val="0"/>
                <w:sz w:val="22"/>
                <w:szCs w:val="22"/>
              </w:rPr>
              <w:t>Parengiamoji parama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D" w14:textId="77777777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832C" w14:textId="7F98B1ED" w:rsidR="005B5B30" w:rsidRPr="005A3604" w:rsidRDefault="005A3604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9</w:t>
            </w:r>
          </w:p>
        </w:tc>
      </w:tr>
      <w:tr w:rsidR="005B5B30" w:rsidRPr="00BF0944" w14:paraId="0F479831" w14:textId="2655023B" w:rsidTr="002C6B3A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2F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  <w:r w:rsidRPr="00D36F37">
              <w:rPr>
                <w:b w:val="0"/>
                <w:sz w:val="22"/>
                <w:szCs w:val="22"/>
              </w:rPr>
              <w:t>Vietos plėtros strategijų įgyvendinimas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30" w14:textId="77777777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 xml:space="preserve">12 (iš jų 3 pagal </w:t>
            </w:r>
            <w:proofErr w:type="spellStart"/>
            <w:r w:rsidRPr="005A3604">
              <w:rPr>
                <w:rFonts w:eastAsia="Times New Roman"/>
                <w:sz w:val="22"/>
                <w:szCs w:val="22"/>
                <w:lang w:eastAsia="en-US"/>
              </w:rPr>
              <w:t>dvisektores</w:t>
            </w:r>
            <w:proofErr w:type="spellEnd"/>
            <w:r w:rsidRPr="005A3604">
              <w:rPr>
                <w:rFonts w:eastAsia="Times New Roman"/>
                <w:sz w:val="22"/>
                <w:szCs w:val="22"/>
                <w:lang w:eastAsia="en-US"/>
              </w:rPr>
              <w:t xml:space="preserve"> strategijas)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3B5" w14:textId="5D36B3C6" w:rsidR="005B5B30" w:rsidRPr="005A3604" w:rsidRDefault="005A3604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 xml:space="preserve">12 (iš jų 3 pagal </w:t>
            </w:r>
            <w:proofErr w:type="spellStart"/>
            <w:r w:rsidRPr="005A3604">
              <w:rPr>
                <w:rFonts w:eastAsia="Times New Roman"/>
                <w:sz w:val="22"/>
                <w:szCs w:val="22"/>
                <w:lang w:eastAsia="en-US"/>
              </w:rPr>
              <w:t>dvisektores</w:t>
            </w:r>
            <w:proofErr w:type="spellEnd"/>
            <w:r w:rsidRPr="005A3604">
              <w:rPr>
                <w:rFonts w:eastAsia="Times New Roman"/>
                <w:sz w:val="22"/>
                <w:szCs w:val="22"/>
                <w:lang w:eastAsia="en-US"/>
              </w:rPr>
              <w:t xml:space="preserve"> strategijas)</w:t>
            </w:r>
          </w:p>
        </w:tc>
      </w:tr>
      <w:tr w:rsidR="005B5B30" w:rsidRPr="00BF0944" w14:paraId="0F479834" w14:textId="0254DB2B" w:rsidTr="002C6B3A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32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  <w:r w:rsidRPr="00D36F37">
              <w:rPr>
                <w:b w:val="0"/>
                <w:sz w:val="22"/>
                <w:szCs w:val="22"/>
              </w:rPr>
              <w:t>Bendradarbiavimo veikla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33" w14:textId="77777777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ADE2" w14:textId="7109B4E6" w:rsidR="005B5B30" w:rsidRPr="005A3604" w:rsidRDefault="005A3604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</w:tr>
      <w:tr w:rsidR="005B5B30" w:rsidRPr="00BF0944" w14:paraId="0F479837" w14:textId="26E35F7E" w:rsidTr="002C6B3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35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  <w:r w:rsidRPr="00D36F37">
              <w:rPr>
                <w:b w:val="0"/>
                <w:sz w:val="22"/>
                <w:szCs w:val="22"/>
              </w:rPr>
              <w:t>Gamybos ir rinkodaros planai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36" w14:textId="77777777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2B91" w14:textId="32FA809B" w:rsidR="005B5B30" w:rsidRPr="005A3604" w:rsidRDefault="005A3604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6</w:t>
            </w:r>
          </w:p>
        </w:tc>
      </w:tr>
      <w:tr w:rsidR="005B5B30" w:rsidRPr="00BF0944" w14:paraId="0F47983A" w14:textId="6F3B6394" w:rsidTr="002C6B3A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38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  <w:r w:rsidRPr="00D36F37">
              <w:rPr>
                <w:b w:val="0"/>
                <w:sz w:val="22"/>
                <w:szCs w:val="22"/>
              </w:rPr>
              <w:t>Rinkodaros priemonės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39" w14:textId="77777777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1DC6" w14:textId="2EDCECB2" w:rsidR="005B5B30" w:rsidRPr="005A3604" w:rsidRDefault="005A3604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</w:tr>
      <w:tr w:rsidR="005B5B30" w:rsidRPr="00BF0944" w14:paraId="0F47983E" w14:textId="394B1C42" w:rsidTr="002C6B3A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3B" w14:textId="77777777" w:rsidR="005B5B30" w:rsidRPr="00D36F37" w:rsidRDefault="005B5B30" w:rsidP="00D36F37">
            <w:pPr>
              <w:rPr>
                <w:b w:val="0"/>
                <w:sz w:val="22"/>
                <w:szCs w:val="22"/>
                <w:lang w:val="en-US"/>
              </w:rPr>
            </w:pPr>
            <w:r w:rsidRPr="00D36F37">
              <w:rPr>
                <w:b w:val="0"/>
                <w:sz w:val="22"/>
                <w:szCs w:val="22"/>
              </w:rPr>
              <w:t>Žuvininkystės ir akvakultūros produktų perdirbimas</w:t>
            </w:r>
          </w:p>
          <w:p w14:paraId="0F47983C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3D" w14:textId="77777777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23 (iš jų 4 pagal supaprastintąsias taisykles)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5F6" w14:textId="3C24B0F5" w:rsidR="005B5B30" w:rsidRPr="005A3604" w:rsidRDefault="005A3604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9 (iš jų 2 pagal supaprastintąsias taisykles)</w:t>
            </w:r>
          </w:p>
        </w:tc>
      </w:tr>
      <w:tr w:rsidR="005B5B30" w:rsidRPr="00BF0944" w14:paraId="0F479841" w14:textId="23280ADF" w:rsidTr="002C6B3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3F" w14:textId="77777777" w:rsidR="005B5B30" w:rsidRPr="00D36F37" w:rsidRDefault="005B5B30" w:rsidP="00D36F37">
            <w:pPr>
              <w:rPr>
                <w:b w:val="0"/>
                <w:sz w:val="22"/>
                <w:szCs w:val="22"/>
              </w:rPr>
            </w:pPr>
            <w:r w:rsidRPr="00D36F37">
              <w:rPr>
                <w:b w:val="0"/>
                <w:sz w:val="22"/>
                <w:szCs w:val="22"/>
              </w:rPr>
              <w:t>Žinių apie jūros būklę gerinimas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40" w14:textId="77777777" w:rsidR="005B5B30" w:rsidRPr="005A3604" w:rsidRDefault="005B5B30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1F2" w14:textId="7BF2BBF5" w:rsidR="005B5B30" w:rsidRPr="005A3604" w:rsidRDefault="005A3604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eastAsia="en-US"/>
              </w:rPr>
            </w:pPr>
            <w:r w:rsidRPr="005A3604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</w:tr>
      <w:tr w:rsidR="005B5B30" w:rsidRPr="00BF0944" w14:paraId="0F479844" w14:textId="75C40EF2" w:rsidTr="002C6B3A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42" w14:textId="1819FC8D" w:rsidR="005B5B30" w:rsidRPr="005A3604" w:rsidRDefault="005B5B30" w:rsidP="00D36F37">
            <w:pPr>
              <w:rPr>
                <w:sz w:val="22"/>
                <w:szCs w:val="22"/>
              </w:rPr>
            </w:pPr>
            <w:r w:rsidRPr="005A3604">
              <w:rPr>
                <w:sz w:val="22"/>
                <w:szCs w:val="22"/>
              </w:rPr>
              <w:t>IŠ VISO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843" w14:textId="53D03C1A" w:rsidR="005B5B30" w:rsidRPr="005A3604" w:rsidRDefault="005A3604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588A" w14:textId="677BA333" w:rsidR="005B5B30" w:rsidRPr="005A3604" w:rsidRDefault="005A3604" w:rsidP="005A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175</w:t>
            </w:r>
          </w:p>
        </w:tc>
      </w:tr>
    </w:tbl>
    <w:p w14:paraId="0F479845" w14:textId="77777777" w:rsidR="00974AC2" w:rsidRPr="00352E3C" w:rsidRDefault="00974AC2" w:rsidP="00496550">
      <w:pPr>
        <w:pStyle w:val="Betarp"/>
        <w:spacing w:line="360" w:lineRule="auto"/>
        <w:ind w:firstLine="720"/>
        <w:jc w:val="both"/>
        <w:rPr>
          <w:b/>
        </w:rPr>
      </w:pPr>
    </w:p>
    <w:p w14:paraId="0F479846" w14:textId="77777777" w:rsidR="00536E24" w:rsidRPr="00352E3C" w:rsidRDefault="00536E24" w:rsidP="00EE6BC1">
      <w:pPr>
        <w:jc w:val="both"/>
        <w:rPr>
          <w:rFonts w:eastAsia="Times New Roman"/>
          <w:color w:val="000000"/>
          <w:sz w:val="27"/>
          <w:szCs w:val="27"/>
          <w:lang w:eastAsia="en-US"/>
        </w:rPr>
      </w:pPr>
    </w:p>
    <w:p w14:paraId="56B2A5B8" w14:textId="77777777" w:rsidR="00D36F37" w:rsidRDefault="00D36F37" w:rsidP="005E4F1D">
      <w:pPr>
        <w:pStyle w:val="Betarp"/>
        <w:spacing w:line="360" w:lineRule="auto"/>
        <w:ind w:firstLine="720"/>
        <w:jc w:val="both"/>
        <w:rPr>
          <w:b/>
        </w:rPr>
      </w:pPr>
    </w:p>
    <w:p w14:paraId="298C2D18" w14:textId="7BE6D125" w:rsidR="00D36F37" w:rsidRDefault="00D36F37" w:rsidP="005E4F1D">
      <w:pPr>
        <w:pStyle w:val="Betarp"/>
        <w:spacing w:line="360" w:lineRule="auto"/>
        <w:ind w:firstLine="720"/>
        <w:jc w:val="both"/>
        <w:rPr>
          <w:b/>
        </w:rPr>
      </w:pPr>
    </w:p>
    <w:p w14:paraId="60F26E3A" w14:textId="77777777" w:rsidR="00ED08E2" w:rsidRDefault="00ED08E2" w:rsidP="005E4F1D">
      <w:pPr>
        <w:pStyle w:val="Betarp"/>
        <w:spacing w:line="360" w:lineRule="auto"/>
        <w:ind w:firstLine="720"/>
        <w:jc w:val="both"/>
        <w:rPr>
          <w:b/>
        </w:rPr>
      </w:pPr>
    </w:p>
    <w:p w14:paraId="0F479847" w14:textId="29FC3203" w:rsidR="00B12844" w:rsidRDefault="00255B1A" w:rsidP="005E4F1D">
      <w:pPr>
        <w:pStyle w:val="Betarp"/>
        <w:spacing w:line="360" w:lineRule="auto"/>
        <w:ind w:firstLine="720"/>
        <w:jc w:val="both"/>
        <w:rPr>
          <w:b/>
        </w:rPr>
      </w:pPr>
      <w:r w:rsidRPr="00352E3C">
        <w:rPr>
          <w:b/>
        </w:rPr>
        <w:lastRenderedPageBreak/>
        <w:t xml:space="preserve">3. </w:t>
      </w:r>
      <w:r w:rsidR="007D747D">
        <w:rPr>
          <w:b/>
        </w:rPr>
        <w:t xml:space="preserve">Svarbiausi kiekybiniai duomenys per 2018 m. </w:t>
      </w:r>
      <w:r w:rsidR="00D36F37">
        <w:rPr>
          <w:b/>
        </w:rPr>
        <w:t>I</w:t>
      </w:r>
      <w:r w:rsidR="007D747D">
        <w:rPr>
          <w:b/>
        </w:rPr>
        <w:t>I ketvirtį</w:t>
      </w:r>
      <w:r w:rsidR="00B12844" w:rsidRPr="00352E3C">
        <w:rPr>
          <w:b/>
        </w:rPr>
        <w:t xml:space="preserve"> </w:t>
      </w:r>
    </w:p>
    <w:p w14:paraId="0F479848" w14:textId="749DF596" w:rsidR="0050518E" w:rsidRPr="002F26AB" w:rsidRDefault="007D747D" w:rsidP="0050518E">
      <w:pPr>
        <w:pStyle w:val="Betarp"/>
        <w:spacing w:line="360" w:lineRule="auto"/>
        <w:ind w:firstLine="720"/>
        <w:jc w:val="both"/>
      </w:pPr>
      <w:r w:rsidRPr="002F26AB">
        <w:t xml:space="preserve">Per šių metų </w:t>
      </w:r>
      <w:r w:rsidR="006A34E9" w:rsidRPr="002F26AB">
        <w:t xml:space="preserve">antrąjį </w:t>
      </w:r>
      <w:r w:rsidRPr="002F26AB">
        <w:t>ketvirtį iš viso gaut</w:t>
      </w:r>
      <w:r w:rsidR="00170ACB" w:rsidRPr="002F26AB">
        <w:t>a</w:t>
      </w:r>
      <w:r w:rsidRPr="002F26AB">
        <w:t xml:space="preserve"> </w:t>
      </w:r>
      <w:r w:rsidR="00170ACB" w:rsidRPr="002F26AB">
        <w:rPr>
          <w:b/>
        </w:rPr>
        <w:t>1</w:t>
      </w:r>
      <w:r w:rsidRPr="002F26AB">
        <w:rPr>
          <w:b/>
        </w:rPr>
        <w:t>7</w:t>
      </w:r>
      <w:r w:rsidRPr="002F26AB">
        <w:t xml:space="preserve"> paramos paraišk</w:t>
      </w:r>
      <w:r w:rsidR="00170ACB" w:rsidRPr="002F26AB">
        <w:t>ų</w:t>
      </w:r>
      <w:r w:rsidRPr="002F26AB">
        <w:t xml:space="preserve">: </w:t>
      </w:r>
      <w:r w:rsidRPr="002F26AB">
        <w:rPr>
          <w:b/>
        </w:rPr>
        <w:t>2</w:t>
      </w:r>
      <w:r w:rsidRPr="002F26AB">
        <w:t xml:space="preserve"> pagal priemonę „Žvejybos poveikio jūrų aplinkai mažinimas ir žvejybos pritaikymas siekiant apsaugoti rūšis“ (</w:t>
      </w:r>
      <w:r w:rsidR="00170ACB" w:rsidRPr="002F26AB">
        <w:t xml:space="preserve">iš viso gautos 4 paramos paraiškos, kuriose </w:t>
      </w:r>
      <w:r w:rsidRPr="002F26AB">
        <w:t xml:space="preserve">prašoma paramos suma </w:t>
      </w:r>
      <w:r w:rsidR="002F26AB" w:rsidRPr="002F26AB">
        <w:t xml:space="preserve">beveik </w:t>
      </w:r>
      <w:r w:rsidR="00170ACB" w:rsidRPr="002F26AB">
        <w:t>2</w:t>
      </w:r>
      <w:r w:rsidR="002F26AB" w:rsidRPr="002F26AB">
        <w:t>9</w:t>
      </w:r>
      <w:r w:rsidR="00747623" w:rsidRPr="002F26AB">
        <w:t xml:space="preserve"> tūkst. Eur)</w:t>
      </w:r>
      <w:r w:rsidRPr="002F26AB">
        <w:t>,</w:t>
      </w:r>
      <w:r w:rsidRPr="002F26AB">
        <w:rPr>
          <w:b/>
        </w:rPr>
        <w:t xml:space="preserve"> </w:t>
      </w:r>
      <w:r w:rsidR="00170ACB" w:rsidRPr="002F26AB">
        <w:rPr>
          <w:b/>
        </w:rPr>
        <w:t>2</w:t>
      </w:r>
      <w:r w:rsidR="00747623" w:rsidRPr="002F26AB">
        <w:t xml:space="preserve"> pagal priemonę „</w:t>
      </w:r>
      <w:r w:rsidR="00170ACB" w:rsidRPr="002F26AB">
        <w:rPr>
          <w:color w:val="000000"/>
          <w:sz w:val="22"/>
          <w:szCs w:val="22"/>
          <w:lang w:eastAsia="en-US"/>
        </w:rPr>
        <w:t>Pridėtinė vertė, produktų kokybė ir nepageidaujamos priegaudos panaudojimas</w:t>
      </w:r>
      <w:r w:rsidR="00747623" w:rsidRPr="002F26AB">
        <w:t xml:space="preserve">“ (prašoma paramos suma </w:t>
      </w:r>
      <w:r w:rsidR="00170ACB" w:rsidRPr="002F26AB">
        <w:t>2,13</w:t>
      </w:r>
      <w:r w:rsidR="00747623" w:rsidRPr="002F26AB">
        <w:t xml:space="preserve"> mln. Eur)</w:t>
      </w:r>
      <w:r w:rsidR="00170ACB" w:rsidRPr="002F26AB">
        <w:t xml:space="preserve">, </w:t>
      </w:r>
      <w:r w:rsidR="00170ACB" w:rsidRPr="002F26AB">
        <w:rPr>
          <w:b/>
        </w:rPr>
        <w:t>5</w:t>
      </w:r>
      <w:r w:rsidR="00170ACB" w:rsidRPr="002F26AB">
        <w:t xml:space="preserve"> pagal priemonę „</w:t>
      </w:r>
      <w:r w:rsidR="00170ACB" w:rsidRPr="002F26AB">
        <w:rPr>
          <w:color w:val="000000"/>
          <w:sz w:val="22"/>
          <w:szCs w:val="22"/>
          <w:lang w:eastAsia="en-US"/>
        </w:rPr>
        <w:t xml:space="preserve">Pridėtinė vertė, produktų kokybė ir nepageidaujamos priegaudos panaudojimas </w:t>
      </w:r>
      <w:r w:rsidR="00170ACB" w:rsidRPr="002F26AB">
        <w:t>(Supaprastinta parama)“ (prašoma paramos suma 164 tūkst. Eur),</w:t>
      </w:r>
      <w:r w:rsidR="00747623" w:rsidRPr="002F26AB">
        <w:t xml:space="preserve"> </w:t>
      </w:r>
      <w:r w:rsidR="00170ACB" w:rsidRPr="002F26AB">
        <w:rPr>
          <w:b/>
        </w:rPr>
        <w:t>5</w:t>
      </w:r>
      <w:r w:rsidR="00170ACB" w:rsidRPr="002F26AB">
        <w:t xml:space="preserve"> pagal priemonę „Produktyvios investicijos į akvakultūrą“ (prašoma paramos suma </w:t>
      </w:r>
      <w:r w:rsidR="002F26AB" w:rsidRPr="002F26AB">
        <w:t>583</w:t>
      </w:r>
      <w:r w:rsidR="00170ACB" w:rsidRPr="002F26AB">
        <w:t xml:space="preserve"> tūkst. Eur)</w:t>
      </w:r>
      <w:r w:rsidR="002F26AB" w:rsidRPr="002F26AB">
        <w:t xml:space="preserve">, </w:t>
      </w:r>
      <w:r w:rsidR="00170ACB" w:rsidRPr="002F26AB">
        <w:rPr>
          <w:b/>
        </w:rPr>
        <w:t>2</w:t>
      </w:r>
      <w:r w:rsidR="00170ACB" w:rsidRPr="002F26AB">
        <w:t xml:space="preserve"> pagal priemonę „Produktyvios investicijos į akvakultūrą (Supaprastinta parama)“ (iš viso gautos 3 paramos paraiškos, kuriose prašoma paramos suma 144,35 tūkst. Eur), </w:t>
      </w:r>
      <w:r w:rsidR="00747623" w:rsidRPr="002F26AB">
        <w:t xml:space="preserve">ir </w:t>
      </w:r>
      <w:r w:rsidR="00747623" w:rsidRPr="002F26AB">
        <w:rPr>
          <w:b/>
        </w:rPr>
        <w:t>1</w:t>
      </w:r>
      <w:r w:rsidR="00747623" w:rsidRPr="002F26AB">
        <w:t xml:space="preserve"> pagal priemonę „</w:t>
      </w:r>
      <w:r w:rsidR="002F26AB" w:rsidRPr="002F26AB">
        <w:rPr>
          <w:color w:val="000000"/>
          <w:sz w:val="22"/>
          <w:szCs w:val="22"/>
          <w:lang w:eastAsia="en-US"/>
        </w:rPr>
        <w:t>Produktyvios investicijos į akvakultūrą. Energijos vartojimo efektyvumo didinimas ir atsinaujinančioji energija</w:t>
      </w:r>
      <w:r w:rsidR="00747623" w:rsidRPr="002F26AB">
        <w:t xml:space="preserve">“ (prašoma </w:t>
      </w:r>
      <w:r w:rsidR="0050518E" w:rsidRPr="002F26AB">
        <w:t xml:space="preserve">paramos suma </w:t>
      </w:r>
      <w:r w:rsidR="002F26AB" w:rsidRPr="002F26AB">
        <w:t>14 tūkst.</w:t>
      </w:r>
      <w:r w:rsidR="0050518E" w:rsidRPr="002F26AB">
        <w:t xml:space="preserve"> Eur). </w:t>
      </w:r>
    </w:p>
    <w:p w14:paraId="0F47984A" w14:textId="01775994" w:rsidR="00B96309" w:rsidRPr="007D747D" w:rsidRDefault="00B96309" w:rsidP="0050518E">
      <w:pPr>
        <w:pStyle w:val="Betarp"/>
        <w:spacing w:line="360" w:lineRule="auto"/>
        <w:ind w:firstLine="720"/>
        <w:jc w:val="both"/>
      </w:pPr>
      <w:r>
        <w:t>Iš vis</w:t>
      </w:r>
      <w:r w:rsidR="00FE5930">
        <w:t>o</w:t>
      </w:r>
      <w:r>
        <w:t xml:space="preserve"> pasirašytos </w:t>
      </w:r>
      <w:r w:rsidR="009E56EC">
        <w:t>13</w:t>
      </w:r>
      <w:r>
        <w:t xml:space="preserve"> paramos sutar</w:t>
      </w:r>
      <w:r w:rsidR="009E56EC">
        <w:t xml:space="preserve">čių </w:t>
      </w:r>
      <w:r>
        <w:t>ir (arba) patvirtint</w:t>
      </w:r>
      <w:r w:rsidR="009E56EC">
        <w:t xml:space="preserve">a paramos </w:t>
      </w:r>
      <w:r>
        <w:t>paraišk</w:t>
      </w:r>
      <w:r w:rsidR="009E56EC">
        <w:t>ų</w:t>
      </w:r>
      <w:r>
        <w:t>, kuriom</w:t>
      </w:r>
      <w:r w:rsidR="00E335C6">
        <w:t xml:space="preserve">s iš viso skirta </w:t>
      </w:r>
      <w:r w:rsidR="009E56EC">
        <w:t>1,9</w:t>
      </w:r>
      <w:r w:rsidR="00E335C6">
        <w:t xml:space="preserve"> mln. Eur</w:t>
      </w:r>
      <w:r w:rsidR="008617D4">
        <w:t>,</w:t>
      </w:r>
      <w:r w:rsidR="00E335C6">
        <w:t xml:space="preserve"> </w:t>
      </w:r>
      <w:r w:rsidR="008617D4">
        <w:t>t</w:t>
      </w:r>
      <w:r w:rsidR="00E335C6">
        <w:t>.</w:t>
      </w:r>
      <w:r w:rsidR="00FE5930">
        <w:t xml:space="preserve"> </w:t>
      </w:r>
      <w:r w:rsidR="00E335C6">
        <w:t xml:space="preserve">y. </w:t>
      </w:r>
      <w:r w:rsidR="002F26AB">
        <w:t>2</w:t>
      </w:r>
      <w:r w:rsidR="00E335C6">
        <w:t>1 sutar</w:t>
      </w:r>
      <w:r w:rsidR="009E56EC">
        <w:t>timi</w:t>
      </w:r>
      <w:r w:rsidR="00E335C6">
        <w:t xml:space="preserve"> ir </w:t>
      </w:r>
      <w:r w:rsidR="009E56EC">
        <w:t>4,4</w:t>
      </w:r>
      <w:r w:rsidR="00E335C6">
        <w:t xml:space="preserve"> mln. Eur </w:t>
      </w:r>
      <w:r w:rsidR="009E56EC">
        <w:t>mažiau</w:t>
      </w:r>
      <w:r w:rsidR="00E335C6">
        <w:t xml:space="preserve"> nei praėjusįjį ketvirtį</w:t>
      </w:r>
      <w:r w:rsidR="008526BC">
        <w:t xml:space="preserve">, nes didžioji dalis 2017 m. pateiktų paramos paraiškų buvo įvertinta ir sutartys </w:t>
      </w:r>
      <w:r w:rsidR="00AF5E78">
        <w:t xml:space="preserve">pasirašytos iki 2018 m. II ketvirčio. </w:t>
      </w:r>
      <w:r w:rsidR="00E335C6">
        <w:t xml:space="preserve"> </w:t>
      </w:r>
    </w:p>
    <w:p w14:paraId="0F47984B" w14:textId="7752F0C1" w:rsidR="00263A3D" w:rsidRDefault="00E335C6" w:rsidP="00E335C6">
      <w:pPr>
        <w:pStyle w:val="Betarp"/>
        <w:spacing w:line="360" w:lineRule="auto"/>
        <w:ind w:firstLine="720"/>
        <w:jc w:val="both"/>
      </w:pPr>
      <w:r>
        <w:t xml:space="preserve">Europos komisijai buvo deklaruota </w:t>
      </w:r>
      <w:r w:rsidR="00AF5E78">
        <w:t>0,392</w:t>
      </w:r>
      <w:r>
        <w:t xml:space="preserve"> mln. Eur EJRŽF paramos dalis už laikotarpį nuo 201</w:t>
      </w:r>
      <w:r w:rsidR="00AF5E78">
        <w:t>8</w:t>
      </w:r>
      <w:r>
        <w:t>-</w:t>
      </w:r>
      <w:r w:rsidR="00AF5E78">
        <w:t>01</w:t>
      </w:r>
      <w:r>
        <w:t>-01 iki 201</w:t>
      </w:r>
      <w:r w:rsidR="00AF5E78">
        <w:t>8</w:t>
      </w:r>
      <w:r>
        <w:t>-</w:t>
      </w:r>
      <w:r w:rsidR="00AF5E78">
        <w:t>04-30</w:t>
      </w:r>
      <w:r>
        <w:t xml:space="preserve">. </w:t>
      </w:r>
      <w:r w:rsidR="00FF48BA">
        <w:t xml:space="preserve"> </w:t>
      </w:r>
      <w:r w:rsidR="00AF5E78">
        <w:t xml:space="preserve">Liepos mėnesį deklaruota dar 1,2 </w:t>
      </w:r>
      <w:r w:rsidR="00FF48BA">
        <w:t xml:space="preserve"> </w:t>
      </w:r>
      <w:r w:rsidR="00AF5E78">
        <w:t>mln. Eur EJRŽF paramos dalis už laikotarpį nuo 2018-04-01 iki 2018-06-30.</w:t>
      </w:r>
    </w:p>
    <w:p w14:paraId="0F47984C" w14:textId="77777777" w:rsidR="003B17AD" w:rsidRPr="00EE54E2" w:rsidRDefault="003B17AD" w:rsidP="00B4213C">
      <w:pPr>
        <w:pStyle w:val="Betarp"/>
        <w:spacing w:line="360" w:lineRule="auto"/>
        <w:ind w:firstLine="709"/>
        <w:jc w:val="both"/>
      </w:pPr>
    </w:p>
    <w:p w14:paraId="6799BF76" w14:textId="77777777" w:rsidR="00236D08" w:rsidRDefault="008D2D5C" w:rsidP="00236D08">
      <w:pPr>
        <w:spacing w:line="360" w:lineRule="auto"/>
        <w:ind w:firstLine="567"/>
        <w:jc w:val="both"/>
        <w:rPr>
          <w:b/>
        </w:rPr>
      </w:pPr>
      <w:r>
        <w:rPr>
          <w:b/>
        </w:rPr>
        <w:t>4</w:t>
      </w:r>
      <w:r w:rsidR="00350FD3" w:rsidRPr="00154EF4">
        <w:rPr>
          <w:b/>
        </w:rPr>
        <w:t>. Esminių teigiamų pokyčių, atsiradusių sektoriuose dėl Pro</w:t>
      </w:r>
      <w:r w:rsidR="00236D08">
        <w:rPr>
          <w:b/>
        </w:rPr>
        <w:t>gramų lėšų investicijų, analizė</w:t>
      </w:r>
    </w:p>
    <w:p w14:paraId="20C538B8" w14:textId="4ADE6169" w:rsidR="00236D08" w:rsidRDefault="00236D08" w:rsidP="00236D08">
      <w:pPr>
        <w:spacing w:line="360" w:lineRule="auto"/>
        <w:ind w:firstLine="567"/>
        <w:jc w:val="both"/>
      </w:pPr>
      <w:r>
        <w:t xml:space="preserve">Reikšminga pagalba priekrantės žvejams yra pagal </w:t>
      </w:r>
      <w:proofErr w:type="spellStart"/>
      <w:r>
        <w:t>priemonę</w:t>
      </w:r>
      <w:r w:rsidR="008617D4">
        <w:t>„</w:t>
      </w:r>
      <w:r>
        <w:t>Jūrų</w:t>
      </w:r>
      <w:proofErr w:type="spellEnd"/>
      <w:r>
        <w:t xml:space="preserve"> biologinės įvairovės išsaugojimas ir atkūrimas. Laimikiui žinduolių ir paukščių padarytos žalos kompensavimo sistemos" teikiamos kompensacijos už ruonių daromą žalą.  </w:t>
      </w:r>
      <w:r w:rsidR="00AF5E78">
        <w:t xml:space="preserve">Priekrantės žvejai ne tik naudojasi </w:t>
      </w:r>
      <w:r w:rsidR="00AF5E78" w:rsidRPr="006322D2">
        <w:t xml:space="preserve">galimybe gauti kompensacijas </w:t>
      </w:r>
      <w:r>
        <w:t>pagal minėtą priemonę</w:t>
      </w:r>
      <w:r w:rsidR="00AF5E78" w:rsidRPr="006322D2">
        <w:t xml:space="preserve">, </w:t>
      </w:r>
      <w:r w:rsidR="00AF5E78">
        <w:t>bet ir aktyviai dalyvauja investicinėse priemonėse. Ankstesniaisiais paramos teikimo laikotarpiais (iki 2014</w:t>
      </w:r>
      <w:r w:rsidR="008617D4">
        <w:t>–</w:t>
      </w:r>
      <w:r w:rsidR="00AF5E78">
        <w:t xml:space="preserve">2020 metų veiksmų programos įgyvendinimo) žvejai buvo aktyvūs tik kompensacinėse pasitraukimo iš žvejybos verslo priemonėse.   Pagal priemonę </w:t>
      </w:r>
      <w:r w:rsidR="008617D4">
        <w:t>„</w:t>
      </w:r>
      <w:r w:rsidR="00AF5E78">
        <w:t>Žvejybos poveikio jūrų aplinkai mažinimas ir žvejybos pritaikymas gyvūnų apsaugai" parama teikiama investicijoms į selektyvesnius žvejybos įrankius. Pagal šią priemonę jau  12 žvejybos įmonių skirta beveik 214 tūkst. Eur paramos</w:t>
      </w:r>
      <w:r>
        <w:t xml:space="preserve">, 8 paramos paraiškos pateiktos 2017 m., 4 – 2018 m. </w:t>
      </w:r>
      <w:r w:rsidR="00AF5E78">
        <w:t xml:space="preserve">Šiemet paraiškos pagal šią priemonę dar bus priimamos du mėnesius nuo rugpjūčio 6 d. Pagal priemonę </w:t>
      </w:r>
      <w:r w:rsidR="008617D4">
        <w:t>„</w:t>
      </w:r>
      <w:r w:rsidR="00AF5E78">
        <w:t>Pridėtinė vertė, produktų kokybė ir nepageidaujamos priegaudos panaudojimas" parama teikiama norint investuoti į savo sužvejoto laimikio pridėtinės vertės kūrimą (pvz.</w:t>
      </w:r>
      <w:r w:rsidR="008617D4">
        <w:t>,</w:t>
      </w:r>
      <w:r w:rsidR="00AF5E78">
        <w:t xml:space="preserve"> perdirbimą, pirminį pardavimą), taip pat remiamos investicijos skirtos pagerinti ar išlaikyti sužvejoto laimikio kokybę. Pagal šią priemonę </w:t>
      </w:r>
      <w:r w:rsidR="008617D4">
        <w:t>per</w:t>
      </w:r>
      <w:r w:rsidR="00AF5E78">
        <w:t xml:space="preserve"> 253 tūkst. Eur parama skirta jau 5 žvejybos įmonėms,  šiuo </w:t>
      </w:r>
      <w:r w:rsidR="00AF5E78">
        <w:lastRenderedPageBreak/>
        <w:t xml:space="preserve">metu vertinamos dar 7 žvejybos įmonių </w:t>
      </w:r>
      <w:r>
        <w:t xml:space="preserve">2018 m. II ketvirti  </w:t>
      </w:r>
      <w:r w:rsidR="00AF5E78">
        <w:t xml:space="preserve"> pateiktos paramos paraiškos. Šiemet paraiškos pagal šią priemonę (supaprastinta tvarka) dar bus priimamos du mėnesius nuo rugpjūčio 6 d. (pridedu </w:t>
      </w:r>
    </w:p>
    <w:p w14:paraId="1D58B0C7" w14:textId="415EF22E" w:rsidR="00236D08" w:rsidRDefault="00236D08" w:rsidP="00236D08">
      <w:pPr>
        <w:pStyle w:val="Betarp"/>
        <w:spacing w:line="360" w:lineRule="auto"/>
        <w:ind w:firstLine="709"/>
        <w:jc w:val="both"/>
      </w:pPr>
      <w:r>
        <w:t>Veiksmai ir priežastys, sąlygojusios šių rezultatų pasiekimą</w:t>
      </w:r>
      <w:r w:rsidR="008617D4">
        <w:t>,</w:t>
      </w:r>
      <w:r w:rsidR="00810F4C" w:rsidRPr="006322D2">
        <w:t xml:space="preserve"> </w:t>
      </w:r>
      <w:r>
        <w:t xml:space="preserve"> nurodytos 2018 m. I ketvirčio ataskaitoje. </w:t>
      </w:r>
    </w:p>
    <w:p w14:paraId="0F479855" w14:textId="61F16410" w:rsidR="0022405C" w:rsidRPr="00635E0C" w:rsidRDefault="00236D08" w:rsidP="00635E0C">
      <w:pPr>
        <w:pStyle w:val="Betarp"/>
        <w:spacing w:line="360" w:lineRule="auto"/>
        <w:ind w:firstLine="709"/>
        <w:jc w:val="both"/>
      </w:pPr>
      <w:r>
        <w:t xml:space="preserve">Šiuo paramos teikimo laikotarpiu toliau aktyviai investuojama į Lietuvos akvakultūros sektorių. Pagal priemonę "Produktyvios investicijos į akvakultūrą"  </w:t>
      </w:r>
      <w:r w:rsidR="008617D4">
        <w:t>per</w:t>
      </w:r>
      <w:r>
        <w:t xml:space="preserve"> 3,5 mln. Eur paramos  jau skirta 21 akvakultūros projektui. 8 iš jų modernizuojami tvenkinių akvakultūros ūkiai, 13 numatoma plėsti gamybą uždarose akvakultūros sistemose </w:t>
      </w:r>
      <w:r w:rsidR="008617D4">
        <w:t>–</w:t>
      </w:r>
      <w:r>
        <w:t xml:space="preserve"> įgyvendinus projektus papildomai užauginti </w:t>
      </w:r>
      <w:r w:rsidR="008617D4">
        <w:t>per</w:t>
      </w:r>
      <w:r>
        <w:t xml:space="preserve"> 280 t </w:t>
      </w:r>
      <w:r w:rsidR="00635E0C">
        <w:t xml:space="preserve">afrikinių </w:t>
      </w:r>
      <w:r>
        <w:t xml:space="preserve">šamų, </w:t>
      </w:r>
      <w:r w:rsidR="008617D4">
        <w:t>per</w:t>
      </w:r>
      <w:r>
        <w:t xml:space="preserve"> 250 t upėtakių, taip pat planuojama auginti </w:t>
      </w:r>
      <w:proofErr w:type="spellStart"/>
      <w:r>
        <w:t>tilapijas</w:t>
      </w:r>
      <w:proofErr w:type="spellEnd"/>
      <w:r>
        <w:t xml:space="preserve">, vėžius ir eršketus.  Palyginimui </w:t>
      </w:r>
      <w:r w:rsidR="00635E0C">
        <w:t xml:space="preserve">2017 m. Lietuvos akvakultūros įmonės uždarose akvakultūros sistemose užaugino ir realizavo 164 t  afrikinių šamų, 106 t upėtakių, iš viso uždarose akvakultūros sistemose užauginta ir realizuota 327 t žuvų. </w:t>
      </w:r>
      <w:r>
        <w:t>Šiuo metu vertinamos dar 6 akvakultūros įmonių šiemet pateiktos paramos paraiškos. Šiemet paraiškos pagal šią priemonę (supaprastinta tvarka) dar bus priimamos du mėnesius nuo spalio 29  d. Praeitame 2007</w:t>
      </w:r>
      <w:r w:rsidR="00635E0C">
        <w:t>–</w:t>
      </w:r>
      <w:r>
        <w:t xml:space="preserve">2013 m. paramos teikimo laikotarpyje buvo daug investuota į  žvejybos ir akvakultūros produktų perdirbimo sektorių, kurios buvo labai efektyvios </w:t>
      </w:r>
      <w:r w:rsidR="008617D4">
        <w:t>–</w:t>
      </w:r>
      <w:r>
        <w:t xml:space="preserve"> ženkliai išaugo gamybos, eksporto rezultatai, buvo sukurta virš 1 tūkst. darbo vietų.  Šiuo laikotarpiu paramą gali gauti tik vidutinės, mažos ir labai mažos įmonės, o  prioritetas teikiamas savo produkcija perdirbti ketinančioms akvakultūros įmonėms.  Pagal priemonę </w:t>
      </w:r>
      <w:r w:rsidR="008617D4">
        <w:t>„</w:t>
      </w:r>
      <w:r>
        <w:t xml:space="preserve">Žvejybos ir akvakultūros produktų perdirbimas" ligi šiol beveik 3,5 mln. Eur parama skirta 9 įmonėms, iš kurių 4 užsiima akvakultūros gamyba. Ateityje tikimasi dar didesnio akvakultūros įmonių aktyvumo. Pagal šia priemonę paramos paraiškų priėmimas vyksta iki rugpjūčio  3 d. </w:t>
      </w:r>
    </w:p>
    <w:p w14:paraId="54B40DAE" w14:textId="77777777" w:rsidR="00635E0C" w:rsidRDefault="00BF0944" w:rsidP="00635E0C">
      <w:pPr>
        <w:spacing w:line="360" w:lineRule="auto"/>
        <w:ind w:firstLine="709"/>
        <w:jc w:val="both"/>
        <w:rPr>
          <w:b/>
        </w:rPr>
      </w:pPr>
      <w:r>
        <w:rPr>
          <w:b/>
        </w:rPr>
        <w:t>5</w:t>
      </w:r>
      <w:r w:rsidR="00D73695" w:rsidRPr="00154EF4">
        <w:rPr>
          <w:b/>
        </w:rPr>
        <w:t xml:space="preserve">. </w:t>
      </w:r>
      <w:r w:rsidR="00A41809" w:rsidRPr="00154EF4">
        <w:rPr>
          <w:b/>
        </w:rPr>
        <w:t>Veiksmų prog</w:t>
      </w:r>
      <w:r w:rsidR="00A41809" w:rsidRPr="000E2F4B">
        <w:rPr>
          <w:b/>
        </w:rPr>
        <w:t>ramos veiklos plane numatytų</w:t>
      </w:r>
      <w:r w:rsidR="007D722D">
        <w:rPr>
          <w:b/>
        </w:rPr>
        <w:t xml:space="preserve"> finansinių </w:t>
      </w:r>
      <w:r w:rsidR="00A41809" w:rsidRPr="000E2F4B">
        <w:rPr>
          <w:b/>
        </w:rPr>
        <w:t xml:space="preserve">rodiklių pasiekimas pagal prioritetines kryptis </w:t>
      </w:r>
    </w:p>
    <w:p w14:paraId="570DCA9C" w14:textId="17B9ADEB" w:rsidR="00635E0C" w:rsidRPr="007D722D" w:rsidRDefault="00C03987" w:rsidP="00635E0C">
      <w:pPr>
        <w:spacing w:line="360" w:lineRule="auto"/>
        <w:ind w:firstLine="709"/>
        <w:jc w:val="both"/>
      </w:pPr>
      <w:r>
        <w:t>Pe</w:t>
      </w:r>
      <w:r w:rsidR="00CA49EA">
        <w:t xml:space="preserve">r </w:t>
      </w:r>
      <w:r>
        <w:t>antrąjį</w:t>
      </w:r>
      <w:r w:rsidR="00CA49EA">
        <w:t xml:space="preserve"> </w:t>
      </w:r>
      <w:r w:rsidR="00635E0C">
        <w:t>2018 m. ketvirtį sertifikavimo institucija EK</w:t>
      </w:r>
      <w:r w:rsidR="00CA49EA">
        <w:t xml:space="preserve"> deklaravo </w:t>
      </w:r>
      <w:r>
        <w:t>0,481</w:t>
      </w:r>
      <w:r w:rsidR="00635E0C">
        <w:t xml:space="preserve"> mln. Eur </w:t>
      </w:r>
      <w:r w:rsidR="00635E0C" w:rsidRPr="007D722D">
        <w:t>(EJRŽF</w:t>
      </w:r>
      <w:r w:rsidR="008617D4">
        <w:t xml:space="preserve"> </w:t>
      </w:r>
      <w:r w:rsidR="00635E0C" w:rsidRPr="007D722D">
        <w:t>+</w:t>
      </w:r>
      <w:r w:rsidR="008617D4">
        <w:t xml:space="preserve"> </w:t>
      </w:r>
      <w:r w:rsidR="00635E0C" w:rsidRPr="007D722D">
        <w:t>bendrojo finansavimo lėšos)</w:t>
      </w:r>
      <w:r w:rsidR="00635E0C">
        <w:t xml:space="preserve">. </w:t>
      </w:r>
    </w:p>
    <w:p w14:paraId="0F479856" w14:textId="77777777" w:rsidR="00A41809" w:rsidRDefault="00A41809" w:rsidP="000E2F4B">
      <w:pPr>
        <w:spacing w:line="360" w:lineRule="auto"/>
        <w:ind w:firstLine="567"/>
        <w:rPr>
          <w:b/>
        </w:rPr>
      </w:pPr>
    </w:p>
    <w:p w14:paraId="0F479857" w14:textId="7B437EB4" w:rsidR="00F738D2" w:rsidRDefault="00C03987" w:rsidP="000E2F4B">
      <w:pPr>
        <w:spacing w:line="360" w:lineRule="auto"/>
        <w:ind w:firstLine="567"/>
        <w:rPr>
          <w:b/>
        </w:rPr>
      </w:pPr>
      <w:r>
        <w:rPr>
          <w:noProof/>
        </w:rPr>
        <w:lastRenderedPageBreak/>
        <w:drawing>
          <wp:inline distT="0" distB="0" distL="0" distR="0" wp14:anchorId="6760B39A" wp14:editId="1C4AF7C1">
            <wp:extent cx="5977255" cy="4305935"/>
            <wp:effectExtent l="0" t="0" r="4445" b="18415"/>
            <wp:docPr id="5" name="Diagrama 5">
              <a:extLst xmlns:a="http://schemas.openxmlformats.org/drawingml/2006/main">
                <a:ext uri="{FF2B5EF4-FFF2-40B4-BE49-F238E27FC236}">
                  <a16:creationId xmlns:a16="http://schemas.microsoft.com/office/drawing/2014/main" id="{831310AE-D99D-43FC-9395-D15F65C718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479859" w14:textId="77777777" w:rsidR="00F738D2" w:rsidRDefault="00F738D2" w:rsidP="000E2F4B">
      <w:pPr>
        <w:spacing w:line="360" w:lineRule="auto"/>
        <w:ind w:firstLine="567"/>
        <w:rPr>
          <w:b/>
        </w:rPr>
      </w:pPr>
    </w:p>
    <w:p w14:paraId="0F47985A" w14:textId="77777777" w:rsidR="007D722D" w:rsidRDefault="00BF0944" w:rsidP="007D722D">
      <w:pPr>
        <w:spacing w:line="360" w:lineRule="auto"/>
        <w:ind w:firstLine="567"/>
        <w:rPr>
          <w:b/>
        </w:rPr>
      </w:pPr>
      <w:r>
        <w:rPr>
          <w:b/>
        </w:rPr>
        <w:t>6</w:t>
      </w:r>
      <w:r w:rsidR="007D722D" w:rsidRPr="00154EF4">
        <w:rPr>
          <w:b/>
        </w:rPr>
        <w:t>. Veiksmų prog</w:t>
      </w:r>
      <w:r w:rsidR="007D722D" w:rsidRPr="000E2F4B">
        <w:rPr>
          <w:b/>
        </w:rPr>
        <w:t>ramos veiklos plane numatytų</w:t>
      </w:r>
      <w:r w:rsidR="007D722D">
        <w:rPr>
          <w:b/>
        </w:rPr>
        <w:t xml:space="preserve"> produkto </w:t>
      </w:r>
      <w:r w:rsidR="007D722D" w:rsidRPr="000E2F4B">
        <w:rPr>
          <w:b/>
        </w:rPr>
        <w:t xml:space="preserve">rodiklių pasiekimas pagal prioritetines kryptis </w:t>
      </w:r>
    </w:p>
    <w:p w14:paraId="0F47985B" w14:textId="77777777" w:rsidR="00F738D2" w:rsidRPr="00154EF4" w:rsidRDefault="00F738D2" w:rsidP="008808C5">
      <w:pPr>
        <w:spacing w:line="360" w:lineRule="auto"/>
        <w:rPr>
          <w:b/>
        </w:rPr>
      </w:pPr>
    </w:p>
    <w:tbl>
      <w:tblPr>
        <w:tblpPr w:leftFromText="180" w:rightFromText="180" w:vertAnchor="text" w:horzAnchor="margin" w:tblpY="182"/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60"/>
        <w:gridCol w:w="1171"/>
        <w:gridCol w:w="989"/>
        <w:gridCol w:w="848"/>
        <w:gridCol w:w="1272"/>
        <w:gridCol w:w="989"/>
      </w:tblGrid>
      <w:tr w:rsidR="003927FF" w:rsidRPr="003927FF" w14:paraId="0F479862" w14:textId="77777777" w:rsidTr="00C03987">
        <w:trPr>
          <w:trHeight w:val="1691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5C" w14:textId="77777777" w:rsidR="003927FF" w:rsidRPr="003927FF" w:rsidRDefault="003927FF" w:rsidP="003927FF">
            <w:pPr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1 Sąjungos prioritetas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5D" w14:textId="77777777" w:rsidR="003927FF" w:rsidRPr="003927FF" w:rsidRDefault="003927FF" w:rsidP="003927FF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2018 m. orientyras</w:t>
            </w:r>
          </w:p>
          <w:p w14:paraId="0F47985E" w14:textId="77777777" w:rsidR="003927FF" w:rsidRPr="003927FF" w:rsidRDefault="003927FF" w:rsidP="003927FF">
            <w:pPr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5F" w14:textId="38C592F2" w:rsidR="003927FF" w:rsidRPr="003927FF" w:rsidRDefault="0070455D" w:rsidP="003927FF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Pasiekimas </w:t>
            </w:r>
            <w:r w:rsidR="008808C5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iki 2018</w:t>
            </w:r>
            <w:r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</w:t>
            </w:r>
            <w:r w:rsidR="008808C5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0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6</w:t>
            </w:r>
            <w:r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-3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0</w:t>
            </w:r>
          </w:p>
          <w:p w14:paraId="0F479860" w14:textId="77777777" w:rsidR="003927FF" w:rsidRPr="003927FF" w:rsidRDefault="003927FF" w:rsidP="003927FF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61" w14:textId="77777777" w:rsidR="003927FF" w:rsidRPr="003927FF" w:rsidRDefault="003927FF" w:rsidP="003927FF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Planuojamas pasiekimas iki 2018 </w:t>
            </w:r>
            <w:proofErr w:type="spellStart"/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pab</w:t>
            </w:r>
            <w:proofErr w:type="spellEnd"/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 pagal pasirašytas sutartis</w:t>
            </w:r>
          </w:p>
        </w:tc>
      </w:tr>
      <w:tr w:rsidR="003927FF" w:rsidRPr="003927FF" w14:paraId="0F479869" w14:textId="77777777" w:rsidTr="00C03987">
        <w:trPr>
          <w:trHeight w:val="686"/>
        </w:trPr>
        <w:tc>
          <w:tcPr>
            <w:tcW w:w="43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63" w14:textId="1202447D" w:rsidR="003927FF" w:rsidRPr="003927FF" w:rsidRDefault="003927FF" w:rsidP="003927FF">
            <w:pPr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Pridėtinei vertei, kokybei, nepageidaujamos priegaudos panaudojimui, taip pat žvejybos uostams iškrovimo aikštelėms, žuvų aukcionų salėms ir pastogėms skirtų projektų skaičius, 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v</w:t>
            </w: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nt</w:t>
            </w:r>
            <w:r w:rsidR="00C03987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64" w14:textId="77777777" w:rsidR="003927FF" w:rsidRPr="003927FF" w:rsidRDefault="003927FF" w:rsidP="003927FF">
            <w:pPr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color w:val="000000"/>
                <w:kern w:val="24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65" w14:textId="55F82AE3" w:rsidR="003927FF" w:rsidRPr="003927FF" w:rsidRDefault="00C03987" w:rsidP="003927FF">
            <w:pPr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kern w:val="24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66" w14:textId="060C5F5E" w:rsidR="003927FF" w:rsidRPr="003927FF" w:rsidRDefault="00C03987" w:rsidP="003927FF">
            <w:pPr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kern w:val="24"/>
                <w:sz w:val="26"/>
                <w:szCs w:val="26"/>
                <w:lang w:eastAsia="en-US"/>
              </w:rPr>
              <w:t>63</w:t>
            </w:r>
            <w:r w:rsidR="008808C5">
              <w:rPr>
                <w:rFonts w:eastAsia="Times New Roman"/>
                <w:color w:val="000000"/>
                <w:kern w:val="24"/>
                <w:sz w:val="26"/>
                <w:szCs w:val="26"/>
                <w:lang w:eastAsia="en-US"/>
              </w:rPr>
              <w:t xml:space="preserve"> </w:t>
            </w:r>
            <w:r w:rsidR="003927FF" w:rsidRPr="003927FF">
              <w:rPr>
                <w:rFonts w:eastAsia="Times New Roman"/>
                <w:color w:val="000000"/>
                <w:kern w:val="24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67" w14:textId="77777777" w:rsidR="003927FF" w:rsidRPr="00C97AB8" w:rsidRDefault="008808C5" w:rsidP="003927FF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kern w:val="24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68" w14:textId="77777777" w:rsidR="003927FF" w:rsidRPr="008808C5" w:rsidRDefault="008808C5" w:rsidP="003927FF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sz w:val="26"/>
                <w:szCs w:val="26"/>
                <w:lang w:val="en-US" w:eastAsia="en-US"/>
              </w:rPr>
            </w:pPr>
            <w:r>
              <w:rPr>
                <w:rFonts w:eastAsia="Times New Roman"/>
                <w:color w:val="000000"/>
                <w:kern w:val="24"/>
                <w:sz w:val="26"/>
                <w:szCs w:val="26"/>
                <w:lang w:eastAsia="en-US"/>
              </w:rPr>
              <w:t xml:space="preserve">63 </w:t>
            </w:r>
            <w:r>
              <w:rPr>
                <w:rFonts w:eastAsia="Times New Roman"/>
                <w:color w:val="000000"/>
                <w:kern w:val="24"/>
                <w:sz w:val="26"/>
                <w:szCs w:val="26"/>
                <w:lang w:val="en-US" w:eastAsia="en-US"/>
              </w:rPr>
              <w:t>%</w:t>
            </w:r>
          </w:p>
        </w:tc>
      </w:tr>
    </w:tbl>
    <w:p w14:paraId="0F47986A" w14:textId="77777777" w:rsidR="00D73695" w:rsidRDefault="00D73695" w:rsidP="003927FF">
      <w:pPr>
        <w:spacing w:line="360" w:lineRule="auto"/>
        <w:jc w:val="both"/>
        <w:rPr>
          <w:b/>
        </w:rPr>
      </w:pPr>
    </w:p>
    <w:p w14:paraId="0F47986B" w14:textId="4D544B1E" w:rsidR="008808C5" w:rsidRPr="008808C5" w:rsidRDefault="00716FA6" w:rsidP="008808C5">
      <w:pPr>
        <w:spacing w:line="360" w:lineRule="auto"/>
        <w:ind w:firstLine="709"/>
        <w:jc w:val="both"/>
      </w:pPr>
      <w:r>
        <w:t xml:space="preserve">Šuo metu vertinami </w:t>
      </w:r>
      <w:r w:rsidR="008808C5">
        <w:t xml:space="preserve"> </w:t>
      </w:r>
      <w:r>
        <w:t>2018 m. pateikti projektai: 2  pagal priemonę „</w:t>
      </w:r>
      <w:r w:rsidRPr="008808C5">
        <w:t>Pridėtinė vertė, produktų kokybė ir nepageidaujamos priegaudos panaudojimas</w:t>
      </w:r>
      <w:r>
        <w:t xml:space="preserve">“ ir 5 </w:t>
      </w:r>
      <w:r w:rsidR="008808C5">
        <w:t xml:space="preserve">pagal </w:t>
      </w:r>
      <w:r>
        <w:t xml:space="preserve">minėtos priemonės taisyklių supaprastintąją tvarką. </w:t>
      </w:r>
      <w:r w:rsidR="009B1239">
        <w:t>Taip pat iki 2018 m. pab</w:t>
      </w:r>
      <w:r>
        <w:t>aigos</w:t>
      </w:r>
      <w:r w:rsidR="009B1239">
        <w:t xml:space="preserve"> </w:t>
      </w:r>
      <w:r>
        <w:t>tikimasi sulaukti</w:t>
      </w:r>
      <w:r w:rsidR="009B1239">
        <w:t xml:space="preserve"> </w:t>
      </w:r>
      <w:r>
        <w:t>projektų pagal priemonę</w:t>
      </w:r>
      <w:r w:rsidR="009B1239">
        <w:t xml:space="preserve"> „</w:t>
      </w:r>
      <w:r w:rsidR="009B1239" w:rsidRPr="009B1239">
        <w:t>Žvejybos uostai, iškrovimo vietos, aukcionų patalpos ir priedangos</w:t>
      </w:r>
      <w:r w:rsidR="009B1239">
        <w:t xml:space="preserve">“. </w:t>
      </w:r>
    </w:p>
    <w:tbl>
      <w:tblPr>
        <w:tblW w:w="96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1408"/>
        <w:gridCol w:w="1144"/>
        <w:gridCol w:w="746"/>
        <w:gridCol w:w="1180"/>
        <w:gridCol w:w="1052"/>
      </w:tblGrid>
      <w:tr w:rsidR="009B0987" w:rsidRPr="003927FF" w14:paraId="0F479873" w14:textId="77777777" w:rsidTr="00AA005C">
        <w:trPr>
          <w:trHeight w:val="1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6C" w14:textId="77777777" w:rsidR="009B0987" w:rsidRPr="003927FF" w:rsidRDefault="009B0987" w:rsidP="000B0E04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lastRenderedPageBreak/>
              <w:t>2 Sąjungos prioritetas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6D" w14:textId="77777777" w:rsidR="009B0987" w:rsidRPr="003927FF" w:rsidRDefault="009B0987" w:rsidP="000B0E04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2018 m. orientyras</w:t>
            </w:r>
          </w:p>
          <w:p w14:paraId="0F47986E" w14:textId="77777777" w:rsidR="009B0987" w:rsidRPr="003927FF" w:rsidRDefault="009B0987" w:rsidP="000B0E04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6F" w14:textId="5FE85D54" w:rsidR="009B0987" w:rsidRPr="003927FF" w:rsidRDefault="00AA30D6" w:rsidP="000B0E04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Pasiekimas</w:t>
            </w:r>
            <w:r w:rsidR="009B1239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iki 2018</w:t>
            </w:r>
            <w:r w:rsidR="009B098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</w:t>
            </w:r>
            <w:r w:rsidR="009B1239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0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6</w:t>
            </w:r>
            <w:r w:rsidR="0070455D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-3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0</w:t>
            </w:r>
          </w:p>
          <w:p w14:paraId="0F479870" w14:textId="77777777" w:rsidR="009B0987" w:rsidRPr="003927FF" w:rsidRDefault="009B0987" w:rsidP="000B0E04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72" w14:textId="02241B62" w:rsidR="009B0987" w:rsidRPr="00AA005C" w:rsidRDefault="009B0987" w:rsidP="00AA005C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Planuojama</w:t>
            </w:r>
            <w:r w:rsidR="00AA30D6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s</w:t>
            </w: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</w:t>
            </w:r>
            <w:r w:rsidR="00AA30D6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pasiekimas</w:t>
            </w: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iki 2018 </w:t>
            </w:r>
            <w:proofErr w:type="spellStart"/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pab</w:t>
            </w:r>
            <w:proofErr w:type="spellEnd"/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 pagal pasirašy</w:t>
            </w:r>
            <w:r w:rsidR="00AA005C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tas sutartis</w:t>
            </w:r>
          </w:p>
        </w:tc>
      </w:tr>
      <w:tr w:rsidR="000B0E04" w:rsidRPr="003927FF" w14:paraId="0F47987A" w14:textId="77777777" w:rsidTr="00716FA6">
        <w:trPr>
          <w:trHeight w:val="966"/>
        </w:trPr>
        <w:tc>
          <w:tcPr>
            <w:tcW w:w="41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74" w14:textId="66765376" w:rsidR="000B0E04" w:rsidRPr="003927FF" w:rsidRDefault="000B0E04" w:rsidP="000B0E04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Gamybinėms investicijoms į akvakultūrą skirtų projektų skaičius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, 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v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nt</w:t>
            </w:r>
            <w:r w:rsidR="00716FA6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75" w14:textId="77777777" w:rsidR="000B0E04" w:rsidRPr="00C97AB8" w:rsidRDefault="000B0E04" w:rsidP="000B0E04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C97AB8">
              <w:rPr>
                <w:rFonts w:eastAsia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76" w14:textId="4535DCD7" w:rsidR="000B0E04" w:rsidRPr="00C97AB8" w:rsidRDefault="009B1239" w:rsidP="000B0E04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>
              <w:rPr>
                <w:color w:val="000000"/>
                <w:kern w:val="24"/>
                <w:sz w:val="26"/>
                <w:szCs w:val="26"/>
                <w:lang w:val="lt-LT"/>
              </w:rPr>
              <w:t>1</w:t>
            </w:r>
            <w:r w:rsidR="00716FA6">
              <w:rPr>
                <w:color w:val="000000"/>
                <w:kern w:val="24"/>
                <w:sz w:val="26"/>
                <w:szCs w:val="26"/>
                <w:lang w:val="lt-LT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77" w14:textId="4951D694" w:rsidR="000B0E04" w:rsidRPr="00C97AB8" w:rsidRDefault="00716FA6" w:rsidP="000B0E04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>
              <w:rPr>
                <w:color w:val="000000"/>
                <w:kern w:val="24"/>
                <w:sz w:val="26"/>
                <w:szCs w:val="26"/>
                <w:lang w:val="lt-LT"/>
              </w:rPr>
              <w:t>86</w:t>
            </w:r>
            <w:r w:rsidR="008617D4">
              <w:rPr>
                <w:color w:val="000000"/>
                <w:kern w:val="24"/>
                <w:sz w:val="26"/>
                <w:szCs w:val="26"/>
                <w:lang w:val="lt-LT"/>
              </w:rPr>
              <w:t xml:space="preserve"> </w:t>
            </w:r>
            <w:r w:rsidR="000B0E04" w:rsidRPr="00C97AB8">
              <w:rPr>
                <w:color w:val="000000"/>
                <w:kern w:val="24"/>
                <w:sz w:val="26"/>
                <w:szCs w:val="26"/>
                <w:lang w:val="lt-LT"/>
              </w:rPr>
              <w:t>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78" w14:textId="21B50D63" w:rsidR="000B0E04" w:rsidRPr="00C97AB8" w:rsidRDefault="009B1239" w:rsidP="000B0E04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2</w:t>
            </w:r>
            <w:r w:rsidR="00716FA6">
              <w:rPr>
                <w:rFonts w:eastAsia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79" w14:textId="63A1CD2C" w:rsidR="000B0E04" w:rsidRPr="00C97AB8" w:rsidRDefault="009B1239" w:rsidP="000B0E04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9</w:t>
            </w:r>
            <w:r w:rsidR="00716FA6">
              <w:rPr>
                <w:rFonts w:eastAsia="Times New Roman"/>
                <w:sz w:val="26"/>
                <w:szCs w:val="26"/>
                <w:lang w:eastAsia="en-US"/>
              </w:rPr>
              <w:t>5</w:t>
            </w:r>
            <w:r w:rsidR="008617D4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="000B0E04" w:rsidRPr="00C97AB8">
              <w:rPr>
                <w:rFonts w:eastAsia="Times New Roman"/>
                <w:sz w:val="26"/>
                <w:szCs w:val="26"/>
                <w:lang w:eastAsia="en-US"/>
              </w:rPr>
              <w:t>%</w:t>
            </w:r>
          </w:p>
        </w:tc>
      </w:tr>
    </w:tbl>
    <w:p w14:paraId="0F47987B" w14:textId="77777777" w:rsidR="00E11473" w:rsidRDefault="00E11473" w:rsidP="003927FF">
      <w:pPr>
        <w:spacing w:line="360" w:lineRule="auto"/>
        <w:jc w:val="both"/>
      </w:pPr>
    </w:p>
    <w:p w14:paraId="13362325" w14:textId="5C860A55" w:rsidR="00AA005C" w:rsidRDefault="00187064" w:rsidP="009B1239">
      <w:pPr>
        <w:spacing w:line="360" w:lineRule="auto"/>
        <w:ind w:firstLine="709"/>
        <w:jc w:val="both"/>
      </w:pPr>
      <w:r>
        <w:t>P</w:t>
      </w:r>
      <w:r w:rsidR="00716FA6">
        <w:t xml:space="preserve">arama skirta </w:t>
      </w:r>
      <w:r w:rsidR="009B1239">
        <w:t xml:space="preserve"> </w:t>
      </w:r>
      <w:r>
        <w:t xml:space="preserve">9 projektams </w:t>
      </w:r>
      <w:r w:rsidR="009B1239">
        <w:t xml:space="preserve">pagal priemonę „Produktyvios investicijos į akvakultūrą“ ir </w:t>
      </w:r>
      <w:r>
        <w:t>12</w:t>
      </w:r>
      <w:r w:rsidR="009B1239">
        <w:t xml:space="preserve"> </w:t>
      </w:r>
      <w:r>
        <w:t>projekt</w:t>
      </w:r>
      <w:r w:rsidR="00AA005C">
        <w:t>ų</w:t>
      </w:r>
      <w:r w:rsidR="009B1239">
        <w:t xml:space="preserve"> pagal minėtos priemonės taisyklių supaprastintąją tvarką. </w:t>
      </w:r>
      <w:r>
        <w:t>5 jų baigti įgyvendinti, kiti 16 iki 2018 m. pabaigos arba bus baigti įgyvendinti, arba paramos gavėjai bus pateikę bent vieną mokėjimo prašymą.  Š</w:t>
      </w:r>
      <w:r w:rsidR="009E6052">
        <w:t xml:space="preserve">iuo metu yra </w:t>
      </w:r>
      <w:r>
        <w:t>vertinamos dar 7 2018 m. pateiktos paramos paraiškos</w:t>
      </w:r>
      <w:r w:rsidR="00AA005C">
        <w:t>.</w:t>
      </w:r>
    </w:p>
    <w:p w14:paraId="0F47987C" w14:textId="1EF7604D" w:rsidR="009B1239" w:rsidRDefault="009E6052" w:rsidP="009B1239">
      <w:pPr>
        <w:spacing w:line="360" w:lineRule="auto"/>
        <w:ind w:firstLine="709"/>
        <w:jc w:val="both"/>
      </w:pPr>
      <w:r>
        <w:t xml:space="preserve"> 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59"/>
        <w:gridCol w:w="1560"/>
        <w:gridCol w:w="1134"/>
        <w:gridCol w:w="708"/>
        <w:gridCol w:w="1276"/>
        <w:gridCol w:w="992"/>
      </w:tblGrid>
      <w:tr w:rsidR="0070455D" w:rsidRPr="003927FF" w14:paraId="0F479884" w14:textId="77777777" w:rsidTr="00AA005C">
        <w:trPr>
          <w:trHeight w:val="1305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7D" w14:textId="77777777" w:rsidR="0070455D" w:rsidRPr="003927FF" w:rsidRDefault="0070455D" w:rsidP="00C852C8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3</w:t>
            </w: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Sąjungos prioritetas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7E" w14:textId="77777777" w:rsidR="0070455D" w:rsidRPr="003927FF" w:rsidRDefault="0070455D" w:rsidP="00C852C8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2018 m. orientyras</w:t>
            </w:r>
          </w:p>
          <w:p w14:paraId="0F47987F" w14:textId="77777777" w:rsidR="0070455D" w:rsidRPr="003927FF" w:rsidRDefault="0070455D" w:rsidP="00C852C8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80" w14:textId="66E974B1" w:rsidR="0070455D" w:rsidRPr="003927FF" w:rsidRDefault="0070455D" w:rsidP="00C852C8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Pasiekimas</w:t>
            </w:r>
            <w:r w:rsidR="0018314D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iki 201</w:t>
            </w:r>
            <w:r w:rsidR="009B1239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8</w:t>
            </w:r>
            <w:r w:rsidR="00EC1CB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</w:t>
            </w:r>
            <w:r w:rsidR="009B1239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0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6</w:t>
            </w:r>
            <w:r w:rsidR="0018314D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-3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0</w:t>
            </w:r>
          </w:p>
          <w:p w14:paraId="0F479881" w14:textId="77777777" w:rsidR="0070455D" w:rsidRPr="003927FF" w:rsidRDefault="0070455D" w:rsidP="00C852C8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83" w14:textId="6E06FC1D" w:rsidR="0070455D" w:rsidRPr="00AA005C" w:rsidRDefault="0070455D" w:rsidP="00AA005C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Planuojamas pasiekimas iki 2018 </w:t>
            </w:r>
            <w:proofErr w:type="spellStart"/>
            <w:r w:rsidR="00AA005C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pab</w:t>
            </w:r>
            <w:proofErr w:type="spellEnd"/>
            <w:r w:rsidR="00AA005C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 pagal pasirašytas sutartis</w:t>
            </w:r>
          </w:p>
        </w:tc>
      </w:tr>
      <w:tr w:rsidR="0070455D" w:rsidRPr="0070455D" w14:paraId="0F47988B" w14:textId="77777777" w:rsidTr="00AA005C">
        <w:trPr>
          <w:trHeight w:val="808"/>
        </w:trPr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85" w14:textId="17FDD3AC" w:rsidR="0070455D" w:rsidRPr="003927FF" w:rsidRDefault="00555530" w:rsidP="00C852C8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Sąjungos kontrolės, inspektavimo ir reikalavimų vykdymo užtikrinimo sistemai skirtų projektų skaičius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, vnt.</w:t>
            </w:r>
            <w:r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86" w14:textId="77777777" w:rsidR="0070455D" w:rsidRPr="001B7084" w:rsidRDefault="0018314D" w:rsidP="00C852C8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1B7084">
              <w:rPr>
                <w:rFonts w:eastAsia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87" w14:textId="77777777" w:rsidR="0070455D" w:rsidRPr="001B7084" w:rsidRDefault="00555530" w:rsidP="00C852C8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>
              <w:rPr>
                <w:sz w:val="26"/>
                <w:szCs w:val="26"/>
                <w:lang w:val="lt-LT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88" w14:textId="2F6416AA" w:rsidR="0070455D" w:rsidRPr="001B7084" w:rsidRDefault="00555530" w:rsidP="00C852C8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t-LT"/>
              </w:rPr>
              <w:t>3</w:t>
            </w:r>
            <w:r w:rsidR="009A5EBC" w:rsidRPr="001B7084">
              <w:rPr>
                <w:sz w:val="26"/>
                <w:szCs w:val="26"/>
                <w:lang w:val="lt-LT"/>
              </w:rPr>
              <w:t>00</w:t>
            </w:r>
            <w:r w:rsidR="002135CD">
              <w:rPr>
                <w:sz w:val="26"/>
                <w:szCs w:val="26"/>
                <w:lang w:val="lt-LT"/>
              </w:rPr>
              <w:t xml:space="preserve"> </w:t>
            </w:r>
            <w:r w:rsidR="006E0E69" w:rsidRPr="001B7084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89" w14:textId="77777777" w:rsidR="0070455D" w:rsidRPr="001B7084" w:rsidRDefault="00555530" w:rsidP="00C852C8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8A" w14:textId="2DC65545" w:rsidR="0070455D" w:rsidRPr="001B7084" w:rsidRDefault="00922F12" w:rsidP="00C852C8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3</w:t>
            </w:r>
            <w:r w:rsidR="009A5EBC" w:rsidRPr="001B7084">
              <w:rPr>
                <w:rFonts w:eastAsia="Times New Roman"/>
                <w:sz w:val="26"/>
                <w:szCs w:val="26"/>
                <w:lang w:eastAsia="en-US"/>
              </w:rPr>
              <w:t>00</w:t>
            </w:r>
            <w:r w:rsidR="002135CD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 w:rsidR="00EC1CBF" w:rsidRPr="001B7084">
              <w:rPr>
                <w:rFonts w:eastAsia="Times New Roman"/>
                <w:sz w:val="26"/>
                <w:szCs w:val="26"/>
                <w:lang w:eastAsia="en-US"/>
              </w:rPr>
              <w:t>%</w:t>
            </w:r>
          </w:p>
        </w:tc>
      </w:tr>
    </w:tbl>
    <w:p w14:paraId="0F47988C" w14:textId="77777777" w:rsidR="0070455D" w:rsidRDefault="0070455D" w:rsidP="003927FF">
      <w:pPr>
        <w:spacing w:line="360" w:lineRule="auto"/>
        <w:jc w:val="both"/>
      </w:pPr>
    </w:p>
    <w:p w14:paraId="0F479891" w14:textId="5F38D311" w:rsidR="00E83C30" w:rsidRDefault="00555530" w:rsidP="00AA005C">
      <w:pPr>
        <w:spacing w:line="360" w:lineRule="auto"/>
        <w:ind w:firstLine="709"/>
        <w:jc w:val="both"/>
      </w:pPr>
      <w:r>
        <w:t xml:space="preserve">Šis produkto rodiklis sėkmingai pasiektas, kadangi 1 projektas užbaigtas, o dar 2 projektai įgyvendinami šiuo metu. </w:t>
      </w:r>
    </w:p>
    <w:p w14:paraId="22060F6A" w14:textId="77777777" w:rsidR="00AA005C" w:rsidRPr="00555530" w:rsidRDefault="00AA005C" w:rsidP="00AA005C">
      <w:pPr>
        <w:spacing w:line="360" w:lineRule="auto"/>
        <w:ind w:firstLine="709"/>
        <w:jc w:val="both"/>
      </w:pP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1327"/>
        <w:gridCol w:w="1225"/>
        <w:gridCol w:w="731"/>
        <w:gridCol w:w="1257"/>
        <w:gridCol w:w="988"/>
      </w:tblGrid>
      <w:tr w:rsidR="000B0E04" w:rsidRPr="003927FF" w14:paraId="0F479899" w14:textId="77777777" w:rsidTr="00AA005C">
        <w:trPr>
          <w:trHeight w:val="123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92" w14:textId="77777777" w:rsidR="000B0E04" w:rsidRPr="003927FF" w:rsidRDefault="000B0E04" w:rsidP="000B0E04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4 Sąjungos prioritetas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93" w14:textId="77777777" w:rsidR="000B0E04" w:rsidRPr="003927FF" w:rsidRDefault="000B0E04" w:rsidP="000B0E04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2018 m. orientyras</w:t>
            </w:r>
          </w:p>
          <w:p w14:paraId="0F479894" w14:textId="77777777" w:rsidR="000B0E04" w:rsidRPr="003927FF" w:rsidRDefault="000B0E04" w:rsidP="000B0E04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95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95" w14:textId="77777777" w:rsidR="000B0E04" w:rsidRPr="003927FF" w:rsidRDefault="00843517" w:rsidP="000B0E04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Pasiekimas</w:t>
            </w:r>
            <w:r w:rsidR="009B1239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iki 2018</w:t>
            </w:r>
            <w:r w:rsidR="000B0E04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</w:t>
            </w:r>
            <w:r w:rsidR="009B1239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03</w:t>
            </w:r>
            <w:r w:rsidR="00F132A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-31</w:t>
            </w:r>
          </w:p>
          <w:p w14:paraId="0F479896" w14:textId="77777777" w:rsidR="000B0E04" w:rsidRPr="003927FF" w:rsidRDefault="000B0E04" w:rsidP="000B0E04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2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98" w14:textId="42254549" w:rsidR="000B0E04" w:rsidRPr="00AA005C" w:rsidRDefault="000B0E04" w:rsidP="00AA005C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Planuojama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s</w:t>
            </w: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pasiekimas</w:t>
            </w: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iki 2018 </w:t>
            </w:r>
            <w:proofErr w:type="spellStart"/>
            <w:r w:rsidR="00AA005C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pab</w:t>
            </w:r>
            <w:proofErr w:type="spellEnd"/>
            <w:r w:rsidR="00AA005C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 pagal pasirašytas sutartis</w:t>
            </w:r>
          </w:p>
        </w:tc>
      </w:tr>
      <w:tr w:rsidR="0042607B" w:rsidRPr="003927FF" w14:paraId="0F4798A0" w14:textId="77777777" w:rsidTr="00AA005C">
        <w:trPr>
          <w:trHeight w:val="966"/>
        </w:trPr>
        <w:tc>
          <w:tcPr>
            <w:tcW w:w="41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9A" w14:textId="0EE944BC" w:rsidR="0042607B" w:rsidRPr="003927FF" w:rsidRDefault="0042607B" w:rsidP="0042607B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Atrinktų vietos plėtros strategijų skaičius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, 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v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nt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9B" w14:textId="77777777" w:rsidR="0042607B" w:rsidRPr="00C97AB8" w:rsidRDefault="0042607B" w:rsidP="0042607B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6"/>
                <w:szCs w:val="26"/>
                <w:lang w:val="lt-LT"/>
              </w:rPr>
            </w:pPr>
            <w:r w:rsidRPr="00C97AB8">
              <w:rPr>
                <w:color w:val="000000"/>
                <w:kern w:val="24"/>
                <w:sz w:val="26"/>
                <w:szCs w:val="26"/>
                <w:lang w:val="lt-LT"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9C" w14:textId="77777777" w:rsidR="0042607B" w:rsidRPr="00C97AB8" w:rsidRDefault="006E0E69" w:rsidP="0042607B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6"/>
                <w:szCs w:val="26"/>
                <w:lang w:val="lt-LT"/>
              </w:rPr>
            </w:pPr>
            <w:r w:rsidRPr="00C97AB8">
              <w:rPr>
                <w:color w:val="000000"/>
                <w:kern w:val="24"/>
                <w:sz w:val="26"/>
                <w:szCs w:val="26"/>
                <w:lang w:val="lt-LT"/>
              </w:rPr>
              <w:t>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9D" w14:textId="5148EFEB" w:rsidR="0042607B" w:rsidRPr="00C97AB8" w:rsidRDefault="006E0E69" w:rsidP="0042607B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6"/>
                <w:szCs w:val="26"/>
                <w:lang w:val="lt-LT"/>
              </w:rPr>
            </w:pPr>
            <w:r w:rsidRPr="00C97AB8">
              <w:rPr>
                <w:color w:val="000000"/>
                <w:kern w:val="24"/>
                <w:sz w:val="26"/>
                <w:szCs w:val="26"/>
                <w:lang w:val="lt-LT"/>
              </w:rPr>
              <w:t>171</w:t>
            </w:r>
            <w:r w:rsidR="008617D4">
              <w:rPr>
                <w:color w:val="000000"/>
                <w:kern w:val="24"/>
                <w:sz w:val="26"/>
                <w:szCs w:val="26"/>
                <w:lang w:val="lt-LT"/>
              </w:rPr>
              <w:t xml:space="preserve"> </w:t>
            </w:r>
            <w:r w:rsidR="0042607B" w:rsidRPr="00C97AB8">
              <w:rPr>
                <w:color w:val="000000"/>
                <w:kern w:val="24"/>
                <w:sz w:val="26"/>
                <w:szCs w:val="26"/>
                <w:lang w:val="lt-LT"/>
              </w:rPr>
              <w:t>%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9E" w14:textId="77777777" w:rsidR="0042607B" w:rsidRPr="00C97AB8" w:rsidRDefault="006E0E69" w:rsidP="0042607B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6"/>
                <w:szCs w:val="26"/>
                <w:lang w:val="lt-LT"/>
              </w:rPr>
            </w:pPr>
            <w:r w:rsidRPr="00C97AB8">
              <w:rPr>
                <w:color w:val="000000"/>
                <w:kern w:val="24"/>
                <w:sz w:val="26"/>
                <w:szCs w:val="26"/>
                <w:lang w:val="lt-LT"/>
              </w:rPr>
              <w:t>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9F" w14:textId="7628E987" w:rsidR="0042607B" w:rsidRPr="00C97AB8" w:rsidRDefault="006E0E69" w:rsidP="0042607B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6"/>
                <w:szCs w:val="26"/>
                <w:lang w:val="lt-LT"/>
              </w:rPr>
            </w:pPr>
            <w:r w:rsidRPr="00C97AB8">
              <w:rPr>
                <w:color w:val="000000"/>
                <w:kern w:val="24"/>
                <w:sz w:val="26"/>
                <w:szCs w:val="26"/>
                <w:lang w:val="lt-LT"/>
              </w:rPr>
              <w:t>171</w:t>
            </w:r>
            <w:r w:rsidR="008617D4">
              <w:rPr>
                <w:color w:val="000000"/>
                <w:kern w:val="24"/>
                <w:sz w:val="26"/>
                <w:szCs w:val="26"/>
                <w:lang w:val="lt-LT"/>
              </w:rPr>
              <w:t xml:space="preserve"> </w:t>
            </w:r>
            <w:r w:rsidR="0042607B" w:rsidRPr="00C97AB8">
              <w:rPr>
                <w:color w:val="000000"/>
                <w:kern w:val="24"/>
                <w:sz w:val="26"/>
                <w:szCs w:val="26"/>
                <w:lang w:val="lt-LT"/>
              </w:rPr>
              <w:t>%</w:t>
            </w:r>
          </w:p>
        </w:tc>
      </w:tr>
    </w:tbl>
    <w:p w14:paraId="0F4798A1" w14:textId="77777777" w:rsidR="000B0E04" w:rsidRDefault="000B0E04" w:rsidP="008E6EE5">
      <w:pPr>
        <w:spacing w:line="360" w:lineRule="auto"/>
        <w:ind w:firstLine="567"/>
        <w:jc w:val="both"/>
      </w:pPr>
    </w:p>
    <w:p w14:paraId="0F4798A2" w14:textId="08881CAA" w:rsidR="00555530" w:rsidRDefault="00555530" w:rsidP="00555530">
      <w:pPr>
        <w:spacing w:line="360" w:lineRule="auto"/>
        <w:ind w:firstLine="709"/>
        <w:jc w:val="both"/>
      </w:pPr>
      <w:r>
        <w:t>Šis produkto rodiklis viršytas, kadangi</w:t>
      </w:r>
      <w:r w:rsidR="0022405C">
        <w:t xml:space="preserve"> 2017 m.</w:t>
      </w:r>
      <w:r>
        <w:t xml:space="preserve"> atrinktos 9 </w:t>
      </w:r>
      <w:r w:rsidR="00187064">
        <w:t xml:space="preserve">vietos plėtros </w:t>
      </w:r>
      <w:r>
        <w:t xml:space="preserve">strategijos, </w:t>
      </w:r>
      <w:r w:rsidR="00187064">
        <w:t xml:space="preserve">finansuojamos </w:t>
      </w:r>
      <w:r>
        <w:t xml:space="preserve"> </w:t>
      </w:r>
      <w:r w:rsidR="00187064">
        <w:t xml:space="preserve">iš </w:t>
      </w:r>
      <w:r>
        <w:t>EJRŽF</w:t>
      </w:r>
      <w:r w:rsidR="00003529">
        <w:t>,</w:t>
      </w:r>
      <w:r>
        <w:t xml:space="preserve"> ir</w:t>
      </w:r>
      <w:r w:rsidR="0022405C">
        <w:t xml:space="preserve"> 2016 m.</w:t>
      </w:r>
      <w:r>
        <w:t xml:space="preserve"> 3 strategijos, </w:t>
      </w:r>
      <w:r w:rsidR="00187064">
        <w:t xml:space="preserve">finansuojamos iš </w:t>
      </w:r>
      <w:r>
        <w:t xml:space="preserve"> EJRŽF ir </w:t>
      </w:r>
      <w:r w:rsidR="00187064">
        <w:t xml:space="preserve">Europos žemės ūkio fondo kaimo plėtrai. </w:t>
      </w:r>
    </w:p>
    <w:p w14:paraId="68C05556" w14:textId="3CC65E4B" w:rsidR="00AA005C" w:rsidRDefault="00AA005C" w:rsidP="00555530">
      <w:pPr>
        <w:spacing w:line="360" w:lineRule="auto"/>
        <w:ind w:firstLine="709"/>
        <w:jc w:val="both"/>
      </w:pPr>
    </w:p>
    <w:p w14:paraId="211C30A6" w14:textId="77777777" w:rsidR="00AA005C" w:rsidRPr="00154EF4" w:rsidRDefault="00AA005C" w:rsidP="00555530">
      <w:pPr>
        <w:spacing w:line="360" w:lineRule="auto"/>
        <w:ind w:firstLine="709"/>
        <w:jc w:val="both"/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59"/>
        <w:gridCol w:w="1418"/>
        <w:gridCol w:w="850"/>
        <w:gridCol w:w="993"/>
        <w:gridCol w:w="1275"/>
        <w:gridCol w:w="1134"/>
      </w:tblGrid>
      <w:tr w:rsidR="00283586" w:rsidRPr="003927FF" w14:paraId="0F4798AA" w14:textId="77777777" w:rsidTr="00AA005C">
        <w:trPr>
          <w:trHeight w:val="1099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A3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lastRenderedPageBreak/>
              <w:t>5 Sąjungos prioritetas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A4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2018 m. orientyras</w:t>
            </w:r>
          </w:p>
          <w:p w14:paraId="0F4798A5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A6" w14:textId="4D817ED4" w:rsidR="00283586" w:rsidRPr="003927FF" w:rsidRDefault="00843517" w:rsidP="00283586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Pasiekimas</w:t>
            </w:r>
            <w:r w:rsidR="00897F5C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iki 2018</w:t>
            </w:r>
            <w:r w:rsidR="00283586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</w:t>
            </w:r>
            <w:r w:rsidR="00897F5C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0</w:t>
            </w:r>
            <w:r w:rsidR="00D13489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6</w:t>
            </w:r>
            <w:r w:rsidR="00F132A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-3</w:t>
            </w:r>
            <w:r w:rsidR="00D13489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0</w:t>
            </w:r>
          </w:p>
          <w:p w14:paraId="0F4798A7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A9" w14:textId="4D415536" w:rsidR="00283586" w:rsidRPr="00AA005C" w:rsidRDefault="00283586" w:rsidP="00AA005C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Planuojama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s</w:t>
            </w: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pasiekimas </w:t>
            </w: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iki 2018 </w:t>
            </w:r>
            <w:proofErr w:type="spellStart"/>
            <w:r w:rsidR="00AA005C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pab</w:t>
            </w:r>
            <w:proofErr w:type="spellEnd"/>
            <w:r w:rsidR="00AA005C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 pagal pasirašytas sutartis</w:t>
            </w:r>
          </w:p>
        </w:tc>
      </w:tr>
      <w:tr w:rsidR="00283586" w:rsidRPr="003927FF" w14:paraId="0F4798B1" w14:textId="77777777" w:rsidTr="00AA005C">
        <w:trPr>
          <w:trHeight w:val="400"/>
        </w:trPr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AB" w14:textId="7A2A4F1A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Perdirbimui skirtų projektų skaičius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, 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v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nt</w:t>
            </w:r>
            <w:r w:rsidR="00C97AB8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AC" w14:textId="77777777" w:rsidR="00283586" w:rsidRPr="002F406B" w:rsidRDefault="00283586" w:rsidP="00283586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 w:rsidRPr="002F406B">
              <w:rPr>
                <w:bCs/>
                <w:color w:val="000000"/>
                <w:kern w:val="24"/>
                <w:sz w:val="26"/>
                <w:szCs w:val="26"/>
                <w:lang w:val="lt-L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AD" w14:textId="3F159B85" w:rsidR="00283586" w:rsidRPr="002F406B" w:rsidRDefault="00D13489" w:rsidP="00283586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>
              <w:rPr>
                <w:bCs/>
                <w:kern w:val="24"/>
                <w:sz w:val="26"/>
                <w:szCs w:val="26"/>
                <w:lang w:val="lt-LT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AE" w14:textId="1A93D41C" w:rsidR="00283586" w:rsidRPr="002F406B" w:rsidRDefault="00D13489" w:rsidP="00283586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>
              <w:rPr>
                <w:bCs/>
                <w:kern w:val="24"/>
                <w:sz w:val="26"/>
                <w:szCs w:val="26"/>
                <w:lang w:val="lt-LT"/>
              </w:rPr>
              <w:t>4</w:t>
            </w:r>
            <w:r w:rsidR="00897F5C">
              <w:rPr>
                <w:bCs/>
                <w:kern w:val="24"/>
                <w:sz w:val="26"/>
                <w:szCs w:val="26"/>
                <w:lang w:val="lt-LT"/>
              </w:rPr>
              <w:t>50</w:t>
            </w:r>
            <w:r w:rsidR="008617D4">
              <w:rPr>
                <w:bCs/>
                <w:kern w:val="24"/>
                <w:sz w:val="26"/>
                <w:szCs w:val="26"/>
                <w:lang w:val="lt-LT"/>
              </w:rPr>
              <w:t xml:space="preserve"> </w:t>
            </w:r>
            <w:r w:rsidR="00283586" w:rsidRPr="002F406B">
              <w:rPr>
                <w:bCs/>
                <w:kern w:val="24"/>
                <w:sz w:val="26"/>
                <w:szCs w:val="26"/>
                <w:lang w:val="lt-LT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AF" w14:textId="128B883D" w:rsidR="00283586" w:rsidRPr="002F406B" w:rsidRDefault="00D13489" w:rsidP="00283586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>
              <w:rPr>
                <w:sz w:val="26"/>
                <w:szCs w:val="26"/>
                <w:lang w:val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B0" w14:textId="343CF796" w:rsidR="00283586" w:rsidRPr="002F406B" w:rsidRDefault="00D13489" w:rsidP="00283586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>
              <w:rPr>
                <w:sz w:val="26"/>
                <w:szCs w:val="26"/>
                <w:lang w:val="lt-LT"/>
              </w:rPr>
              <w:t>4</w:t>
            </w:r>
            <w:r w:rsidR="00897F5C">
              <w:rPr>
                <w:sz w:val="26"/>
                <w:szCs w:val="26"/>
                <w:lang w:val="lt-LT"/>
              </w:rPr>
              <w:t>50</w:t>
            </w:r>
            <w:r w:rsidR="008617D4">
              <w:rPr>
                <w:sz w:val="26"/>
                <w:szCs w:val="26"/>
                <w:lang w:val="lt-LT"/>
              </w:rPr>
              <w:t xml:space="preserve"> </w:t>
            </w:r>
            <w:r w:rsidR="00283586" w:rsidRPr="002F406B">
              <w:rPr>
                <w:sz w:val="26"/>
                <w:szCs w:val="26"/>
                <w:lang w:val="lt-LT"/>
              </w:rPr>
              <w:t xml:space="preserve"> %</w:t>
            </w:r>
          </w:p>
        </w:tc>
      </w:tr>
    </w:tbl>
    <w:p w14:paraId="0F4798B2" w14:textId="77777777" w:rsidR="00283586" w:rsidRDefault="00283586" w:rsidP="008E6EE5">
      <w:pPr>
        <w:spacing w:line="360" w:lineRule="auto"/>
        <w:ind w:firstLine="567"/>
        <w:jc w:val="both"/>
      </w:pPr>
    </w:p>
    <w:p w14:paraId="0F4798B3" w14:textId="2EBEA7EE" w:rsidR="00897F5C" w:rsidRDefault="00AA005C" w:rsidP="008E6EE5">
      <w:pPr>
        <w:spacing w:line="360" w:lineRule="auto"/>
        <w:ind w:firstLine="567"/>
        <w:jc w:val="both"/>
      </w:pPr>
      <w:r>
        <w:t xml:space="preserve">Parama skirta 7 projektams pagal priemonę </w:t>
      </w:r>
      <w:r w:rsidR="00493195">
        <w:t>„Žuvininkystės ir akva</w:t>
      </w:r>
      <w:r w:rsidR="0022405C">
        <w:t xml:space="preserve">kultūros produktų perdirbimas“ ir </w:t>
      </w:r>
      <w:r>
        <w:t xml:space="preserve">2 projektams pagal minėtos priemonės taisyklių supaprastintąją tvarką. Numatoma, kad iki 2018 m. pabaigos projektai bus baigti įgyvendinti arba paramos gavėjai bus pateikę bent po vieną mokėjimo prašymą. </w:t>
      </w:r>
    </w:p>
    <w:p w14:paraId="0F4798B4" w14:textId="77777777" w:rsidR="00897F5C" w:rsidRPr="00154EF4" w:rsidRDefault="00897F5C" w:rsidP="008E6EE5">
      <w:pPr>
        <w:spacing w:line="360" w:lineRule="auto"/>
        <w:ind w:firstLine="567"/>
        <w:jc w:val="both"/>
      </w:pP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76"/>
        <w:gridCol w:w="1276"/>
        <w:gridCol w:w="926"/>
        <w:gridCol w:w="916"/>
        <w:gridCol w:w="1608"/>
        <w:gridCol w:w="1227"/>
      </w:tblGrid>
      <w:tr w:rsidR="00283586" w:rsidRPr="003927FF" w14:paraId="0F4798BD" w14:textId="77777777" w:rsidTr="00AA005C">
        <w:trPr>
          <w:trHeight w:val="68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B5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6 Sąjungos prioritetas</w:t>
            </w:r>
          </w:p>
          <w:p w14:paraId="0F4798B6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B7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2018 m. orientyras</w:t>
            </w:r>
          </w:p>
          <w:p w14:paraId="0F4798B8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B9" w14:textId="1B174C77" w:rsidR="00283586" w:rsidRPr="003927FF" w:rsidRDefault="00843517" w:rsidP="00283586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Pasiekimas</w:t>
            </w:r>
            <w:r w:rsidR="00283586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iki 201</w:t>
            </w:r>
            <w:r w:rsidR="00D13489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8</w:t>
            </w:r>
            <w:r w:rsidR="00283586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-</w:t>
            </w:r>
            <w:r w:rsidR="00D13489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06-30</w:t>
            </w:r>
          </w:p>
          <w:p w14:paraId="0F4798BA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BB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</w:pP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Planuojama</w:t>
            </w:r>
            <w:r w:rsidR="00843517"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s pasiekimas</w:t>
            </w:r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iki 2018 </w:t>
            </w:r>
            <w:proofErr w:type="spellStart"/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pab</w:t>
            </w:r>
            <w:proofErr w:type="spellEnd"/>
            <w:r w:rsidRPr="003927FF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 pagal pasirašytas sutartis</w:t>
            </w:r>
          </w:p>
          <w:p w14:paraId="0F4798BC" w14:textId="77777777" w:rsidR="00283586" w:rsidRPr="003927FF" w:rsidRDefault="00283586" w:rsidP="00283586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</w:tr>
      <w:tr w:rsidR="00283586" w:rsidRPr="003927FF" w14:paraId="0F4798C4" w14:textId="77777777" w:rsidTr="00AA005C">
        <w:trPr>
          <w:trHeight w:val="594"/>
        </w:trPr>
        <w:tc>
          <w:tcPr>
            <w:tcW w:w="36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BBB5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8BE" w14:textId="195CE797" w:rsidR="00283586" w:rsidRPr="00C97AB8" w:rsidRDefault="00D0576C" w:rsidP="00283586">
            <w:pPr>
              <w:jc w:val="center"/>
              <w:textAlignment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C97AB8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Jūrų aplinkos žinių apsaugai ir gerinimui skirtų projektų skaičius</w:t>
            </w:r>
            <w:r w:rsidR="00843517" w:rsidRPr="00C97AB8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, 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v</w:t>
            </w:r>
            <w:r w:rsidR="00843517" w:rsidRPr="00C97AB8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nt</w:t>
            </w:r>
            <w:r w:rsidR="00187064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>.</w:t>
            </w:r>
            <w:r w:rsidRPr="00C97AB8">
              <w:rPr>
                <w:rFonts w:eastAsia="Times New Roman"/>
                <w:b/>
                <w:bCs/>
                <w:color w:val="000000"/>
                <w:kern w:val="24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BF" w14:textId="77777777" w:rsidR="00283586" w:rsidRPr="00C97AB8" w:rsidRDefault="00283586" w:rsidP="00283586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 w:rsidRPr="00C97AB8">
              <w:rPr>
                <w:sz w:val="26"/>
                <w:szCs w:val="26"/>
                <w:lang w:val="lt-LT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C0" w14:textId="77777777" w:rsidR="00283586" w:rsidRPr="00C97AB8" w:rsidRDefault="00493195" w:rsidP="00283586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>
              <w:rPr>
                <w:sz w:val="26"/>
                <w:szCs w:val="26"/>
                <w:lang w:val="lt-LT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C1" w14:textId="21F2FEED" w:rsidR="00283586" w:rsidRPr="00493195" w:rsidRDefault="00493195" w:rsidP="00283586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t-LT"/>
              </w:rPr>
              <w:t>100</w:t>
            </w:r>
            <w:r w:rsidR="008617D4">
              <w:rPr>
                <w:sz w:val="26"/>
                <w:szCs w:val="26"/>
                <w:lang w:val="lt-LT"/>
              </w:rPr>
              <w:t xml:space="preserve"> </w:t>
            </w:r>
            <w:r>
              <w:rPr>
                <w:sz w:val="26"/>
                <w:szCs w:val="26"/>
              </w:rPr>
              <w:t>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C2" w14:textId="77777777" w:rsidR="00283586" w:rsidRPr="00C97AB8" w:rsidRDefault="00493195" w:rsidP="00283586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>
              <w:rPr>
                <w:sz w:val="26"/>
                <w:szCs w:val="26"/>
                <w:lang w:val="lt-LT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98C3" w14:textId="022A7DE1" w:rsidR="00283586" w:rsidRPr="00C97AB8" w:rsidRDefault="00493195" w:rsidP="00283586">
            <w:pPr>
              <w:pStyle w:val="prastasiniatinklio"/>
              <w:spacing w:before="0" w:beforeAutospacing="0" w:after="0" w:afterAutospacing="0"/>
              <w:jc w:val="center"/>
              <w:textAlignment w:val="center"/>
              <w:rPr>
                <w:sz w:val="26"/>
                <w:szCs w:val="26"/>
                <w:lang w:val="lt-LT"/>
              </w:rPr>
            </w:pPr>
            <w:r>
              <w:rPr>
                <w:sz w:val="26"/>
                <w:szCs w:val="26"/>
                <w:lang w:val="lt-LT"/>
              </w:rPr>
              <w:t>100</w:t>
            </w:r>
            <w:r w:rsidR="008617D4">
              <w:rPr>
                <w:sz w:val="26"/>
                <w:szCs w:val="26"/>
                <w:lang w:val="lt-LT"/>
              </w:rPr>
              <w:t xml:space="preserve"> </w:t>
            </w:r>
            <w:r>
              <w:rPr>
                <w:sz w:val="26"/>
                <w:szCs w:val="26"/>
                <w:lang w:val="lt-LT"/>
              </w:rPr>
              <w:t>%</w:t>
            </w:r>
          </w:p>
        </w:tc>
      </w:tr>
    </w:tbl>
    <w:p w14:paraId="0F4798C5" w14:textId="77777777" w:rsidR="003C1D9F" w:rsidRDefault="003C1D9F" w:rsidP="008E6EE5">
      <w:pPr>
        <w:spacing w:line="360" w:lineRule="auto"/>
        <w:ind w:firstLine="567"/>
        <w:jc w:val="both"/>
      </w:pPr>
    </w:p>
    <w:p w14:paraId="0F4798C6" w14:textId="77777777" w:rsidR="00493195" w:rsidRPr="00154EF4" w:rsidRDefault="00493195" w:rsidP="008E6EE5">
      <w:pPr>
        <w:spacing w:line="360" w:lineRule="auto"/>
        <w:ind w:firstLine="567"/>
        <w:jc w:val="both"/>
      </w:pPr>
      <w:r>
        <w:t>2018 m. 1 ketvirtį Aplinkos apsaugos agentūra pateikė paraišką pagal priemonę „</w:t>
      </w:r>
      <w:r w:rsidRPr="00493195">
        <w:t>Žinių apie jūros būklę gerinimas</w:t>
      </w:r>
      <w:r>
        <w:t xml:space="preserve">“, kuris jau įgyvendinamas. </w:t>
      </w:r>
    </w:p>
    <w:p w14:paraId="0F4798C7" w14:textId="77777777" w:rsidR="0075287E" w:rsidRPr="00623ED4" w:rsidRDefault="0075287E" w:rsidP="00623ED4">
      <w:pPr>
        <w:tabs>
          <w:tab w:val="left" w:pos="993"/>
        </w:tabs>
        <w:spacing w:line="360" w:lineRule="auto"/>
        <w:ind w:right="-1"/>
        <w:jc w:val="both"/>
        <w:rPr>
          <w:b/>
        </w:rPr>
      </w:pPr>
    </w:p>
    <w:p w14:paraId="0F4798C8" w14:textId="77777777" w:rsidR="00CA395C" w:rsidRPr="00154EF4" w:rsidRDefault="00BF0944" w:rsidP="003927FF">
      <w:pPr>
        <w:pStyle w:val="Sraopastraipa"/>
        <w:tabs>
          <w:tab w:val="left" w:pos="993"/>
        </w:tabs>
        <w:spacing w:line="360" w:lineRule="auto"/>
        <w:ind w:left="0" w:right="-1" w:firstLine="709"/>
        <w:jc w:val="both"/>
        <w:rPr>
          <w:b/>
        </w:rPr>
      </w:pPr>
      <w:r>
        <w:rPr>
          <w:b/>
        </w:rPr>
        <w:t>7</w:t>
      </w:r>
      <w:r w:rsidR="003C1D9F" w:rsidRPr="00154EF4">
        <w:rPr>
          <w:b/>
        </w:rPr>
        <w:t xml:space="preserve">. </w:t>
      </w:r>
      <w:r w:rsidR="00101D22" w:rsidRPr="00154EF4">
        <w:rPr>
          <w:b/>
        </w:rPr>
        <w:t xml:space="preserve">Veiksmų programos veiklos plane numatytų 2018 m. </w:t>
      </w:r>
      <w:r w:rsidR="0089020A">
        <w:rPr>
          <w:b/>
        </w:rPr>
        <w:t>rodiklių</w:t>
      </w:r>
      <w:r w:rsidR="00101D22" w:rsidRPr="00154EF4">
        <w:rPr>
          <w:b/>
        </w:rPr>
        <w:t xml:space="preserve"> pasiekimo lygio priežastys</w:t>
      </w:r>
      <w:r w:rsidR="00603C94" w:rsidRPr="00154EF4">
        <w:rPr>
          <w:b/>
        </w:rPr>
        <w:t xml:space="preserve">, </w:t>
      </w:r>
      <w:r w:rsidR="0089020A">
        <w:rPr>
          <w:b/>
        </w:rPr>
        <w:t>problemos</w:t>
      </w:r>
      <w:r w:rsidR="00101D22" w:rsidRPr="00154EF4">
        <w:rPr>
          <w:b/>
        </w:rPr>
        <w:t xml:space="preserve"> ir numatomi veiksmai</w:t>
      </w:r>
      <w:r w:rsidR="00603C94" w:rsidRPr="00154EF4">
        <w:rPr>
          <w:b/>
        </w:rPr>
        <w:t xml:space="preserve"> rezultatams pagerinti</w:t>
      </w:r>
    </w:p>
    <w:p w14:paraId="0F4798C9" w14:textId="3850D45C" w:rsidR="00B16541" w:rsidRDefault="00C87F79" w:rsidP="00B16541">
      <w:pPr>
        <w:spacing w:line="360" w:lineRule="auto"/>
        <w:ind w:firstLine="709"/>
        <w:jc w:val="both"/>
      </w:pPr>
      <w:r>
        <w:t xml:space="preserve">Veiksmų programos įgyvendinimo pradžioje </w:t>
      </w:r>
      <w:r w:rsidR="009A7909">
        <w:t>nemaža dalis</w:t>
      </w:r>
      <w:r>
        <w:t xml:space="preserve"> I Sąjungos prioriteto priemonių nebuvo patrauklios pareiškėjams teikti </w:t>
      </w:r>
      <w:r w:rsidR="00003529">
        <w:t xml:space="preserve">paramos </w:t>
      </w:r>
      <w:r>
        <w:t xml:space="preserve">paraiškas. Todėl Žuvininkystės departamentas </w:t>
      </w:r>
      <w:r w:rsidR="00F0798C">
        <w:t xml:space="preserve">(nuo šių metų liepos 1 d. Žuvininkystės skyrius) </w:t>
      </w:r>
      <w:r>
        <w:t xml:space="preserve">aktyviai organizavo susitikimus su žvejais ir jų atstovais </w:t>
      </w:r>
      <w:r w:rsidR="00003529">
        <w:t xml:space="preserve">siekdamas </w:t>
      </w:r>
      <w:r w:rsidR="00764A7C">
        <w:t xml:space="preserve">spręsti susidariusias problemas. </w:t>
      </w:r>
      <w:r w:rsidR="009A7909">
        <w:t>A</w:t>
      </w:r>
      <w:r w:rsidR="00764A7C">
        <w:t>tliktos priemonių „</w:t>
      </w:r>
      <w:r w:rsidR="00764A7C" w:rsidRPr="00764A7C">
        <w:t>Pridėtinė vertė, produktų kokyb</w:t>
      </w:r>
      <w:r w:rsidR="00764A7C">
        <w:t xml:space="preserve">ė ir nepageidaujamos priegaudos </w:t>
      </w:r>
      <w:r w:rsidR="00764A7C" w:rsidRPr="00764A7C">
        <w:t>panaudojimas</w:t>
      </w:r>
      <w:r w:rsidR="00764A7C">
        <w:t>“, „</w:t>
      </w:r>
      <w:r w:rsidR="00764A7C" w:rsidRPr="00764A7C">
        <w:t>Žvejybos poveikio jūrų aplinkai mažinimas ir žvejybos pritaikymas siekiant apsaugoti rūšis</w:t>
      </w:r>
      <w:r w:rsidR="00764A7C">
        <w:t>“, „</w:t>
      </w:r>
      <w:r w:rsidR="00764A7C" w:rsidRPr="00764A7C">
        <w:t>Energijos vartojimo efektyvumas ir klimato kaitos švelninimas. Pagrindinių arba pagalbinių variklių keitimas arba modernizavimas</w:t>
      </w:r>
      <w:r w:rsidR="00764A7C">
        <w:t>“, „</w:t>
      </w:r>
      <w:r w:rsidR="00764A7C" w:rsidRPr="00764A7C">
        <w:t>Energijos vartojimo efektyvumas ir klimato kaitos švelninimas. Investicijos į laivą, energijos vartojimo efektyvumo patikrinimas, sistemos, tyrimai, kuriais vertinamas alternatyvių varomųjų sistemų ir alternatyvaus korpuso dizaino poveikis</w:t>
      </w:r>
      <w:r w:rsidR="00764A7C">
        <w:t xml:space="preserve">“ ir kt. priemonių įgyvendinimo taisyklių pakeitimai. </w:t>
      </w:r>
      <w:r w:rsidR="00FE52FA">
        <w:t>Kol kas išlieka nepopuliarios paramos priemonės „</w:t>
      </w:r>
      <w:r w:rsidR="00FE52FA" w:rsidRPr="00764A7C">
        <w:t>Energijos vartojimo efektyvumas ir klimato kaitos švelninimas. Pagrindinių arba pagalbinių variklių keitimas arba modernizavimas</w:t>
      </w:r>
      <w:r w:rsidR="00FE52FA">
        <w:t>“, „</w:t>
      </w:r>
      <w:r w:rsidR="00FE52FA" w:rsidRPr="00764A7C">
        <w:t xml:space="preserve">Energijos vartojimo efektyvumas ir klimato kaitos švelninimas. Investicijos į laivą, energijos vartojimo efektyvumo patikrinimas, sistemos, tyrimai, kuriais vertinamas alternatyvių varomųjų sistemų ir </w:t>
      </w:r>
      <w:r w:rsidR="00FE52FA" w:rsidRPr="00764A7C">
        <w:lastRenderedPageBreak/>
        <w:t>alternatyvaus korpuso dizaino poveikis</w:t>
      </w:r>
      <w:r w:rsidR="00FE52FA">
        <w:t>“.</w:t>
      </w:r>
      <w:r w:rsidR="00832D50">
        <w:t xml:space="preserve"> Pagrindinės priežastys – mažas paramos intensyvumas (tik 30 proc., kuris įtvirtintas 2014 m. gegužės 15 d. reglamente (ES) 508/2014) ir kiti</w:t>
      </w:r>
      <w:r w:rsidR="00263C53">
        <w:t xml:space="preserve"> Lietuvos žvejybos sektoriui</w:t>
      </w:r>
      <w:r w:rsidR="00832D50">
        <w:t xml:space="preserve"> </w:t>
      </w:r>
      <w:r w:rsidR="00263C53">
        <w:t>nepalankūs</w:t>
      </w:r>
      <w:r w:rsidR="00832D50">
        <w:t xml:space="preserve"> </w:t>
      </w:r>
      <w:proofErr w:type="spellStart"/>
      <w:r w:rsidR="00832D50">
        <w:t>reglamentiniai</w:t>
      </w:r>
      <w:proofErr w:type="spellEnd"/>
      <w:r w:rsidR="00832D50">
        <w:t xml:space="preserve"> reikalavimai.</w:t>
      </w:r>
      <w:r w:rsidR="00FE52FA">
        <w:t xml:space="preserve"> Todėl planuojama organizuoti susitikimą su žvejybos sektoriaus atstovais, </w:t>
      </w:r>
      <w:r w:rsidR="003C05B4">
        <w:t xml:space="preserve">išklausyti potencialių pareiškėjų lūkesčius, problemas ir atitinkamai priimti sprendimus dėl minėtų priemonių įgyvendinimo taisyklių pakeitimo arba </w:t>
      </w:r>
      <w:r w:rsidR="00263C53">
        <w:t xml:space="preserve">planuojama šių priemonių atsisakyti, kai bus atliktas Veiksmų programos tarpinis vertinimas. </w:t>
      </w:r>
    </w:p>
    <w:p w14:paraId="0F4798CA" w14:textId="7EF1A010" w:rsidR="00C87F79" w:rsidRPr="00B918CD" w:rsidRDefault="00B16541" w:rsidP="00B16541">
      <w:pPr>
        <w:spacing w:line="360" w:lineRule="auto"/>
        <w:ind w:firstLine="709"/>
        <w:jc w:val="both"/>
      </w:pPr>
      <w:r>
        <w:t>Priemonės „</w:t>
      </w:r>
      <w:r w:rsidRPr="00B16541">
        <w:t>Žvejybos uostai, iškrovimo vietos, aukcionų patalpos ir priedangos</w:t>
      </w:r>
      <w:r>
        <w:t xml:space="preserve">“ įgyvendinimas užsitęsė dėl </w:t>
      </w:r>
      <w:r w:rsidR="003979E6">
        <w:t>derinimo</w:t>
      </w:r>
      <w:r>
        <w:t xml:space="preserve"> su žvejybos sektoriaus atstovais dėl potencialių iškrovimo vietų ir paramos teikimo sąlygų. </w:t>
      </w:r>
      <w:r w:rsidR="00A42C94">
        <w:t xml:space="preserve">Vienai iš potencialių pareiškėjų – Palangos savivaldybei – </w:t>
      </w:r>
      <w:r>
        <w:t xml:space="preserve"> Šventosios jūrų uo</w:t>
      </w:r>
      <w:r w:rsidR="00A42C94">
        <w:t xml:space="preserve">sto </w:t>
      </w:r>
      <w:r w:rsidR="000B3ACD">
        <w:t>valdymo teis</w:t>
      </w:r>
      <w:r w:rsidR="00A42C94">
        <w:t>ės perduotos nuo šių metų liepos 1 d. P</w:t>
      </w:r>
      <w:r w:rsidR="000B3ACD">
        <w:t>arengtas priemon</w:t>
      </w:r>
      <w:r w:rsidR="00A42C94">
        <w:t xml:space="preserve">ės </w:t>
      </w:r>
      <w:r w:rsidR="000B3ACD">
        <w:t>„</w:t>
      </w:r>
      <w:r w:rsidR="000B3ACD" w:rsidRPr="00B16541">
        <w:t>Žvejybos uostai, iškrovimo vietos, aukcionų patalpos ir priedangos</w:t>
      </w:r>
      <w:r w:rsidR="00D323D4">
        <w:t xml:space="preserve">“ įgyvendinimo taisyklių projektas </w:t>
      </w:r>
      <w:r w:rsidR="00A42C94">
        <w:t>jau derintas</w:t>
      </w:r>
      <w:r w:rsidR="00D323D4">
        <w:t xml:space="preserve"> </w:t>
      </w:r>
      <w:r w:rsidR="00A42C94">
        <w:t xml:space="preserve">su </w:t>
      </w:r>
      <w:r w:rsidR="00A42C94" w:rsidRPr="00B918CD">
        <w:t xml:space="preserve">institucijomis ir visuomene </w:t>
      </w:r>
      <w:r w:rsidR="00D323D4" w:rsidRPr="00B918CD">
        <w:t>Teisės aktų informacinėje sistemoje</w:t>
      </w:r>
      <w:r w:rsidR="00A42C94" w:rsidRPr="00B918CD">
        <w:t xml:space="preserve">, artimiausiu metu numatoma jį patvirtinti. Paramos paraiškas numatoma pradėti rinkti nuo šių metų spalio 1 d.  </w:t>
      </w:r>
      <w:r w:rsidR="00D323D4" w:rsidRPr="00B918CD">
        <w:t xml:space="preserve"> </w:t>
      </w:r>
    </w:p>
    <w:p w14:paraId="0F4798CB" w14:textId="6F08C0F2" w:rsidR="00D323D4" w:rsidRDefault="00D323D4" w:rsidP="00D323D4">
      <w:pPr>
        <w:tabs>
          <w:tab w:val="left" w:pos="993"/>
        </w:tabs>
        <w:spacing w:line="360" w:lineRule="auto"/>
        <w:ind w:right="-1" w:firstLine="709"/>
        <w:contextualSpacing/>
        <w:jc w:val="both"/>
        <w:rPr>
          <w:lang w:eastAsia="en-US"/>
        </w:rPr>
      </w:pPr>
      <w:r w:rsidRPr="00B918CD">
        <w:t xml:space="preserve">Kita aktuali problema </w:t>
      </w:r>
      <w:r w:rsidR="00F0798C" w:rsidRPr="00B918CD">
        <w:t xml:space="preserve"> – </w:t>
      </w:r>
      <w:r w:rsidRPr="00B918CD">
        <w:t xml:space="preserve"> 4 Sąjungos prioriteto </w:t>
      </w:r>
      <w:r w:rsidR="00F0798C" w:rsidRPr="00B918CD">
        <w:t xml:space="preserve">finansinio </w:t>
      </w:r>
      <w:r w:rsidRPr="00B918CD">
        <w:t>rodikli</w:t>
      </w:r>
      <w:r w:rsidR="00F0798C" w:rsidRPr="00B918CD">
        <w:t>o pasiekimas</w:t>
      </w:r>
      <w:r w:rsidRPr="00B918CD">
        <w:t xml:space="preserve">. </w:t>
      </w:r>
      <w:r w:rsidR="00F0798C" w:rsidRPr="00B918CD">
        <w:t xml:space="preserve">Jis </w:t>
      </w:r>
      <w:r w:rsidRPr="00B918CD">
        <w:t xml:space="preserve">sunkiai pasiekiamas dėl dar </w:t>
      </w:r>
      <w:r w:rsidR="00F0798C" w:rsidRPr="00B918CD">
        <w:t xml:space="preserve">neatrinktų ir </w:t>
      </w:r>
      <w:r w:rsidRPr="00B918CD">
        <w:t xml:space="preserve">nepradėtų įgyvendinti vietos projektų. </w:t>
      </w:r>
      <w:r w:rsidRPr="00B918CD">
        <w:rPr>
          <w:lang w:eastAsia="en-US"/>
        </w:rPr>
        <w:t xml:space="preserve">Siekiant spręsti susidariusias problemas, nuolat komunikuojama su </w:t>
      </w:r>
      <w:r w:rsidR="00A94715">
        <w:rPr>
          <w:lang w:eastAsia="en-US"/>
        </w:rPr>
        <w:t>Nacionaline mokėjimo agentūra prie žemės ūkio ministerijos (toliau – Agentūra)</w:t>
      </w:r>
      <w:r w:rsidR="000B20CC" w:rsidRPr="00B918CD">
        <w:rPr>
          <w:lang w:eastAsia="en-US"/>
        </w:rPr>
        <w:t>, FARNET ir EK</w:t>
      </w:r>
      <w:r w:rsidRPr="00B918CD">
        <w:rPr>
          <w:lang w:eastAsia="en-US"/>
        </w:rPr>
        <w:t xml:space="preserve"> atstovais. </w:t>
      </w:r>
      <w:r w:rsidR="00263C53" w:rsidRPr="00B918CD">
        <w:rPr>
          <w:lang w:eastAsia="en-US"/>
        </w:rPr>
        <w:t xml:space="preserve">Pagal </w:t>
      </w:r>
      <w:r w:rsidR="00A94715">
        <w:rPr>
          <w:lang w:eastAsia="en-US"/>
        </w:rPr>
        <w:t>Agentūros</w:t>
      </w:r>
      <w:r w:rsidR="00A94715" w:rsidRPr="00B918CD">
        <w:rPr>
          <w:lang w:eastAsia="en-US"/>
        </w:rPr>
        <w:t xml:space="preserve"> </w:t>
      </w:r>
      <w:r w:rsidR="00263C53" w:rsidRPr="00B918CD">
        <w:rPr>
          <w:lang w:eastAsia="en-US"/>
        </w:rPr>
        <w:t xml:space="preserve">duomenis </w:t>
      </w:r>
      <w:r w:rsidR="00F0798C" w:rsidRPr="00B918CD">
        <w:rPr>
          <w:lang w:eastAsia="en-US"/>
        </w:rPr>
        <w:t>7</w:t>
      </w:r>
      <w:r w:rsidR="00263C53" w:rsidRPr="00B918CD">
        <w:rPr>
          <w:lang w:eastAsia="en-US"/>
        </w:rPr>
        <w:t xml:space="preserve"> strategijos vykdytojai jau </w:t>
      </w:r>
      <w:r w:rsidR="00F0798C" w:rsidRPr="00B918CD">
        <w:rPr>
          <w:lang w:eastAsia="en-US"/>
        </w:rPr>
        <w:t xml:space="preserve">pradėjo vietos projektų paramos paraiškų priėmimą. </w:t>
      </w:r>
      <w:r w:rsidR="00B918CD" w:rsidRPr="00B918CD">
        <w:rPr>
          <w:lang w:eastAsia="en-US"/>
        </w:rPr>
        <w:t xml:space="preserve">7 paramos paraiškų priėmimo etapai jau baigėsi, 7 dar vyksta. Bendrai numatyta pagal kvietimus paramos suma yra beveik 1, 3 mln. Eur. Kol kas gautos tik </w:t>
      </w:r>
      <w:r w:rsidR="00E66FF1">
        <w:rPr>
          <w:lang w:eastAsia="en-US"/>
        </w:rPr>
        <w:t>7</w:t>
      </w:r>
      <w:r w:rsidR="00B918CD" w:rsidRPr="00B918CD">
        <w:rPr>
          <w:lang w:eastAsia="en-US"/>
        </w:rPr>
        <w:t xml:space="preserve"> </w:t>
      </w:r>
      <w:r w:rsidR="00E66FF1">
        <w:rPr>
          <w:lang w:eastAsia="en-US"/>
        </w:rPr>
        <w:t xml:space="preserve">vietos projektų </w:t>
      </w:r>
      <w:r w:rsidR="00B918CD" w:rsidRPr="00B918CD">
        <w:rPr>
          <w:lang w:eastAsia="en-US"/>
        </w:rPr>
        <w:t>paramos paraiškos. Didesnio pietos pareiškėjų aktyvumo tikimasi sulaukti pradėjus taikyti sąskaitų apmokėjimo būdą.</w:t>
      </w:r>
      <w:r w:rsidR="00B918CD">
        <w:rPr>
          <w:lang w:eastAsia="en-US"/>
        </w:rPr>
        <w:t xml:space="preserve"> </w:t>
      </w:r>
    </w:p>
    <w:p w14:paraId="0F4798CC" w14:textId="77777777" w:rsidR="00D323D4" w:rsidRDefault="00D323D4" w:rsidP="00B16541">
      <w:pPr>
        <w:spacing w:line="360" w:lineRule="auto"/>
        <w:ind w:firstLine="709"/>
        <w:jc w:val="both"/>
      </w:pPr>
    </w:p>
    <w:p w14:paraId="0F4798CD" w14:textId="77777777" w:rsidR="00C404AA" w:rsidRPr="00154EF4" w:rsidRDefault="00C404AA" w:rsidP="00D323D4">
      <w:pPr>
        <w:spacing w:line="360" w:lineRule="auto"/>
        <w:ind w:firstLine="709"/>
        <w:jc w:val="center"/>
      </w:pPr>
      <w:r>
        <w:t>____________</w:t>
      </w:r>
    </w:p>
    <w:sectPr w:rsidR="00C404AA" w:rsidRPr="00154EF4" w:rsidSect="0056727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798D6" w14:textId="77777777" w:rsidR="00F0798C" w:rsidRDefault="00F0798C" w:rsidP="00C453B8">
      <w:r>
        <w:separator/>
      </w:r>
    </w:p>
  </w:endnote>
  <w:endnote w:type="continuationSeparator" w:id="0">
    <w:p w14:paraId="0F4798D7" w14:textId="77777777" w:rsidR="00F0798C" w:rsidRDefault="00F0798C" w:rsidP="00C4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98DC" w14:textId="77777777" w:rsidR="00F0798C" w:rsidRDefault="00F0798C" w:rsidP="006070C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4798DD" w14:textId="77777777" w:rsidR="00F0798C" w:rsidRDefault="00F0798C" w:rsidP="006070C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98DE" w14:textId="77777777" w:rsidR="00F0798C" w:rsidRDefault="00F0798C" w:rsidP="006070C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798D4" w14:textId="77777777" w:rsidR="00F0798C" w:rsidRDefault="00F0798C" w:rsidP="00C453B8">
      <w:r>
        <w:separator/>
      </w:r>
    </w:p>
  </w:footnote>
  <w:footnote w:type="continuationSeparator" w:id="0">
    <w:p w14:paraId="0F4798D5" w14:textId="77777777" w:rsidR="00F0798C" w:rsidRDefault="00F0798C" w:rsidP="00C453B8">
      <w:r>
        <w:continuationSeparator/>
      </w:r>
    </w:p>
  </w:footnote>
  <w:footnote w:id="1">
    <w:p w14:paraId="0F4798DF" w14:textId="2DF4B0CF" w:rsidR="00F0798C" w:rsidRDefault="00F0798C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>Įgyvendinimo būklė apima Sąjungos 1, 2, 4, 5, 6 prioritetų įgyvendinimą. 3 Sąjungos prioritetui „BŽP įgyvendinimas“ ir 7 Sąjungos prioritetui „Techninė parama“ kvietimai teikti paraiškas neskelbiami, todėl realiai Veiksmų programos panaudojimas yra didesnis, t. y. iš viso pareiškėjams išmokėta 11,8 mln. Eur</w:t>
      </w:r>
    </w:p>
    <w:p w14:paraId="0F4798E0" w14:textId="77777777" w:rsidR="00F0798C" w:rsidRPr="00247673" w:rsidRDefault="00F0798C">
      <w:pPr>
        <w:pStyle w:val="Puslapioinaostekstas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98D8" w14:textId="77777777" w:rsidR="00F0798C" w:rsidRDefault="00F0798C" w:rsidP="006070C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4798D9" w14:textId="77777777" w:rsidR="00F0798C" w:rsidRDefault="00F0798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98DA" w14:textId="45A01DF0" w:rsidR="00F0798C" w:rsidRDefault="00F0798C" w:rsidP="006070C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4715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F4798DB" w14:textId="77777777" w:rsidR="00F0798C" w:rsidRDefault="00F079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D4C6B"/>
    <w:multiLevelType w:val="hybridMultilevel"/>
    <w:tmpl w:val="F2DCAA12"/>
    <w:lvl w:ilvl="0" w:tplc="8486701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077C5"/>
    <w:multiLevelType w:val="hybridMultilevel"/>
    <w:tmpl w:val="1A8E2DE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-4028" w:hanging="360"/>
      </w:pPr>
    </w:lvl>
    <w:lvl w:ilvl="2" w:tplc="0409001B" w:tentative="1">
      <w:start w:val="1"/>
      <w:numFmt w:val="lowerRoman"/>
      <w:lvlText w:val="%3."/>
      <w:lvlJc w:val="right"/>
      <w:pPr>
        <w:ind w:left="-3308" w:hanging="180"/>
      </w:pPr>
    </w:lvl>
    <w:lvl w:ilvl="3" w:tplc="0409000F" w:tentative="1">
      <w:start w:val="1"/>
      <w:numFmt w:val="decimal"/>
      <w:lvlText w:val="%4."/>
      <w:lvlJc w:val="left"/>
      <w:pPr>
        <w:ind w:left="-2588" w:hanging="360"/>
      </w:pPr>
    </w:lvl>
    <w:lvl w:ilvl="4" w:tplc="04090019" w:tentative="1">
      <w:start w:val="1"/>
      <w:numFmt w:val="lowerLetter"/>
      <w:lvlText w:val="%5."/>
      <w:lvlJc w:val="left"/>
      <w:pPr>
        <w:ind w:left="-1868" w:hanging="360"/>
      </w:pPr>
    </w:lvl>
    <w:lvl w:ilvl="5" w:tplc="0409001B" w:tentative="1">
      <w:start w:val="1"/>
      <w:numFmt w:val="lowerRoman"/>
      <w:lvlText w:val="%6."/>
      <w:lvlJc w:val="right"/>
      <w:pPr>
        <w:ind w:left="-1148" w:hanging="180"/>
      </w:pPr>
    </w:lvl>
    <w:lvl w:ilvl="6" w:tplc="0409000F" w:tentative="1">
      <w:start w:val="1"/>
      <w:numFmt w:val="decimal"/>
      <w:lvlText w:val="%7."/>
      <w:lvlJc w:val="left"/>
      <w:pPr>
        <w:ind w:left="-428" w:hanging="360"/>
      </w:pPr>
    </w:lvl>
    <w:lvl w:ilvl="7" w:tplc="04090019" w:tentative="1">
      <w:start w:val="1"/>
      <w:numFmt w:val="lowerLetter"/>
      <w:lvlText w:val="%8."/>
      <w:lvlJc w:val="left"/>
      <w:pPr>
        <w:ind w:left="292" w:hanging="360"/>
      </w:pPr>
    </w:lvl>
    <w:lvl w:ilvl="8" w:tplc="0409001B" w:tentative="1">
      <w:start w:val="1"/>
      <w:numFmt w:val="lowerRoman"/>
      <w:lvlText w:val="%9."/>
      <w:lvlJc w:val="right"/>
      <w:pPr>
        <w:ind w:left="1012" w:hanging="180"/>
      </w:pPr>
    </w:lvl>
  </w:abstractNum>
  <w:abstractNum w:abstractNumId="2" w15:restartNumberingAfterBreak="0">
    <w:nsid w:val="3D052FA6"/>
    <w:multiLevelType w:val="hybridMultilevel"/>
    <w:tmpl w:val="3DAAF708"/>
    <w:lvl w:ilvl="0" w:tplc="2E500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EA071A"/>
    <w:multiLevelType w:val="hybridMultilevel"/>
    <w:tmpl w:val="F64C88EC"/>
    <w:lvl w:ilvl="0" w:tplc="BA9ED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6B1979"/>
    <w:multiLevelType w:val="multilevel"/>
    <w:tmpl w:val="7FA431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mailMerge>
    <w:mainDocumentType w:val="formLetters"/>
    <w:dataType w:val="textFile"/>
    <w:activeRecord w:val="-1"/>
  </w:mailMerge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AEF"/>
    <w:rsid w:val="00003529"/>
    <w:rsid w:val="00003BCD"/>
    <w:rsid w:val="00004CED"/>
    <w:rsid w:val="00014940"/>
    <w:rsid w:val="000153DF"/>
    <w:rsid w:val="000162B5"/>
    <w:rsid w:val="000200AD"/>
    <w:rsid w:val="00023930"/>
    <w:rsid w:val="0002500D"/>
    <w:rsid w:val="0002600A"/>
    <w:rsid w:val="00030015"/>
    <w:rsid w:val="00030DAD"/>
    <w:rsid w:val="000330D2"/>
    <w:rsid w:val="00033D95"/>
    <w:rsid w:val="00035A17"/>
    <w:rsid w:val="00041AAE"/>
    <w:rsid w:val="0004315B"/>
    <w:rsid w:val="00045752"/>
    <w:rsid w:val="00047C3A"/>
    <w:rsid w:val="00047F99"/>
    <w:rsid w:val="000510A2"/>
    <w:rsid w:val="00052296"/>
    <w:rsid w:val="00053FCD"/>
    <w:rsid w:val="000563F1"/>
    <w:rsid w:val="0006097B"/>
    <w:rsid w:val="00061B1E"/>
    <w:rsid w:val="000664E6"/>
    <w:rsid w:val="00070C96"/>
    <w:rsid w:val="0007165A"/>
    <w:rsid w:val="00072C22"/>
    <w:rsid w:val="00074922"/>
    <w:rsid w:val="00074FBC"/>
    <w:rsid w:val="000756AB"/>
    <w:rsid w:val="00075DD2"/>
    <w:rsid w:val="00075E23"/>
    <w:rsid w:val="00076B7D"/>
    <w:rsid w:val="000806D2"/>
    <w:rsid w:val="000820BA"/>
    <w:rsid w:val="000837A0"/>
    <w:rsid w:val="00085A35"/>
    <w:rsid w:val="00090095"/>
    <w:rsid w:val="000918F3"/>
    <w:rsid w:val="00091C16"/>
    <w:rsid w:val="00095726"/>
    <w:rsid w:val="00096894"/>
    <w:rsid w:val="00096B1C"/>
    <w:rsid w:val="00096DF2"/>
    <w:rsid w:val="00097EDE"/>
    <w:rsid w:val="000A1D90"/>
    <w:rsid w:val="000A3A26"/>
    <w:rsid w:val="000A47A1"/>
    <w:rsid w:val="000A4C03"/>
    <w:rsid w:val="000A61EB"/>
    <w:rsid w:val="000A68AE"/>
    <w:rsid w:val="000A703E"/>
    <w:rsid w:val="000A7AEA"/>
    <w:rsid w:val="000B01AE"/>
    <w:rsid w:val="000B0C79"/>
    <w:rsid w:val="000B0E04"/>
    <w:rsid w:val="000B20CC"/>
    <w:rsid w:val="000B3400"/>
    <w:rsid w:val="000B3ACD"/>
    <w:rsid w:val="000B4E2F"/>
    <w:rsid w:val="000B697C"/>
    <w:rsid w:val="000C17E6"/>
    <w:rsid w:val="000C457A"/>
    <w:rsid w:val="000C5CB6"/>
    <w:rsid w:val="000D1A47"/>
    <w:rsid w:val="000D30FD"/>
    <w:rsid w:val="000D38F7"/>
    <w:rsid w:val="000D53D4"/>
    <w:rsid w:val="000D5895"/>
    <w:rsid w:val="000E0B8F"/>
    <w:rsid w:val="000E188D"/>
    <w:rsid w:val="000E2F4B"/>
    <w:rsid w:val="000E380E"/>
    <w:rsid w:val="000E43C1"/>
    <w:rsid w:val="000E45AE"/>
    <w:rsid w:val="000E5C8B"/>
    <w:rsid w:val="000E62D6"/>
    <w:rsid w:val="000E6F45"/>
    <w:rsid w:val="000F08F9"/>
    <w:rsid w:val="000F0AC4"/>
    <w:rsid w:val="000F54A5"/>
    <w:rsid w:val="000F5B71"/>
    <w:rsid w:val="000F68D8"/>
    <w:rsid w:val="000F7603"/>
    <w:rsid w:val="001000DA"/>
    <w:rsid w:val="00101D22"/>
    <w:rsid w:val="00102FAB"/>
    <w:rsid w:val="0010348D"/>
    <w:rsid w:val="00107BFD"/>
    <w:rsid w:val="0011066D"/>
    <w:rsid w:val="00111D61"/>
    <w:rsid w:val="00114E06"/>
    <w:rsid w:val="001155E4"/>
    <w:rsid w:val="001161FE"/>
    <w:rsid w:val="00116EAE"/>
    <w:rsid w:val="00117EE8"/>
    <w:rsid w:val="0012047B"/>
    <w:rsid w:val="00120974"/>
    <w:rsid w:val="00120FC3"/>
    <w:rsid w:val="00121520"/>
    <w:rsid w:val="0012258A"/>
    <w:rsid w:val="00122BC3"/>
    <w:rsid w:val="0012340F"/>
    <w:rsid w:val="00125983"/>
    <w:rsid w:val="00134F54"/>
    <w:rsid w:val="001356FC"/>
    <w:rsid w:val="00137874"/>
    <w:rsid w:val="0014017F"/>
    <w:rsid w:val="001405F3"/>
    <w:rsid w:val="00142236"/>
    <w:rsid w:val="00142877"/>
    <w:rsid w:val="001437F7"/>
    <w:rsid w:val="001453C6"/>
    <w:rsid w:val="00145D2E"/>
    <w:rsid w:val="001471F5"/>
    <w:rsid w:val="00153256"/>
    <w:rsid w:val="001548D1"/>
    <w:rsid w:val="00154EF4"/>
    <w:rsid w:val="001550A7"/>
    <w:rsid w:val="00157C44"/>
    <w:rsid w:val="00161945"/>
    <w:rsid w:val="00162B2E"/>
    <w:rsid w:val="00165710"/>
    <w:rsid w:val="00165763"/>
    <w:rsid w:val="001666DF"/>
    <w:rsid w:val="0016696C"/>
    <w:rsid w:val="00166A42"/>
    <w:rsid w:val="00170ACB"/>
    <w:rsid w:val="00175A67"/>
    <w:rsid w:val="00175C61"/>
    <w:rsid w:val="00180E40"/>
    <w:rsid w:val="001813DB"/>
    <w:rsid w:val="00181ED3"/>
    <w:rsid w:val="0018314D"/>
    <w:rsid w:val="00185AD4"/>
    <w:rsid w:val="00185E19"/>
    <w:rsid w:val="00187064"/>
    <w:rsid w:val="001913F4"/>
    <w:rsid w:val="00191EDF"/>
    <w:rsid w:val="001920A9"/>
    <w:rsid w:val="00193117"/>
    <w:rsid w:val="00193871"/>
    <w:rsid w:val="0019666D"/>
    <w:rsid w:val="001967D1"/>
    <w:rsid w:val="00196C50"/>
    <w:rsid w:val="00197F7F"/>
    <w:rsid w:val="001A0759"/>
    <w:rsid w:val="001A14C9"/>
    <w:rsid w:val="001A266A"/>
    <w:rsid w:val="001A3B84"/>
    <w:rsid w:val="001A443A"/>
    <w:rsid w:val="001A477C"/>
    <w:rsid w:val="001A5195"/>
    <w:rsid w:val="001B25D5"/>
    <w:rsid w:val="001B7084"/>
    <w:rsid w:val="001C0E2E"/>
    <w:rsid w:val="001C1EA0"/>
    <w:rsid w:val="001C2B65"/>
    <w:rsid w:val="001C4968"/>
    <w:rsid w:val="001C4E98"/>
    <w:rsid w:val="001C6B50"/>
    <w:rsid w:val="001D0D26"/>
    <w:rsid w:val="001D483D"/>
    <w:rsid w:val="001D6B33"/>
    <w:rsid w:val="001E2E81"/>
    <w:rsid w:val="001E5258"/>
    <w:rsid w:val="001E61E3"/>
    <w:rsid w:val="001E62EE"/>
    <w:rsid w:val="001E7908"/>
    <w:rsid w:val="001F155E"/>
    <w:rsid w:val="001F2CB2"/>
    <w:rsid w:val="001F48E1"/>
    <w:rsid w:val="0020079C"/>
    <w:rsid w:val="00201CAB"/>
    <w:rsid w:val="00201FBE"/>
    <w:rsid w:val="00207683"/>
    <w:rsid w:val="00211C90"/>
    <w:rsid w:val="002135CD"/>
    <w:rsid w:val="002173B8"/>
    <w:rsid w:val="00217B89"/>
    <w:rsid w:val="00217E46"/>
    <w:rsid w:val="002207C3"/>
    <w:rsid w:val="0022135A"/>
    <w:rsid w:val="00222411"/>
    <w:rsid w:val="00222798"/>
    <w:rsid w:val="00223B89"/>
    <w:rsid w:val="0022405C"/>
    <w:rsid w:val="002247FF"/>
    <w:rsid w:val="00227C36"/>
    <w:rsid w:val="002302FF"/>
    <w:rsid w:val="0023137D"/>
    <w:rsid w:val="00231CDB"/>
    <w:rsid w:val="00233709"/>
    <w:rsid w:val="00235497"/>
    <w:rsid w:val="002354BD"/>
    <w:rsid w:val="00236D08"/>
    <w:rsid w:val="0023742C"/>
    <w:rsid w:val="00237A83"/>
    <w:rsid w:val="00242162"/>
    <w:rsid w:val="00243948"/>
    <w:rsid w:val="00246E12"/>
    <w:rsid w:val="00247673"/>
    <w:rsid w:val="002500A9"/>
    <w:rsid w:val="00250EA3"/>
    <w:rsid w:val="002512C6"/>
    <w:rsid w:val="002523A2"/>
    <w:rsid w:val="00253033"/>
    <w:rsid w:val="00254CC0"/>
    <w:rsid w:val="0025509B"/>
    <w:rsid w:val="00255B1A"/>
    <w:rsid w:val="00255D2D"/>
    <w:rsid w:val="00256116"/>
    <w:rsid w:val="00256C64"/>
    <w:rsid w:val="002577CE"/>
    <w:rsid w:val="00257E64"/>
    <w:rsid w:val="00263063"/>
    <w:rsid w:val="00263A3D"/>
    <w:rsid w:val="00263C53"/>
    <w:rsid w:val="00263F19"/>
    <w:rsid w:val="00265A20"/>
    <w:rsid w:val="00266153"/>
    <w:rsid w:val="0026642F"/>
    <w:rsid w:val="00266A66"/>
    <w:rsid w:val="00266F1F"/>
    <w:rsid w:val="00267D56"/>
    <w:rsid w:val="00271101"/>
    <w:rsid w:val="002736B1"/>
    <w:rsid w:val="00273A11"/>
    <w:rsid w:val="00275A32"/>
    <w:rsid w:val="0028058F"/>
    <w:rsid w:val="00280D8D"/>
    <w:rsid w:val="0028237B"/>
    <w:rsid w:val="00283586"/>
    <w:rsid w:val="00286E65"/>
    <w:rsid w:val="00286F50"/>
    <w:rsid w:val="0029440E"/>
    <w:rsid w:val="002A1D03"/>
    <w:rsid w:val="002A218A"/>
    <w:rsid w:val="002A542C"/>
    <w:rsid w:val="002A640F"/>
    <w:rsid w:val="002B19C1"/>
    <w:rsid w:val="002B3757"/>
    <w:rsid w:val="002B439B"/>
    <w:rsid w:val="002B52E5"/>
    <w:rsid w:val="002B54CB"/>
    <w:rsid w:val="002B65C2"/>
    <w:rsid w:val="002B795F"/>
    <w:rsid w:val="002C0157"/>
    <w:rsid w:val="002C03FA"/>
    <w:rsid w:val="002C330F"/>
    <w:rsid w:val="002C3C01"/>
    <w:rsid w:val="002C3F49"/>
    <w:rsid w:val="002C4220"/>
    <w:rsid w:val="002C4C44"/>
    <w:rsid w:val="002C64E6"/>
    <w:rsid w:val="002C6B3A"/>
    <w:rsid w:val="002D1772"/>
    <w:rsid w:val="002D195E"/>
    <w:rsid w:val="002D2BEF"/>
    <w:rsid w:val="002D5BC0"/>
    <w:rsid w:val="002E07B6"/>
    <w:rsid w:val="002E1C5E"/>
    <w:rsid w:val="002E310C"/>
    <w:rsid w:val="002F1C12"/>
    <w:rsid w:val="002F26AB"/>
    <w:rsid w:val="002F406B"/>
    <w:rsid w:val="002F4969"/>
    <w:rsid w:val="002F4B06"/>
    <w:rsid w:val="002F5B67"/>
    <w:rsid w:val="002F7822"/>
    <w:rsid w:val="003010F9"/>
    <w:rsid w:val="00302433"/>
    <w:rsid w:val="00304ED7"/>
    <w:rsid w:val="00306370"/>
    <w:rsid w:val="00310BD9"/>
    <w:rsid w:val="00314616"/>
    <w:rsid w:val="003147FA"/>
    <w:rsid w:val="003178F6"/>
    <w:rsid w:val="00322430"/>
    <w:rsid w:val="003269B6"/>
    <w:rsid w:val="00327C72"/>
    <w:rsid w:val="00330A01"/>
    <w:rsid w:val="00330CD3"/>
    <w:rsid w:val="00330EF2"/>
    <w:rsid w:val="00331D41"/>
    <w:rsid w:val="00337364"/>
    <w:rsid w:val="00340256"/>
    <w:rsid w:val="003414F6"/>
    <w:rsid w:val="00341EB5"/>
    <w:rsid w:val="003436A0"/>
    <w:rsid w:val="00344071"/>
    <w:rsid w:val="003453E2"/>
    <w:rsid w:val="0034645D"/>
    <w:rsid w:val="00347014"/>
    <w:rsid w:val="0034703C"/>
    <w:rsid w:val="00347CD9"/>
    <w:rsid w:val="0035082F"/>
    <w:rsid w:val="00350FD3"/>
    <w:rsid w:val="0035279E"/>
    <w:rsid w:val="00352E3C"/>
    <w:rsid w:val="00353096"/>
    <w:rsid w:val="003536CA"/>
    <w:rsid w:val="003547C7"/>
    <w:rsid w:val="00360559"/>
    <w:rsid w:val="003606AA"/>
    <w:rsid w:val="00360960"/>
    <w:rsid w:val="00360BF8"/>
    <w:rsid w:val="0036296C"/>
    <w:rsid w:val="003737F7"/>
    <w:rsid w:val="00373A73"/>
    <w:rsid w:val="00373D30"/>
    <w:rsid w:val="00374A6B"/>
    <w:rsid w:val="003774B3"/>
    <w:rsid w:val="00380CF8"/>
    <w:rsid w:val="00382A18"/>
    <w:rsid w:val="00385542"/>
    <w:rsid w:val="00385A94"/>
    <w:rsid w:val="003917E4"/>
    <w:rsid w:val="003927FF"/>
    <w:rsid w:val="0039509D"/>
    <w:rsid w:val="0039652A"/>
    <w:rsid w:val="003979E6"/>
    <w:rsid w:val="003A02A4"/>
    <w:rsid w:val="003A1E98"/>
    <w:rsid w:val="003A4288"/>
    <w:rsid w:val="003A651B"/>
    <w:rsid w:val="003A745C"/>
    <w:rsid w:val="003B17AD"/>
    <w:rsid w:val="003B2E86"/>
    <w:rsid w:val="003B314C"/>
    <w:rsid w:val="003B581B"/>
    <w:rsid w:val="003B76FF"/>
    <w:rsid w:val="003C0152"/>
    <w:rsid w:val="003C05B4"/>
    <w:rsid w:val="003C1D9F"/>
    <w:rsid w:val="003C2904"/>
    <w:rsid w:val="003C292B"/>
    <w:rsid w:val="003C2A8A"/>
    <w:rsid w:val="003C499F"/>
    <w:rsid w:val="003C4F32"/>
    <w:rsid w:val="003C596C"/>
    <w:rsid w:val="003C6D35"/>
    <w:rsid w:val="003D48F9"/>
    <w:rsid w:val="003D78B6"/>
    <w:rsid w:val="003E30B6"/>
    <w:rsid w:val="003E3E19"/>
    <w:rsid w:val="003E438B"/>
    <w:rsid w:val="003E65C0"/>
    <w:rsid w:val="003E70A0"/>
    <w:rsid w:val="003E7140"/>
    <w:rsid w:val="003E7847"/>
    <w:rsid w:val="003E7AF2"/>
    <w:rsid w:val="003F18EE"/>
    <w:rsid w:val="003F1F18"/>
    <w:rsid w:val="003F34F7"/>
    <w:rsid w:val="003F35F1"/>
    <w:rsid w:val="003F42E0"/>
    <w:rsid w:val="003F6371"/>
    <w:rsid w:val="003F6CA4"/>
    <w:rsid w:val="003F7B70"/>
    <w:rsid w:val="00401E01"/>
    <w:rsid w:val="00402686"/>
    <w:rsid w:val="004027CC"/>
    <w:rsid w:val="00403340"/>
    <w:rsid w:val="0040443A"/>
    <w:rsid w:val="00404A0C"/>
    <w:rsid w:val="00405102"/>
    <w:rsid w:val="004052E3"/>
    <w:rsid w:val="00405730"/>
    <w:rsid w:val="00405F70"/>
    <w:rsid w:val="00412E7F"/>
    <w:rsid w:val="00413A2C"/>
    <w:rsid w:val="00414BF8"/>
    <w:rsid w:val="00414ED4"/>
    <w:rsid w:val="004159DD"/>
    <w:rsid w:val="00417881"/>
    <w:rsid w:val="004222B0"/>
    <w:rsid w:val="0042391D"/>
    <w:rsid w:val="0042607B"/>
    <w:rsid w:val="00426D30"/>
    <w:rsid w:val="004279C3"/>
    <w:rsid w:val="00427A24"/>
    <w:rsid w:val="00427B6B"/>
    <w:rsid w:val="00430712"/>
    <w:rsid w:val="004321C0"/>
    <w:rsid w:val="004324FC"/>
    <w:rsid w:val="00432C48"/>
    <w:rsid w:val="00433ED0"/>
    <w:rsid w:val="0043592B"/>
    <w:rsid w:val="00435A3B"/>
    <w:rsid w:val="004362B7"/>
    <w:rsid w:val="0044258D"/>
    <w:rsid w:val="004443F0"/>
    <w:rsid w:val="004445F4"/>
    <w:rsid w:val="00447275"/>
    <w:rsid w:val="00450A61"/>
    <w:rsid w:val="00450C23"/>
    <w:rsid w:val="0045119B"/>
    <w:rsid w:val="004511CC"/>
    <w:rsid w:val="00452DB1"/>
    <w:rsid w:val="004532FF"/>
    <w:rsid w:val="00454B51"/>
    <w:rsid w:val="0045658C"/>
    <w:rsid w:val="00467707"/>
    <w:rsid w:val="00470DBE"/>
    <w:rsid w:val="0047153F"/>
    <w:rsid w:val="00471BA5"/>
    <w:rsid w:val="00474BF6"/>
    <w:rsid w:val="00475429"/>
    <w:rsid w:val="0047643C"/>
    <w:rsid w:val="00476B06"/>
    <w:rsid w:val="0047701C"/>
    <w:rsid w:val="004812FE"/>
    <w:rsid w:val="00482C2F"/>
    <w:rsid w:val="00484987"/>
    <w:rsid w:val="00485302"/>
    <w:rsid w:val="004865D9"/>
    <w:rsid w:val="00486E6C"/>
    <w:rsid w:val="00490017"/>
    <w:rsid w:val="0049046D"/>
    <w:rsid w:val="00492BCF"/>
    <w:rsid w:val="00493195"/>
    <w:rsid w:val="00493835"/>
    <w:rsid w:val="00493D37"/>
    <w:rsid w:val="0049470C"/>
    <w:rsid w:val="00495F68"/>
    <w:rsid w:val="00496550"/>
    <w:rsid w:val="004979E5"/>
    <w:rsid w:val="004A0EAE"/>
    <w:rsid w:val="004A1EDC"/>
    <w:rsid w:val="004A237D"/>
    <w:rsid w:val="004A404A"/>
    <w:rsid w:val="004A58DA"/>
    <w:rsid w:val="004B0583"/>
    <w:rsid w:val="004B47EC"/>
    <w:rsid w:val="004B5143"/>
    <w:rsid w:val="004B60A3"/>
    <w:rsid w:val="004B6B1F"/>
    <w:rsid w:val="004C2700"/>
    <w:rsid w:val="004C45E2"/>
    <w:rsid w:val="004C688F"/>
    <w:rsid w:val="004C708F"/>
    <w:rsid w:val="004D152A"/>
    <w:rsid w:val="004D2ECB"/>
    <w:rsid w:val="004D57A0"/>
    <w:rsid w:val="004D660A"/>
    <w:rsid w:val="004E38EA"/>
    <w:rsid w:val="004E5EE0"/>
    <w:rsid w:val="004E6416"/>
    <w:rsid w:val="004F384D"/>
    <w:rsid w:val="004F45AE"/>
    <w:rsid w:val="004F501C"/>
    <w:rsid w:val="004F5751"/>
    <w:rsid w:val="004F5A3F"/>
    <w:rsid w:val="004F602C"/>
    <w:rsid w:val="00500185"/>
    <w:rsid w:val="005005C6"/>
    <w:rsid w:val="00501BF6"/>
    <w:rsid w:val="00504041"/>
    <w:rsid w:val="0050518E"/>
    <w:rsid w:val="00505B87"/>
    <w:rsid w:val="005064BB"/>
    <w:rsid w:val="00507152"/>
    <w:rsid w:val="005078B8"/>
    <w:rsid w:val="00507C8B"/>
    <w:rsid w:val="00510717"/>
    <w:rsid w:val="00513436"/>
    <w:rsid w:val="005141F4"/>
    <w:rsid w:val="00514DA8"/>
    <w:rsid w:val="0051690C"/>
    <w:rsid w:val="0052208F"/>
    <w:rsid w:val="00522C8E"/>
    <w:rsid w:val="00523EED"/>
    <w:rsid w:val="00524AEB"/>
    <w:rsid w:val="00526235"/>
    <w:rsid w:val="0053086C"/>
    <w:rsid w:val="00530CFB"/>
    <w:rsid w:val="00530FD5"/>
    <w:rsid w:val="00534AF5"/>
    <w:rsid w:val="0053543B"/>
    <w:rsid w:val="00536137"/>
    <w:rsid w:val="00536E24"/>
    <w:rsid w:val="00541205"/>
    <w:rsid w:val="00541458"/>
    <w:rsid w:val="00541B28"/>
    <w:rsid w:val="00542D23"/>
    <w:rsid w:val="005472FA"/>
    <w:rsid w:val="00550176"/>
    <w:rsid w:val="00555530"/>
    <w:rsid w:val="00555A4D"/>
    <w:rsid w:val="00560051"/>
    <w:rsid w:val="005634F8"/>
    <w:rsid w:val="00563DF3"/>
    <w:rsid w:val="0056441D"/>
    <w:rsid w:val="00567275"/>
    <w:rsid w:val="00570A65"/>
    <w:rsid w:val="005727BF"/>
    <w:rsid w:val="00572E61"/>
    <w:rsid w:val="00573759"/>
    <w:rsid w:val="0057379F"/>
    <w:rsid w:val="00574663"/>
    <w:rsid w:val="00574EE7"/>
    <w:rsid w:val="0058004D"/>
    <w:rsid w:val="00582A36"/>
    <w:rsid w:val="005902EF"/>
    <w:rsid w:val="005913D4"/>
    <w:rsid w:val="00596B8E"/>
    <w:rsid w:val="0059718D"/>
    <w:rsid w:val="005A2BA1"/>
    <w:rsid w:val="005A3604"/>
    <w:rsid w:val="005A6621"/>
    <w:rsid w:val="005A79B7"/>
    <w:rsid w:val="005B2590"/>
    <w:rsid w:val="005B2AEF"/>
    <w:rsid w:val="005B4DE0"/>
    <w:rsid w:val="005B5B30"/>
    <w:rsid w:val="005B7F9B"/>
    <w:rsid w:val="005C02A2"/>
    <w:rsid w:val="005C102F"/>
    <w:rsid w:val="005C1962"/>
    <w:rsid w:val="005C4B4D"/>
    <w:rsid w:val="005C4DE1"/>
    <w:rsid w:val="005C5707"/>
    <w:rsid w:val="005C5D06"/>
    <w:rsid w:val="005D064D"/>
    <w:rsid w:val="005D2174"/>
    <w:rsid w:val="005D4E8D"/>
    <w:rsid w:val="005D6603"/>
    <w:rsid w:val="005E2C95"/>
    <w:rsid w:val="005E4E08"/>
    <w:rsid w:val="005E4F1D"/>
    <w:rsid w:val="005E5566"/>
    <w:rsid w:val="005F034D"/>
    <w:rsid w:val="005F0AB2"/>
    <w:rsid w:val="005F0D71"/>
    <w:rsid w:val="005F1456"/>
    <w:rsid w:val="005F1ABC"/>
    <w:rsid w:val="005F25DC"/>
    <w:rsid w:val="005F39B7"/>
    <w:rsid w:val="005F49CC"/>
    <w:rsid w:val="005F59C8"/>
    <w:rsid w:val="006021EC"/>
    <w:rsid w:val="00603ABB"/>
    <w:rsid w:val="00603C94"/>
    <w:rsid w:val="00604B6F"/>
    <w:rsid w:val="006070C2"/>
    <w:rsid w:val="00607CB4"/>
    <w:rsid w:val="00623220"/>
    <w:rsid w:val="0062333B"/>
    <w:rsid w:val="00623ED4"/>
    <w:rsid w:val="006249DD"/>
    <w:rsid w:val="00624DFA"/>
    <w:rsid w:val="0062591C"/>
    <w:rsid w:val="00625BAF"/>
    <w:rsid w:val="00625C54"/>
    <w:rsid w:val="00627BD2"/>
    <w:rsid w:val="00627D7D"/>
    <w:rsid w:val="00630CE2"/>
    <w:rsid w:val="006322D2"/>
    <w:rsid w:val="006337FB"/>
    <w:rsid w:val="00633CFE"/>
    <w:rsid w:val="00634CD8"/>
    <w:rsid w:val="006356CF"/>
    <w:rsid w:val="00635E0C"/>
    <w:rsid w:val="00637A58"/>
    <w:rsid w:val="00642939"/>
    <w:rsid w:val="00643726"/>
    <w:rsid w:val="00644CC6"/>
    <w:rsid w:val="00645865"/>
    <w:rsid w:val="00647FCD"/>
    <w:rsid w:val="00650B3D"/>
    <w:rsid w:val="006520A1"/>
    <w:rsid w:val="006524B3"/>
    <w:rsid w:val="00655815"/>
    <w:rsid w:val="006558E2"/>
    <w:rsid w:val="00656369"/>
    <w:rsid w:val="0066202C"/>
    <w:rsid w:val="00663361"/>
    <w:rsid w:val="00664BCD"/>
    <w:rsid w:val="00665A16"/>
    <w:rsid w:val="0066742D"/>
    <w:rsid w:val="00671335"/>
    <w:rsid w:val="00671F10"/>
    <w:rsid w:val="006763D6"/>
    <w:rsid w:val="006810D8"/>
    <w:rsid w:val="00681B85"/>
    <w:rsid w:val="006837CB"/>
    <w:rsid w:val="00683B1E"/>
    <w:rsid w:val="00686710"/>
    <w:rsid w:val="006879E9"/>
    <w:rsid w:val="00690E21"/>
    <w:rsid w:val="00691C25"/>
    <w:rsid w:val="006924E3"/>
    <w:rsid w:val="00693479"/>
    <w:rsid w:val="00695B99"/>
    <w:rsid w:val="0069683F"/>
    <w:rsid w:val="0069691D"/>
    <w:rsid w:val="00696EFB"/>
    <w:rsid w:val="006A1AB7"/>
    <w:rsid w:val="006A1C96"/>
    <w:rsid w:val="006A2F65"/>
    <w:rsid w:val="006A34E9"/>
    <w:rsid w:val="006A37A8"/>
    <w:rsid w:val="006A5274"/>
    <w:rsid w:val="006A552A"/>
    <w:rsid w:val="006A77DD"/>
    <w:rsid w:val="006A7AF5"/>
    <w:rsid w:val="006B08E1"/>
    <w:rsid w:val="006B0E8C"/>
    <w:rsid w:val="006B1620"/>
    <w:rsid w:val="006B27AE"/>
    <w:rsid w:val="006B649A"/>
    <w:rsid w:val="006B6E87"/>
    <w:rsid w:val="006C0DBC"/>
    <w:rsid w:val="006C1206"/>
    <w:rsid w:val="006C139C"/>
    <w:rsid w:val="006C1C0A"/>
    <w:rsid w:val="006C25AF"/>
    <w:rsid w:val="006C4382"/>
    <w:rsid w:val="006C5F74"/>
    <w:rsid w:val="006C6423"/>
    <w:rsid w:val="006C6915"/>
    <w:rsid w:val="006C722E"/>
    <w:rsid w:val="006D3E42"/>
    <w:rsid w:val="006D79D1"/>
    <w:rsid w:val="006E0E69"/>
    <w:rsid w:val="006E173C"/>
    <w:rsid w:val="006E3629"/>
    <w:rsid w:val="006E3A00"/>
    <w:rsid w:val="006E5146"/>
    <w:rsid w:val="006E5415"/>
    <w:rsid w:val="006E565E"/>
    <w:rsid w:val="006E6DE8"/>
    <w:rsid w:val="006F01C6"/>
    <w:rsid w:val="006F1EBA"/>
    <w:rsid w:val="006F2812"/>
    <w:rsid w:val="006F3652"/>
    <w:rsid w:val="006F3E17"/>
    <w:rsid w:val="006F51D5"/>
    <w:rsid w:val="006F5C71"/>
    <w:rsid w:val="00701D06"/>
    <w:rsid w:val="00704309"/>
    <w:rsid w:val="0070455D"/>
    <w:rsid w:val="00704DB3"/>
    <w:rsid w:val="00704F71"/>
    <w:rsid w:val="0070551C"/>
    <w:rsid w:val="00706D9C"/>
    <w:rsid w:val="00707F52"/>
    <w:rsid w:val="00710CD3"/>
    <w:rsid w:val="0071143E"/>
    <w:rsid w:val="007118D0"/>
    <w:rsid w:val="0071425B"/>
    <w:rsid w:val="007162BD"/>
    <w:rsid w:val="00716F98"/>
    <w:rsid w:val="00716FA6"/>
    <w:rsid w:val="00720E37"/>
    <w:rsid w:val="00722200"/>
    <w:rsid w:val="0072342C"/>
    <w:rsid w:val="00723E0C"/>
    <w:rsid w:val="0072571C"/>
    <w:rsid w:val="0072585C"/>
    <w:rsid w:val="0073159E"/>
    <w:rsid w:val="00734093"/>
    <w:rsid w:val="0073446F"/>
    <w:rsid w:val="00734669"/>
    <w:rsid w:val="00734AF5"/>
    <w:rsid w:val="0074378D"/>
    <w:rsid w:val="00746A93"/>
    <w:rsid w:val="00746C5C"/>
    <w:rsid w:val="00747623"/>
    <w:rsid w:val="007504A2"/>
    <w:rsid w:val="00750C51"/>
    <w:rsid w:val="007510DF"/>
    <w:rsid w:val="007524D9"/>
    <w:rsid w:val="0075287E"/>
    <w:rsid w:val="007545C1"/>
    <w:rsid w:val="00754F91"/>
    <w:rsid w:val="00755F54"/>
    <w:rsid w:val="00760EC1"/>
    <w:rsid w:val="007619A0"/>
    <w:rsid w:val="007621EA"/>
    <w:rsid w:val="0076259B"/>
    <w:rsid w:val="00763A38"/>
    <w:rsid w:val="007644A4"/>
    <w:rsid w:val="00764A7C"/>
    <w:rsid w:val="007654BA"/>
    <w:rsid w:val="007665AA"/>
    <w:rsid w:val="00766CE6"/>
    <w:rsid w:val="00767A3A"/>
    <w:rsid w:val="0077161E"/>
    <w:rsid w:val="007717EC"/>
    <w:rsid w:val="00771F5E"/>
    <w:rsid w:val="00774FAF"/>
    <w:rsid w:val="007752E3"/>
    <w:rsid w:val="00775CED"/>
    <w:rsid w:val="00777BB3"/>
    <w:rsid w:val="00777C0E"/>
    <w:rsid w:val="007854F1"/>
    <w:rsid w:val="0079256F"/>
    <w:rsid w:val="00795B40"/>
    <w:rsid w:val="00795FA5"/>
    <w:rsid w:val="007A1A6C"/>
    <w:rsid w:val="007A1F03"/>
    <w:rsid w:val="007A1FD8"/>
    <w:rsid w:val="007A1FFB"/>
    <w:rsid w:val="007A3284"/>
    <w:rsid w:val="007A32A1"/>
    <w:rsid w:val="007A5E66"/>
    <w:rsid w:val="007A7B0F"/>
    <w:rsid w:val="007B15CE"/>
    <w:rsid w:val="007B210E"/>
    <w:rsid w:val="007B2568"/>
    <w:rsid w:val="007B3361"/>
    <w:rsid w:val="007B42BE"/>
    <w:rsid w:val="007B7733"/>
    <w:rsid w:val="007C0D02"/>
    <w:rsid w:val="007C1207"/>
    <w:rsid w:val="007C4E1B"/>
    <w:rsid w:val="007C4FE2"/>
    <w:rsid w:val="007D12A6"/>
    <w:rsid w:val="007D3F41"/>
    <w:rsid w:val="007D5776"/>
    <w:rsid w:val="007D6DF6"/>
    <w:rsid w:val="007D722D"/>
    <w:rsid w:val="007D747D"/>
    <w:rsid w:val="007D7532"/>
    <w:rsid w:val="007E1D33"/>
    <w:rsid w:val="007E36C6"/>
    <w:rsid w:val="007F0E74"/>
    <w:rsid w:val="007F303B"/>
    <w:rsid w:val="007F761C"/>
    <w:rsid w:val="0080079E"/>
    <w:rsid w:val="00801BB2"/>
    <w:rsid w:val="0080417F"/>
    <w:rsid w:val="008046EB"/>
    <w:rsid w:val="00806CBF"/>
    <w:rsid w:val="00807ABB"/>
    <w:rsid w:val="00810CF9"/>
    <w:rsid w:val="00810F4C"/>
    <w:rsid w:val="00815B57"/>
    <w:rsid w:val="008162C1"/>
    <w:rsid w:val="0081635F"/>
    <w:rsid w:val="00817BAC"/>
    <w:rsid w:val="008206FD"/>
    <w:rsid w:val="0082111E"/>
    <w:rsid w:val="0082566B"/>
    <w:rsid w:val="00827AA9"/>
    <w:rsid w:val="008313FC"/>
    <w:rsid w:val="00832AA4"/>
    <w:rsid w:val="00832D50"/>
    <w:rsid w:val="00834EB5"/>
    <w:rsid w:val="00835147"/>
    <w:rsid w:val="00837F41"/>
    <w:rsid w:val="00840616"/>
    <w:rsid w:val="00843517"/>
    <w:rsid w:val="00843692"/>
    <w:rsid w:val="00843B07"/>
    <w:rsid w:val="00844A07"/>
    <w:rsid w:val="00844A64"/>
    <w:rsid w:val="008452CB"/>
    <w:rsid w:val="00845A65"/>
    <w:rsid w:val="00850418"/>
    <w:rsid w:val="008526BC"/>
    <w:rsid w:val="00853133"/>
    <w:rsid w:val="0085443E"/>
    <w:rsid w:val="0085466D"/>
    <w:rsid w:val="00855FDC"/>
    <w:rsid w:val="0085673B"/>
    <w:rsid w:val="008611C1"/>
    <w:rsid w:val="008617D4"/>
    <w:rsid w:val="008640A8"/>
    <w:rsid w:val="0086456D"/>
    <w:rsid w:val="00864802"/>
    <w:rsid w:val="00864943"/>
    <w:rsid w:val="008653E1"/>
    <w:rsid w:val="00867108"/>
    <w:rsid w:val="0086719C"/>
    <w:rsid w:val="0086721E"/>
    <w:rsid w:val="00870CCC"/>
    <w:rsid w:val="00874256"/>
    <w:rsid w:val="00877335"/>
    <w:rsid w:val="00877E84"/>
    <w:rsid w:val="008802C7"/>
    <w:rsid w:val="008808C5"/>
    <w:rsid w:val="00881FA3"/>
    <w:rsid w:val="0088271F"/>
    <w:rsid w:val="008831FD"/>
    <w:rsid w:val="00883774"/>
    <w:rsid w:val="0088418B"/>
    <w:rsid w:val="00884B50"/>
    <w:rsid w:val="00885A3B"/>
    <w:rsid w:val="00886340"/>
    <w:rsid w:val="00886A8E"/>
    <w:rsid w:val="008871B1"/>
    <w:rsid w:val="0089020A"/>
    <w:rsid w:val="00890FD5"/>
    <w:rsid w:val="00891727"/>
    <w:rsid w:val="00897F5C"/>
    <w:rsid w:val="008A4477"/>
    <w:rsid w:val="008B1168"/>
    <w:rsid w:val="008B2C13"/>
    <w:rsid w:val="008B3946"/>
    <w:rsid w:val="008B4141"/>
    <w:rsid w:val="008B4F5E"/>
    <w:rsid w:val="008B523D"/>
    <w:rsid w:val="008C2D6C"/>
    <w:rsid w:val="008C44CE"/>
    <w:rsid w:val="008D2D5C"/>
    <w:rsid w:val="008D2ECF"/>
    <w:rsid w:val="008D4611"/>
    <w:rsid w:val="008D4B3C"/>
    <w:rsid w:val="008D64EF"/>
    <w:rsid w:val="008D7C51"/>
    <w:rsid w:val="008E0331"/>
    <w:rsid w:val="008E43F0"/>
    <w:rsid w:val="008E5207"/>
    <w:rsid w:val="008E6EE5"/>
    <w:rsid w:val="008F0869"/>
    <w:rsid w:val="008F7BC9"/>
    <w:rsid w:val="00900B44"/>
    <w:rsid w:val="00901B07"/>
    <w:rsid w:val="00901CBA"/>
    <w:rsid w:val="00901EEF"/>
    <w:rsid w:val="0090232B"/>
    <w:rsid w:val="00902756"/>
    <w:rsid w:val="00906614"/>
    <w:rsid w:val="009103CC"/>
    <w:rsid w:val="0091339A"/>
    <w:rsid w:val="00917708"/>
    <w:rsid w:val="00922F12"/>
    <w:rsid w:val="00925230"/>
    <w:rsid w:val="009326E7"/>
    <w:rsid w:val="00932E4B"/>
    <w:rsid w:val="00934E07"/>
    <w:rsid w:val="009371E0"/>
    <w:rsid w:val="00937B08"/>
    <w:rsid w:val="00942666"/>
    <w:rsid w:val="00943001"/>
    <w:rsid w:val="00943784"/>
    <w:rsid w:val="009448F7"/>
    <w:rsid w:val="00945A6B"/>
    <w:rsid w:val="009473B3"/>
    <w:rsid w:val="00952260"/>
    <w:rsid w:val="00954E66"/>
    <w:rsid w:val="00955BBF"/>
    <w:rsid w:val="009572A5"/>
    <w:rsid w:val="009572DF"/>
    <w:rsid w:val="00965A71"/>
    <w:rsid w:val="00972413"/>
    <w:rsid w:val="00972F3C"/>
    <w:rsid w:val="0097320B"/>
    <w:rsid w:val="00974AC2"/>
    <w:rsid w:val="00975514"/>
    <w:rsid w:val="00976EAD"/>
    <w:rsid w:val="00983F9A"/>
    <w:rsid w:val="00987858"/>
    <w:rsid w:val="009942D2"/>
    <w:rsid w:val="00994435"/>
    <w:rsid w:val="0099563B"/>
    <w:rsid w:val="009965EC"/>
    <w:rsid w:val="009969E2"/>
    <w:rsid w:val="00997031"/>
    <w:rsid w:val="0099764D"/>
    <w:rsid w:val="00997B26"/>
    <w:rsid w:val="009A2ABE"/>
    <w:rsid w:val="009A5EBC"/>
    <w:rsid w:val="009A7909"/>
    <w:rsid w:val="009B0987"/>
    <w:rsid w:val="009B1239"/>
    <w:rsid w:val="009B1625"/>
    <w:rsid w:val="009B46F9"/>
    <w:rsid w:val="009B56C8"/>
    <w:rsid w:val="009C0114"/>
    <w:rsid w:val="009C07EE"/>
    <w:rsid w:val="009C18E2"/>
    <w:rsid w:val="009C24C9"/>
    <w:rsid w:val="009C5805"/>
    <w:rsid w:val="009C6520"/>
    <w:rsid w:val="009C74AB"/>
    <w:rsid w:val="009D0814"/>
    <w:rsid w:val="009D081C"/>
    <w:rsid w:val="009D1B6D"/>
    <w:rsid w:val="009D1C45"/>
    <w:rsid w:val="009D4D94"/>
    <w:rsid w:val="009D7896"/>
    <w:rsid w:val="009D7A00"/>
    <w:rsid w:val="009E06BC"/>
    <w:rsid w:val="009E15CE"/>
    <w:rsid w:val="009E3AF5"/>
    <w:rsid w:val="009E3DA9"/>
    <w:rsid w:val="009E50BF"/>
    <w:rsid w:val="009E56EC"/>
    <w:rsid w:val="009E6052"/>
    <w:rsid w:val="009E6703"/>
    <w:rsid w:val="009E78D8"/>
    <w:rsid w:val="009E7A7F"/>
    <w:rsid w:val="009F092A"/>
    <w:rsid w:val="009F5220"/>
    <w:rsid w:val="009F5AA4"/>
    <w:rsid w:val="009F64F8"/>
    <w:rsid w:val="009F693A"/>
    <w:rsid w:val="009F697B"/>
    <w:rsid w:val="009F6AAD"/>
    <w:rsid w:val="009F6E32"/>
    <w:rsid w:val="009F7448"/>
    <w:rsid w:val="00A006CA"/>
    <w:rsid w:val="00A0073A"/>
    <w:rsid w:val="00A038A0"/>
    <w:rsid w:val="00A05D30"/>
    <w:rsid w:val="00A0757E"/>
    <w:rsid w:val="00A108BA"/>
    <w:rsid w:val="00A12096"/>
    <w:rsid w:val="00A1291B"/>
    <w:rsid w:val="00A13723"/>
    <w:rsid w:val="00A1488C"/>
    <w:rsid w:val="00A14DDE"/>
    <w:rsid w:val="00A15E9E"/>
    <w:rsid w:val="00A17562"/>
    <w:rsid w:val="00A17973"/>
    <w:rsid w:val="00A2086E"/>
    <w:rsid w:val="00A20B7F"/>
    <w:rsid w:val="00A2188F"/>
    <w:rsid w:val="00A21B8D"/>
    <w:rsid w:val="00A2319F"/>
    <w:rsid w:val="00A2485C"/>
    <w:rsid w:val="00A31D7A"/>
    <w:rsid w:val="00A32473"/>
    <w:rsid w:val="00A37325"/>
    <w:rsid w:val="00A41809"/>
    <w:rsid w:val="00A42C94"/>
    <w:rsid w:val="00A4314E"/>
    <w:rsid w:val="00A43EBF"/>
    <w:rsid w:val="00A46A25"/>
    <w:rsid w:val="00A50596"/>
    <w:rsid w:val="00A509CE"/>
    <w:rsid w:val="00A5263A"/>
    <w:rsid w:val="00A52F1E"/>
    <w:rsid w:val="00A60020"/>
    <w:rsid w:val="00A60597"/>
    <w:rsid w:val="00A62552"/>
    <w:rsid w:val="00A62738"/>
    <w:rsid w:val="00A6349B"/>
    <w:rsid w:val="00A6666E"/>
    <w:rsid w:val="00A71F6C"/>
    <w:rsid w:val="00A72AA6"/>
    <w:rsid w:val="00A733A0"/>
    <w:rsid w:val="00A738BD"/>
    <w:rsid w:val="00A761F1"/>
    <w:rsid w:val="00A76DF6"/>
    <w:rsid w:val="00A80653"/>
    <w:rsid w:val="00A81D2D"/>
    <w:rsid w:val="00A82D3D"/>
    <w:rsid w:val="00A85D50"/>
    <w:rsid w:val="00A85E99"/>
    <w:rsid w:val="00A90369"/>
    <w:rsid w:val="00A90480"/>
    <w:rsid w:val="00A91102"/>
    <w:rsid w:val="00A93831"/>
    <w:rsid w:val="00A94715"/>
    <w:rsid w:val="00A95233"/>
    <w:rsid w:val="00A95781"/>
    <w:rsid w:val="00A9588C"/>
    <w:rsid w:val="00A95BB2"/>
    <w:rsid w:val="00A977F9"/>
    <w:rsid w:val="00AA005C"/>
    <w:rsid w:val="00AA170D"/>
    <w:rsid w:val="00AA20EA"/>
    <w:rsid w:val="00AA30D6"/>
    <w:rsid w:val="00AA42DC"/>
    <w:rsid w:val="00AA62C0"/>
    <w:rsid w:val="00AB02FB"/>
    <w:rsid w:val="00AB12AD"/>
    <w:rsid w:val="00AB151D"/>
    <w:rsid w:val="00AB1822"/>
    <w:rsid w:val="00AB34DA"/>
    <w:rsid w:val="00AB36EA"/>
    <w:rsid w:val="00AB4716"/>
    <w:rsid w:val="00AB554D"/>
    <w:rsid w:val="00AB69AE"/>
    <w:rsid w:val="00AB7689"/>
    <w:rsid w:val="00AC0AEC"/>
    <w:rsid w:val="00AC0E3C"/>
    <w:rsid w:val="00AC3153"/>
    <w:rsid w:val="00AC391E"/>
    <w:rsid w:val="00AC3AAA"/>
    <w:rsid w:val="00AC3ECD"/>
    <w:rsid w:val="00AC4FB2"/>
    <w:rsid w:val="00AC63B1"/>
    <w:rsid w:val="00AC6B7F"/>
    <w:rsid w:val="00AD2401"/>
    <w:rsid w:val="00AD6C6F"/>
    <w:rsid w:val="00AE0C9B"/>
    <w:rsid w:val="00AE3501"/>
    <w:rsid w:val="00AE5B77"/>
    <w:rsid w:val="00AE6037"/>
    <w:rsid w:val="00AF233E"/>
    <w:rsid w:val="00AF24E7"/>
    <w:rsid w:val="00AF5E78"/>
    <w:rsid w:val="00AF741E"/>
    <w:rsid w:val="00B02A6B"/>
    <w:rsid w:val="00B069D0"/>
    <w:rsid w:val="00B11F4D"/>
    <w:rsid w:val="00B12844"/>
    <w:rsid w:val="00B13DAE"/>
    <w:rsid w:val="00B13E56"/>
    <w:rsid w:val="00B16541"/>
    <w:rsid w:val="00B17CAB"/>
    <w:rsid w:val="00B23080"/>
    <w:rsid w:val="00B2344D"/>
    <w:rsid w:val="00B23F50"/>
    <w:rsid w:val="00B242BD"/>
    <w:rsid w:val="00B26A0B"/>
    <w:rsid w:val="00B26D87"/>
    <w:rsid w:val="00B314A1"/>
    <w:rsid w:val="00B33188"/>
    <w:rsid w:val="00B344D7"/>
    <w:rsid w:val="00B37C9D"/>
    <w:rsid w:val="00B41A10"/>
    <w:rsid w:val="00B4213C"/>
    <w:rsid w:val="00B423E0"/>
    <w:rsid w:val="00B42C7F"/>
    <w:rsid w:val="00B447CA"/>
    <w:rsid w:val="00B45D30"/>
    <w:rsid w:val="00B46C1C"/>
    <w:rsid w:val="00B51F36"/>
    <w:rsid w:val="00B51F57"/>
    <w:rsid w:val="00B532BF"/>
    <w:rsid w:val="00B5581D"/>
    <w:rsid w:val="00B56AC2"/>
    <w:rsid w:val="00B603B3"/>
    <w:rsid w:val="00B60B68"/>
    <w:rsid w:val="00B63E5C"/>
    <w:rsid w:val="00B647CA"/>
    <w:rsid w:val="00B64E59"/>
    <w:rsid w:val="00B6727D"/>
    <w:rsid w:val="00B70389"/>
    <w:rsid w:val="00B71669"/>
    <w:rsid w:val="00B71BEE"/>
    <w:rsid w:val="00B723D9"/>
    <w:rsid w:val="00B73C02"/>
    <w:rsid w:val="00B7593B"/>
    <w:rsid w:val="00B75FDF"/>
    <w:rsid w:val="00B80213"/>
    <w:rsid w:val="00B83124"/>
    <w:rsid w:val="00B8318E"/>
    <w:rsid w:val="00B84CC2"/>
    <w:rsid w:val="00B851EB"/>
    <w:rsid w:val="00B90588"/>
    <w:rsid w:val="00B90884"/>
    <w:rsid w:val="00B90ECD"/>
    <w:rsid w:val="00B910E0"/>
    <w:rsid w:val="00B918CD"/>
    <w:rsid w:val="00B928FE"/>
    <w:rsid w:val="00B92A5B"/>
    <w:rsid w:val="00B92E39"/>
    <w:rsid w:val="00B93BEF"/>
    <w:rsid w:val="00B953B5"/>
    <w:rsid w:val="00B96309"/>
    <w:rsid w:val="00B971AD"/>
    <w:rsid w:val="00BA00B3"/>
    <w:rsid w:val="00BB14EB"/>
    <w:rsid w:val="00BB1D42"/>
    <w:rsid w:val="00BB2DC0"/>
    <w:rsid w:val="00BB4D48"/>
    <w:rsid w:val="00BC09B9"/>
    <w:rsid w:val="00BC29FD"/>
    <w:rsid w:val="00BC4BFD"/>
    <w:rsid w:val="00BC7185"/>
    <w:rsid w:val="00BD1A63"/>
    <w:rsid w:val="00BD2061"/>
    <w:rsid w:val="00BD2F7D"/>
    <w:rsid w:val="00BD3A35"/>
    <w:rsid w:val="00BD6374"/>
    <w:rsid w:val="00BE05A6"/>
    <w:rsid w:val="00BE288A"/>
    <w:rsid w:val="00BE43D2"/>
    <w:rsid w:val="00BE5230"/>
    <w:rsid w:val="00BE607F"/>
    <w:rsid w:val="00BF03A0"/>
    <w:rsid w:val="00BF0944"/>
    <w:rsid w:val="00BF1160"/>
    <w:rsid w:val="00BF1458"/>
    <w:rsid w:val="00BF1707"/>
    <w:rsid w:val="00BF49C5"/>
    <w:rsid w:val="00BF5AD2"/>
    <w:rsid w:val="00BF7E81"/>
    <w:rsid w:val="00C01759"/>
    <w:rsid w:val="00C02293"/>
    <w:rsid w:val="00C03987"/>
    <w:rsid w:val="00C108BB"/>
    <w:rsid w:val="00C12979"/>
    <w:rsid w:val="00C13C9C"/>
    <w:rsid w:val="00C14BEF"/>
    <w:rsid w:val="00C1522C"/>
    <w:rsid w:val="00C17015"/>
    <w:rsid w:val="00C175EA"/>
    <w:rsid w:val="00C17829"/>
    <w:rsid w:val="00C17D7B"/>
    <w:rsid w:val="00C24142"/>
    <w:rsid w:val="00C30D8E"/>
    <w:rsid w:val="00C31EFF"/>
    <w:rsid w:val="00C35EA7"/>
    <w:rsid w:val="00C37D3D"/>
    <w:rsid w:val="00C404AA"/>
    <w:rsid w:val="00C41ADC"/>
    <w:rsid w:val="00C43B65"/>
    <w:rsid w:val="00C453B8"/>
    <w:rsid w:val="00C47362"/>
    <w:rsid w:val="00C51031"/>
    <w:rsid w:val="00C52DF4"/>
    <w:rsid w:val="00C57F07"/>
    <w:rsid w:val="00C57F25"/>
    <w:rsid w:val="00C62595"/>
    <w:rsid w:val="00C62647"/>
    <w:rsid w:val="00C63031"/>
    <w:rsid w:val="00C6326B"/>
    <w:rsid w:val="00C6467C"/>
    <w:rsid w:val="00C64FA9"/>
    <w:rsid w:val="00C65FCA"/>
    <w:rsid w:val="00C661E6"/>
    <w:rsid w:val="00C669B6"/>
    <w:rsid w:val="00C75E40"/>
    <w:rsid w:val="00C76F84"/>
    <w:rsid w:val="00C852C8"/>
    <w:rsid w:val="00C8761B"/>
    <w:rsid w:val="00C87F79"/>
    <w:rsid w:val="00C9232E"/>
    <w:rsid w:val="00C92495"/>
    <w:rsid w:val="00C9297B"/>
    <w:rsid w:val="00C93796"/>
    <w:rsid w:val="00C94DBE"/>
    <w:rsid w:val="00C97AB8"/>
    <w:rsid w:val="00CA04D9"/>
    <w:rsid w:val="00CA1660"/>
    <w:rsid w:val="00CA395C"/>
    <w:rsid w:val="00CA3FF8"/>
    <w:rsid w:val="00CA49EA"/>
    <w:rsid w:val="00CA6DD9"/>
    <w:rsid w:val="00CA7B45"/>
    <w:rsid w:val="00CB1E3D"/>
    <w:rsid w:val="00CB2205"/>
    <w:rsid w:val="00CB5EAA"/>
    <w:rsid w:val="00CB66AC"/>
    <w:rsid w:val="00CB6F36"/>
    <w:rsid w:val="00CC2D37"/>
    <w:rsid w:val="00CC444B"/>
    <w:rsid w:val="00CC480A"/>
    <w:rsid w:val="00CC4A0D"/>
    <w:rsid w:val="00CC6953"/>
    <w:rsid w:val="00CD1815"/>
    <w:rsid w:val="00CD1C01"/>
    <w:rsid w:val="00CD4770"/>
    <w:rsid w:val="00CE1213"/>
    <w:rsid w:val="00CE1B10"/>
    <w:rsid w:val="00CE20CD"/>
    <w:rsid w:val="00CE67F6"/>
    <w:rsid w:val="00CF0DFF"/>
    <w:rsid w:val="00CF1060"/>
    <w:rsid w:val="00CF33D3"/>
    <w:rsid w:val="00CF6AD0"/>
    <w:rsid w:val="00CF7A5C"/>
    <w:rsid w:val="00D03CBA"/>
    <w:rsid w:val="00D05614"/>
    <w:rsid w:val="00D0576C"/>
    <w:rsid w:val="00D0622A"/>
    <w:rsid w:val="00D06AE1"/>
    <w:rsid w:val="00D07B92"/>
    <w:rsid w:val="00D12515"/>
    <w:rsid w:val="00D12FB9"/>
    <w:rsid w:val="00D13489"/>
    <w:rsid w:val="00D14D65"/>
    <w:rsid w:val="00D17647"/>
    <w:rsid w:val="00D20E7F"/>
    <w:rsid w:val="00D20EDB"/>
    <w:rsid w:val="00D214FC"/>
    <w:rsid w:val="00D22FA4"/>
    <w:rsid w:val="00D22FC0"/>
    <w:rsid w:val="00D24268"/>
    <w:rsid w:val="00D24443"/>
    <w:rsid w:val="00D3189D"/>
    <w:rsid w:val="00D323D4"/>
    <w:rsid w:val="00D33CC1"/>
    <w:rsid w:val="00D34978"/>
    <w:rsid w:val="00D35E72"/>
    <w:rsid w:val="00D35FD6"/>
    <w:rsid w:val="00D3633D"/>
    <w:rsid w:val="00D36B2F"/>
    <w:rsid w:val="00D36F37"/>
    <w:rsid w:val="00D373C1"/>
    <w:rsid w:val="00D40B13"/>
    <w:rsid w:val="00D412C5"/>
    <w:rsid w:val="00D41C02"/>
    <w:rsid w:val="00D42391"/>
    <w:rsid w:val="00D44D27"/>
    <w:rsid w:val="00D467D8"/>
    <w:rsid w:val="00D50DF6"/>
    <w:rsid w:val="00D511B4"/>
    <w:rsid w:val="00D51AEB"/>
    <w:rsid w:val="00D520E0"/>
    <w:rsid w:val="00D52796"/>
    <w:rsid w:val="00D52D8F"/>
    <w:rsid w:val="00D53D3C"/>
    <w:rsid w:val="00D56D40"/>
    <w:rsid w:val="00D610DE"/>
    <w:rsid w:val="00D6270A"/>
    <w:rsid w:val="00D64F9C"/>
    <w:rsid w:val="00D67E2A"/>
    <w:rsid w:val="00D70917"/>
    <w:rsid w:val="00D72F08"/>
    <w:rsid w:val="00D73695"/>
    <w:rsid w:val="00D74A88"/>
    <w:rsid w:val="00D759CD"/>
    <w:rsid w:val="00D76029"/>
    <w:rsid w:val="00D7682B"/>
    <w:rsid w:val="00D81C88"/>
    <w:rsid w:val="00D848E4"/>
    <w:rsid w:val="00D9139A"/>
    <w:rsid w:val="00D9156B"/>
    <w:rsid w:val="00D924E8"/>
    <w:rsid w:val="00D949A9"/>
    <w:rsid w:val="00DA010E"/>
    <w:rsid w:val="00DA365A"/>
    <w:rsid w:val="00DA3E6C"/>
    <w:rsid w:val="00DA4E8B"/>
    <w:rsid w:val="00DA582E"/>
    <w:rsid w:val="00DA6AAD"/>
    <w:rsid w:val="00DA7676"/>
    <w:rsid w:val="00DB2CC5"/>
    <w:rsid w:val="00DB7A67"/>
    <w:rsid w:val="00DB7FDE"/>
    <w:rsid w:val="00DC02AA"/>
    <w:rsid w:val="00DC26FA"/>
    <w:rsid w:val="00DC3AC9"/>
    <w:rsid w:val="00DC4F97"/>
    <w:rsid w:val="00DD18AC"/>
    <w:rsid w:val="00DD42D6"/>
    <w:rsid w:val="00DD4D0C"/>
    <w:rsid w:val="00DE01C3"/>
    <w:rsid w:val="00DE0FCB"/>
    <w:rsid w:val="00DE3A08"/>
    <w:rsid w:val="00DE5814"/>
    <w:rsid w:val="00DE6353"/>
    <w:rsid w:val="00DE73C9"/>
    <w:rsid w:val="00DE772D"/>
    <w:rsid w:val="00DF33D0"/>
    <w:rsid w:val="00DF3C58"/>
    <w:rsid w:val="00E00635"/>
    <w:rsid w:val="00E0343E"/>
    <w:rsid w:val="00E10AF8"/>
    <w:rsid w:val="00E11473"/>
    <w:rsid w:val="00E127F6"/>
    <w:rsid w:val="00E13A6B"/>
    <w:rsid w:val="00E16335"/>
    <w:rsid w:val="00E16525"/>
    <w:rsid w:val="00E17E26"/>
    <w:rsid w:val="00E204B1"/>
    <w:rsid w:val="00E20FE9"/>
    <w:rsid w:val="00E214BA"/>
    <w:rsid w:val="00E2216C"/>
    <w:rsid w:val="00E2292A"/>
    <w:rsid w:val="00E23A86"/>
    <w:rsid w:val="00E240FB"/>
    <w:rsid w:val="00E24D83"/>
    <w:rsid w:val="00E335C6"/>
    <w:rsid w:val="00E4185C"/>
    <w:rsid w:val="00E42D9E"/>
    <w:rsid w:val="00E42DAB"/>
    <w:rsid w:val="00E449C3"/>
    <w:rsid w:val="00E473CB"/>
    <w:rsid w:val="00E50FF7"/>
    <w:rsid w:val="00E51BE3"/>
    <w:rsid w:val="00E540AF"/>
    <w:rsid w:val="00E541AE"/>
    <w:rsid w:val="00E54E74"/>
    <w:rsid w:val="00E57480"/>
    <w:rsid w:val="00E57E52"/>
    <w:rsid w:val="00E613FB"/>
    <w:rsid w:val="00E6338A"/>
    <w:rsid w:val="00E64735"/>
    <w:rsid w:val="00E66FF1"/>
    <w:rsid w:val="00E7438F"/>
    <w:rsid w:val="00E75231"/>
    <w:rsid w:val="00E76360"/>
    <w:rsid w:val="00E7694D"/>
    <w:rsid w:val="00E8350B"/>
    <w:rsid w:val="00E83C30"/>
    <w:rsid w:val="00E855F0"/>
    <w:rsid w:val="00E85FB2"/>
    <w:rsid w:val="00E92C83"/>
    <w:rsid w:val="00E953BA"/>
    <w:rsid w:val="00EA1EB5"/>
    <w:rsid w:val="00EA7C98"/>
    <w:rsid w:val="00EB0C4C"/>
    <w:rsid w:val="00EB2BD3"/>
    <w:rsid w:val="00EB2E72"/>
    <w:rsid w:val="00EB735F"/>
    <w:rsid w:val="00EB74C7"/>
    <w:rsid w:val="00EB767F"/>
    <w:rsid w:val="00EC16D5"/>
    <w:rsid w:val="00EC1CBF"/>
    <w:rsid w:val="00EC3439"/>
    <w:rsid w:val="00EC7FA0"/>
    <w:rsid w:val="00ED08E2"/>
    <w:rsid w:val="00ED0FFC"/>
    <w:rsid w:val="00ED1686"/>
    <w:rsid w:val="00ED2067"/>
    <w:rsid w:val="00ED31DA"/>
    <w:rsid w:val="00ED4F21"/>
    <w:rsid w:val="00ED59B6"/>
    <w:rsid w:val="00EE0FE5"/>
    <w:rsid w:val="00EE1AEA"/>
    <w:rsid w:val="00EE4AD3"/>
    <w:rsid w:val="00EE54E2"/>
    <w:rsid w:val="00EE6BC1"/>
    <w:rsid w:val="00EE7278"/>
    <w:rsid w:val="00EE7EF8"/>
    <w:rsid w:val="00EF3303"/>
    <w:rsid w:val="00EF3FBD"/>
    <w:rsid w:val="00EF50A4"/>
    <w:rsid w:val="00F00970"/>
    <w:rsid w:val="00F01515"/>
    <w:rsid w:val="00F01958"/>
    <w:rsid w:val="00F019B9"/>
    <w:rsid w:val="00F01B73"/>
    <w:rsid w:val="00F02564"/>
    <w:rsid w:val="00F05584"/>
    <w:rsid w:val="00F0798C"/>
    <w:rsid w:val="00F07B92"/>
    <w:rsid w:val="00F07BAD"/>
    <w:rsid w:val="00F07F64"/>
    <w:rsid w:val="00F10998"/>
    <w:rsid w:val="00F10A2F"/>
    <w:rsid w:val="00F1251E"/>
    <w:rsid w:val="00F128F2"/>
    <w:rsid w:val="00F132A4"/>
    <w:rsid w:val="00F1564D"/>
    <w:rsid w:val="00F161DE"/>
    <w:rsid w:val="00F16B06"/>
    <w:rsid w:val="00F24921"/>
    <w:rsid w:val="00F256C8"/>
    <w:rsid w:val="00F26FE8"/>
    <w:rsid w:val="00F271C6"/>
    <w:rsid w:val="00F31008"/>
    <w:rsid w:val="00F31440"/>
    <w:rsid w:val="00F325A5"/>
    <w:rsid w:val="00F332BB"/>
    <w:rsid w:val="00F33BCC"/>
    <w:rsid w:val="00F3557F"/>
    <w:rsid w:val="00F36284"/>
    <w:rsid w:val="00F366EE"/>
    <w:rsid w:val="00F37FB3"/>
    <w:rsid w:val="00F4007F"/>
    <w:rsid w:val="00F4064D"/>
    <w:rsid w:val="00F4090B"/>
    <w:rsid w:val="00F41360"/>
    <w:rsid w:val="00F41B19"/>
    <w:rsid w:val="00F42D2A"/>
    <w:rsid w:val="00F44174"/>
    <w:rsid w:val="00F46A06"/>
    <w:rsid w:val="00F50DF7"/>
    <w:rsid w:val="00F51E49"/>
    <w:rsid w:val="00F52882"/>
    <w:rsid w:val="00F540B5"/>
    <w:rsid w:val="00F54702"/>
    <w:rsid w:val="00F568DC"/>
    <w:rsid w:val="00F63307"/>
    <w:rsid w:val="00F63886"/>
    <w:rsid w:val="00F64429"/>
    <w:rsid w:val="00F64FB8"/>
    <w:rsid w:val="00F65BA5"/>
    <w:rsid w:val="00F721EC"/>
    <w:rsid w:val="00F73680"/>
    <w:rsid w:val="00F738D2"/>
    <w:rsid w:val="00F74644"/>
    <w:rsid w:val="00F74D3D"/>
    <w:rsid w:val="00F75630"/>
    <w:rsid w:val="00F804D9"/>
    <w:rsid w:val="00F84D2E"/>
    <w:rsid w:val="00F879F6"/>
    <w:rsid w:val="00F9746E"/>
    <w:rsid w:val="00FA10C2"/>
    <w:rsid w:val="00FA1317"/>
    <w:rsid w:val="00FA2B45"/>
    <w:rsid w:val="00FA2DAD"/>
    <w:rsid w:val="00FA3097"/>
    <w:rsid w:val="00FA3590"/>
    <w:rsid w:val="00FA35C6"/>
    <w:rsid w:val="00FA55F4"/>
    <w:rsid w:val="00FA5B19"/>
    <w:rsid w:val="00FA73C6"/>
    <w:rsid w:val="00FB2E1F"/>
    <w:rsid w:val="00FB4AAF"/>
    <w:rsid w:val="00FB52C7"/>
    <w:rsid w:val="00FB7109"/>
    <w:rsid w:val="00FB788E"/>
    <w:rsid w:val="00FC0829"/>
    <w:rsid w:val="00FC1DB3"/>
    <w:rsid w:val="00FC2463"/>
    <w:rsid w:val="00FC2BFA"/>
    <w:rsid w:val="00FC38AE"/>
    <w:rsid w:val="00FC4CBD"/>
    <w:rsid w:val="00FC6071"/>
    <w:rsid w:val="00FC6FA6"/>
    <w:rsid w:val="00FD185F"/>
    <w:rsid w:val="00FD22AE"/>
    <w:rsid w:val="00FD2740"/>
    <w:rsid w:val="00FD466F"/>
    <w:rsid w:val="00FD495F"/>
    <w:rsid w:val="00FD4B0C"/>
    <w:rsid w:val="00FD6F02"/>
    <w:rsid w:val="00FE0515"/>
    <w:rsid w:val="00FE52FA"/>
    <w:rsid w:val="00FE5930"/>
    <w:rsid w:val="00FE6730"/>
    <w:rsid w:val="00FE7A32"/>
    <w:rsid w:val="00FF000C"/>
    <w:rsid w:val="00FF4455"/>
    <w:rsid w:val="00FF48BA"/>
    <w:rsid w:val="00FF6855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97F2"/>
  <w15:chartTrackingRefBased/>
  <w15:docId w15:val="{DF7099E1-113D-4207-962C-3785E52F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B2AEF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6A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5B2AEF"/>
    <w:pPr>
      <w:tabs>
        <w:tab w:val="center" w:pos="4819"/>
        <w:tab w:val="right" w:pos="9638"/>
      </w:tabs>
    </w:pPr>
    <w:rPr>
      <w:rFonts w:eastAsia="Times New Roman"/>
      <w:sz w:val="20"/>
      <w:lang w:val="x-none"/>
    </w:rPr>
  </w:style>
  <w:style w:type="character" w:customStyle="1" w:styleId="PoratDiagrama">
    <w:name w:val="Poraštė Diagrama"/>
    <w:link w:val="Porat"/>
    <w:uiPriority w:val="99"/>
    <w:rsid w:val="005B2AEF"/>
    <w:rPr>
      <w:rFonts w:eastAsia="Times New Roman" w:cs="Times New Roman"/>
      <w:szCs w:val="24"/>
      <w:lang w:eastAsia="lt-LT"/>
    </w:rPr>
  </w:style>
  <w:style w:type="character" w:styleId="Puslapionumeris">
    <w:name w:val="page number"/>
    <w:basedOn w:val="Numatytasispastraiposriftas"/>
    <w:rsid w:val="005B2AEF"/>
  </w:style>
  <w:style w:type="paragraph" w:styleId="Antrats">
    <w:name w:val="header"/>
    <w:basedOn w:val="prastasis"/>
    <w:link w:val="AntratsDiagrama"/>
    <w:rsid w:val="005B2AEF"/>
    <w:pPr>
      <w:tabs>
        <w:tab w:val="center" w:pos="4819"/>
        <w:tab w:val="right" w:pos="9638"/>
      </w:tabs>
    </w:pPr>
    <w:rPr>
      <w:rFonts w:eastAsia="Times New Roman"/>
      <w:sz w:val="20"/>
      <w:lang w:val="x-none"/>
    </w:rPr>
  </w:style>
  <w:style w:type="character" w:customStyle="1" w:styleId="AntratsDiagrama">
    <w:name w:val="Antraštės Diagrama"/>
    <w:link w:val="Antrats"/>
    <w:rsid w:val="005B2AEF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5B2AEF"/>
    <w:rPr>
      <w:rFonts w:eastAsia="Times New Roman"/>
      <w:sz w:val="24"/>
      <w:szCs w:val="24"/>
      <w:lang w:val="lt-LT" w:eastAsia="lt-LT"/>
    </w:rPr>
  </w:style>
  <w:style w:type="paragraph" w:customStyle="1" w:styleId="tajtip">
    <w:name w:val="tajtip"/>
    <w:basedOn w:val="prastasis"/>
    <w:rsid w:val="00D56D40"/>
    <w:pPr>
      <w:spacing w:before="100" w:beforeAutospacing="1" w:after="100" w:afterAutospacing="1"/>
    </w:pPr>
    <w:rPr>
      <w:rFonts w:eastAsia="Times New Roman"/>
    </w:rPr>
  </w:style>
  <w:style w:type="paragraph" w:customStyle="1" w:styleId="basicparagraph">
    <w:name w:val="basicparagraph"/>
    <w:basedOn w:val="prastasis"/>
    <w:rsid w:val="00D56D40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F6E32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658C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658C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unhideWhenUsed/>
    <w:rsid w:val="00FB52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52C7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B52C7"/>
    <w:rPr>
      <w:rFonts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52C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B52C7"/>
    <w:rPr>
      <w:rFonts w:cs="Times New Roman"/>
      <w:b/>
      <w:bCs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76029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D76029"/>
    <w:rPr>
      <w:rFonts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semiHidden/>
    <w:unhideWhenUsed/>
    <w:rsid w:val="00D76029"/>
    <w:rPr>
      <w:vertAlign w:val="superscript"/>
    </w:rPr>
  </w:style>
  <w:style w:type="character" w:customStyle="1" w:styleId="Antrat1Diagrama">
    <w:name w:val="Antraštė 1 Diagrama"/>
    <w:link w:val="Antrat1"/>
    <w:uiPriority w:val="9"/>
    <w:rsid w:val="00266A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pacia">
    <w:name w:val="apacia"/>
    <w:basedOn w:val="prastasis"/>
    <w:rsid w:val="00286E65"/>
    <w:pPr>
      <w:framePr w:w="10251" w:h="1159" w:hSpace="181" w:wrap="auto" w:vAnchor="page" w:hAnchor="page" w:x="1152" w:y="15409" w:anchorLock="1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Numatytasispastraiposriftas"/>
    <w:rsid w:val="00536E24"/>
  </w:style>
  <w:style w:type="table" w:styleId="1paprastojilentel">
    <w:name w:val="Plain Table 1"/>
    <w:basedOn w:val="prastojilentel"/>
    <w:uiPriority w:val="41"/>
    <w:rsid w:val="00536E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tinkleliolentelviesi3parykinimas">
    <w:name w:val="Grid Table 1 Light Accent 3"/>
    <w:basedOn w:val="prastojilentel"/>
    <w:uiPriority w:val="46"/>
    <w:rsid w:val="00536E2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5parykinimas">
    <w:name w:val="Grid Table 1 Light Accent 5"/>
    <w:basedOn w:val="prastojilentel"/>
    <w:uiPriority w:val="46"/>
    <w:rsid w:val="00536E2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astasiniatinklio">
    <w:name w:val="Normal (Web)"/>
    <w:basedOn w:val="prastasis"/>
    <w:uiPriority w:val="99"/>
    <w:unhideWhenUsed/>
    <w:rsid w:val="00413A2C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Sraopastraipa">
    <w:name w:val="List Paragraph"/>
    <w:basedOn w:val="prastasis"/>
    <w:uiPriority w:val="34"/>
    <w:qFormat/>
    <w:rsid w:val="00CA395C"/>
    <w:pPr>
      <w:ind w:left="720"/>
      <w:contextualSpacing/>
    </w:pPr>
    <w:rPr>
      <w:rFonts w:eastAsia="Times New Roman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F5E7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F5E78"/>
    <w:rPr>
      <w:rFonts w:ascii="Calibri" w:eastAsiaTheme="minorHAnsi" w:hAnsi="Calibri" w:cstheme="minorBidi"/>
      <w:sz w:val="22"/>
      <w:szCs w:val="2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7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1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Veiksm</a:t>
            </a:r>
            <a:r>
              <a:rPr lang="lt-LT" sz="14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ų</a:t>
            </a:r>
            <a:r>
              <a:rPr lang="en-US" sz="14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programo</a:t>
            </a:r>
            <a:r>
              <a:rPr lang="lt-LT" sz="14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 įgyvendinimas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-1.2048192771084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57-47E0-A3DD-392DD889AA7A}"/>
                </c:ext>
              </c:extLst>
            </c:dLbl>
            <c:dLbl>
              <c:idx val="1"/>
              <c:layout>
                <c:manualLayout>
                  <c:x val="0"/>
                  <c:y val="-2.4096385542168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57-47E0-A3DD-392DD889AA7A}"/>
                </c:ext>
              </c:extLst>
            </c:dLbl>
            <c:dLbl>
              <c:idx val="2"/>
              <c:layout>
                <c:manualLayout>
                  <c:x val="-6.0542812320367046E-17"/>
                  <c:y val="-2.4096385542168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57-47E0-A3DD-392DD889AA7A}"/>
                </c:ext>
              </c:extLst>
            </c:dLbl>
            <c:dLbl>
              <c:idx val="3"/>
              <c:layout>
                <c:manualLayout>
                  <c:x val="-1.2108562464073409E-16"/>
                  <c:y val="-2.40963855421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57-47E0-A3DD-392DD889AA7A}"/>
                </c:ext>
              </c:extLst>
            </c:dLbl>
            <c:dLbl>
              <c:idx val="4"/>
              <c:layout>
                <c:manualLayout>
                  <c:x val="4.9535600494991965E-3"/>
                  <c:y val="-3.6144578313253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57-47E0-A3DD-392DD889AA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'pagal SP'!$B$14:$B$18</c:f>
              <c:strCache>
                <c:ptCount val="5"/>
                <c:pt idx="0">
                  <c:v>Skirta paramos lėšų 2014-2020 metams,  Eur</c:v>
                </c:pt>
                <c:pt idx="1">
                  <c:v>Patvirtinta paramos suma, Eur</c:v>
                </c:pt>
                <c:pt idx="2">
                  <c:v>Vertinamų paramos paraiškų suma, Eur</c:v>
                </c:pt>
                <c:pt idx="3">
                  <c:v>Išmokėta paramos suma,  Eur</c:v>
                </c:pt>
                <c:pt idx="4">
                  <c:v>EK deklaruota viešosios paramos suma,  Eur</c:v>
                </c:pt>
              </c:strCache>
            </c:strRef>
          </c:cat>
          <c:val>
            <c:numRef>
              <c:f>'pagal SP'!$C$14:$C$18</c:f>
              <c:numCache>
                <c:formatCode>#,##0</c:formatCode>
                <c:ptCount val="5"/>
                <c:pt idx="0">
                  <c:v>68036893</c:v>
                </c:pt>
                <c:pt idx="1">
                  <c:v>30760894.719999999</c:v>
                </c:pt>
                <c:pt idx="2">
                  <c:v>3423987.4</c:v>
                </c:pt>
                <c:pt idx="3">
                  <c:v>9305732.370000001</c:v>
                </c:pt>
                <c:pt idx="4">
                  <c:v>5454209.5921568628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657-47E0-A3DD-392DD889AA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7990712"/>
        <c:axId val="377988088"/>
        <c:axId val="0"/>
      </c:bar3DChart>
      <c:catAx>
        <c:axId val="377990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377988088"/>
        <c:crosses val="autoZero"/>
        <c:auto val="1"/>
        <c:lblAlgn val="ctr"/>
        <c:lblOffset val="100"/>
        <c:noMultiLvlLbl val="0"/>
      </c:catAx>
      <c:valAx>
        <c:axId val="377988088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77990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EJRŽF paramos,</a:t>
            </a:r>
            <a:r>
              <a:rPr lang="lt-LT" sz="14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skirtos lietuvai, panaudojimas</a:t>
            </a:r>
            <a:endParaRPr lang="lt-LT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0645096176894115"/>
          <c:y val="1.80072794768057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949728131088216"/>
          <c:y val="8.8264381316976268E-2"/>
          <c:w val="0.66643766404199489"/>
          <c:h val="0.8659087926509186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3494-4541-AB80-4E7F48D473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494-4541-AB80-4E7F48D473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3494-4541-AB80-4E7F48D4734F}"/>
              </c:ext>
            </c:extLst>
          </c:dPt>
          <c:dLbls>
            <c:dLbl>
              <c:idx val="0"/>
              <c:layout>
                <c:manualLayout>
                  <c:x val="-5.2643625543602655E-2"/>
                  <c:y val="6.3915401458795554E-2"/>
                </c:manualLayout>
              </c:layout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1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30,32; </a:t>
                    </a:r>
                    <a:fld id="{6555A599-1373-46E4-BD47-8E231A501619}" type="PERCENTAGE">
                      <a:rPr lang="en-US"/>
                      <a:pPr>
                        <a:defRPr sz="1400" spc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[PROCENTAI]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t-LT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823520400531303"/>
                      <c:h val="0.1370165745856353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494-4541-AB80-4E7F48D4734F}"/>
                </c:ext>
              </c:extLst>
            </c:dLbl>
            <c:dLbl>
              <c:idx val="1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1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26,65;</a:t>
                    </a:r>
                    <a:r>
                      <a:rPr lang="en-US" baseline="0"/>
                      <a:t> </a:t>
                    </a:r>
                    <a:fld id="{FE0D7CC4-AC88-4BEE-9345-ADD2957F20F4}" type="PERCENTAGE">
                      <a:rPr lang="en-US"/>
                      <a:pPr>
                        <a:defRPr sz="1400" spc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[PROCENTAI]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t-LT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494-4541-AB80-4E7F48D4734F}"/>
                </c:ext>
              </c:extLst>
            </c:dLbl>
            <c:dLbl>
              <c:idx val="2"/>
              <c:layout>
                <c:manualLayout>
                  <c:x val="0.10429655608681779"/>
                  <c:y val="7.082640912979798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1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6,46; </a:t>
                    </a:r>
                    <a:fld id="{C7754753-76B1-48C4-B09D-F26DDD4E750B}" type="PERCENTAGE">
                      <a:rPr lang="en-US"/>
                      <a:pPr>
                        <a:defRPr sz="140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[PROCENTAI]</a:t>
                    </a:fld>
                    <a:r>
                      <a:rPr lang="en-US"/>
                      <a:t>*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t-LT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924010070954453"/>
                      <c:h val="0.12596685082872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494-4541-AB80-4E7F48D47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'pagal SP'!$B$36:$B$38</c:f>
              <c:strCache>
                <c:ptCount val="3"/>
                <c:pt idx="0">
                  <c:v>Nepaskirstyta EJRŽF paramos lėšų 2014-2020 metams suma. mln. Eur, %</c:v>
                </c:pt>
                <c:pt idx="1">
                  <c:v>Paskirstyta, bet dar nedeklaruota EK EJRŽF paramos lėšų suma, mln. Eur, %</c:v>
                </c:pt>
                <c:pt idx="2">
                  <c:v>Deklaruota EK EJRŽF paramos lėšų suma, mln. Eur, %</c:v>
                </c:pt>
              </c:strCache>
            </c:strRef>
          </c:cat>
          <c:val>
            <c:numRef>
              <c:f>'pagal SP'!$C$36:$C$38</c:f>
              <c:numCache>
                <c:formatCode>0.00</c:formatCode>
                <c:ptCount val="3"/>
                <c:pt idx="0">
                  <c:v>30.322259027999998</c:v>
                </c:pt>
                <c:pt idx="1">
                  <c:v>26.648815802000001</c:v>
                </c:pt>
                <c:pt idx="2">
                  <c:v>6.4608809699999989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494-4541-AB80-4E7F48D473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4.4579396325459326E-2"/>
          <c:y val="0.80251765490639637"/>
          <c:w val="0.94708727034120754"/>
          <c:h val="0.196988442742999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400" b="1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Veiklos plane numatyt</a:t>
            </a:r>
            <a:r>
              <a:rPr lang="lt-LT" sz="1400" b="1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ų</a:t>
            </a:r>
            <a:r>
              <a:rPr lang="en-US" sz="1400" b="1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finansini</a:t>
            </a:r>
            <a:r>
              <a:rPr lang="lt-LT" sz="1400" b="1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ų</a:t>
            </a:r>
            <a:r>
              <a:rPr lang="en-US" sz="1400" b="1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rodikli</a:t>
            </a:r>
            <a:r>
              <a:rPr lang="lt-LT" sz="1400" b="1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ų</a:t>
            </a:r>
            <a:r>
              <a:rPr lang="en-US" sz="1400" b="1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pasiekimas,</a:t>
            </a:r>
            <a:r>
              <a:rPr lang="lt-LT" sz="1400" b="1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mln. Eur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411444122844327"/>
          <c:y val="0.12038790095058342"/>
          <c:w val="0.78743938480121733"/>
          <c:h val="0.7046755234345153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'deklaruojamos lėšos'!$C$31</c:f>
              <c:strCache>
                <c:ptCount val="1"/>
                <c:pt idx="0">
                  <c:v>Veiklos plane nustatytos deklaruoti lėšos iki 2018 m. pab.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'deklaruojamos lėšos'!$B$32:$B$37</c:f>
              <c:strCache>
                <c:ptCount val="6"/>
                <c:pt idx="0">
                  <c:v>I Sąjungos prioritetas </c:v>
                </c:pt>
                <c:pt idx="1">
                  <c:v>II Sąjungos prioritetas </c:v>
                </c:pt>
                <c:pt idx="2">
                  <c:v>III Sąjungos prioritetas </c:v>
                </c:pt>
                <c:pt idx="3">
                  <c:v>IV Sąjungos prioritetas </c:v>
                </c:pt>
                <c:pt idx="4">
                  <c:v>V Sąjungos priotetas </c:v>
                </c:pt>
                <c:pt idx="5">
                  <c:v>VI Sąjungos prioritetas </c:v>
                </c:pt>
              </c:strCache>
            </c:strRef>
          </c:cat>
          <c:val>
            <c:numRef>
              <c:f>'deklaruojamos lėšos'!$C$32:$C$37</c:f>
              <c:numCache>
                <c:formatCode>General</c:formatCode>
                <c:ptCount val="6"/>
                <c:pt idx="0">
                  <c:v>2.5</c:v>
                </c:pt>
                <c:pt idx="1">
                  <c:v>4.9669999999999996</c:v>
                </c:pt>
                <c:pt idx="2">
                  <c:v>1.1499999999999999</c:v>
                </c:pt>
                <c:pt idx="3">
                  <c:v>1.5269999999999999</c:v>
                </c:pt>
                <c:pt idx="4">
                  <c:v>2.464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28-43F1-9047-AA5C6E4F574C}"/>
            </c:ext>
          </c:extLst>
        </c:ser>
        <c:ser>
          <c:idx val="1"/>
          <c:order val="1"/>
          <c:tx>
            <c:strRef>
              <c:f>'deklaruojamos lėšos'!$D$31</c:f>
              <c:strCache>
                <c:ptCount val="1"/>
                <c:pt idx="0">
                  <c:v>Deklaruotos lėšos už laikotarpį iki 2018-03-31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'deklaruojamos lėšos'!$B$32:$B$37</c:f>
              <c:strCache>
                <c:ptCount val="6"/>
                <c:pt idx="0">
                  <c:v>I Sąjungos prioritetas </c:v>
                </c:pt>
                <c:pt idx="1">
                  <c:v>II Sąjungos prioritetas </c:v>
                </c:pt>
                <c:pt idx="2">
                  <c:v>III Sąjungos prioritetas </c:v>
                </c:pt>
                <c:pt idx="3">
                  <c:v>IV Sąjungos prioritetas </c:v>
                </c:pt>
                <c:pt idx="4">
                  <c:v>V Sąjungos priotetas </c:v>
                </c:pt>
                <c:pt idx="5">
                  <c:v>VI Sąjungos prioritetas </c:v>
                </c:pt>
              </c:strCache>
            </c:strRef>
          </c:cat>
          <c:val>
            <c:numRef>
              <c:f>'deklaruojamos lėšos'!$D$32:$D$37</c:f>
              <c:numCache>
                <c:formatCode>General</c:formatCode>
                <c:ptCount val="6"/>
                <c:pt idx="0">
                  <c:v>0.51200000000000001</c:v>
                </c:pt>
                <c:pt idx="1">
                  <c:v>3.8820000000000001</c:v>
                </c:pt>
                <c:pt idx="2">
                  <c:v>2.2400000000000002</c:v>
                </c:pt>
                <c:pt idx="3">
                  <c:v>0.17100000000000001</c:v>
                </c:pt>
                <c:pt idx="4">
                  <c:v>0.88900000000000001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28-43F1-9047-AA5C6E4F574C}"/>
            </c:ext>
          </c:extLst>
        </c:ser>
        <c:ser>
          <c:idx val="2"/>
          <c:order val="2"/>
          <c:tx>
            <c:strRef>
              <c:f>'deklaruojamos lėšos'!$E$31</c:f>
              <c:strCache>
                <c:ptCount val="1"/>
                <c:pt idx="0">
                  <c:v>Planuojamos deklaruoti lėšos pagal pasirašytas sutartis iki 2018 m. pab.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'deklaruojamos lėšos'!$B$32:$B$37</c:f>
              <c:strCache>
                <c:ptCount val="6"/>
                <c:pt idx="0">
                  <c:v>I Sąjungos prioritetas </c:v>
                </c:pt>
                <c:pt idx="1">
                  <c:v>II Sąjungos prioritetas </c:v>
                </c:pt>
                <c:pt idx="2">
                  <c:v>III Sąjungos prioritetas </c:v>
                </c:pt>
                <c:pt idx="3">
                  <c:v>IV Sąjungos prioritetas </c:v>
                </c:pt>
                <c:pt idx="4">
                  <c:v>V Sąjungos priotetas </c:v>
                </c:pt>
                <c:pt idx="5">
                  <c:v>VI Sąjungos prioritetas </c:v>
                </c:pt>
              </c:strCache>
            </c:strRef>
          </c:cat>
          <c:val>
            <c:numRef>
              <c:f>'deklaruojamos lėšos'!$E$32:$E$37</c:f>
              <c:numCache>
                <c:formatCode>General</c:formatCode>
                <c:ptCount val="6"/>
                <c:pt idx="0">
                  <c:v>0.90500000000000003</c:v>
                </c:pt>
                <c:pt idx="1">
                  <c:v>6.7009999999999996</c:v>
                </c:pt>
                <c:pt idx="2">
                  <c:v>2.2400000000000002</c:v>
                </c:pt>
                <c:pt idx="3">
                  <c:v>0.42699999999999999</c:v>
                </c:pt>
                <c:pt idx="4">
                  <c:v>2.8490000000000002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28-43F1-9047-AA5C6E4F57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9205104"/>
        <c:axId val="209205496"/>
        <c:axId val="0"/>
      </c:bar3DChart>
      <c:catAx>
        <c:axId val="209205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209205496"/>
        <c:crosses val="autoZero"/>
        <c:auto val="1"/>
        <c:lblAlgn val="ctr"/>
        <c:lblOffset val="100"/>
        <c:noMultiLvlLbl val="0"/>
      </c:catAx>
      <c:valAx>
        <c:axId val="2092054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09205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526092662936415"/>
          <c:y val="0.82540075500442989"/>
          <c:w val="0.74625911057835081"/>
          <c:h val="0.172813337869707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9385C-10A1-4897-A657-1406719C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5416</TotalTime>
  <Pages>9</Pages>
  <Words>9909</Words>
  <Characters>5649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kristinasl</dc:creator>
  <cp:keywords/>
  <cp:lastModifiedBy>Violeta Stulpinienė</cp:lastModifiedBy>
  <cp:revision>19</cp:revision>
  <cp:lastPrinted>2016-02-25T07:50:00Z</cp:lastPrinted>
  <dcterms:created xsi:type="dcterms:W3CDTF">2018-07-26T14:33:00Z</dcterms:created>
  <dcterms:modified xsi:type="dcterms:W3CDTF">2018-07-30T13:39:00Z</dcterms:modified>
</cp:coreProperties>
</file>