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34E" w:rsidRPr="00DA7503" w:rsidRDefault="00FC234E" w:rsidP="00531976">
      <w:pPr>
        <w:jc w:val="center"/>
        <w:rPr>
          <w:b/>
          <w:color w:val="000000"/>
          <w:szCs w:val="24"/>
        </w:rPr>
      </w:pPr>
    </w:p>
    <w:p w:rsidR="0007449F" w:rsidRPr="00DA7503" w:rsidRDefault="00FC4124" w:rsidP="00531976">
      <w:pPr>
        <w:jc w:val="center"/>
        <w:rPr>
          <w:b/>
          <w:color w:val="000000"/>
          <w:szCs w:val="24"/>
        </w:rPr>
      </w:pPr>
      <w:r w:rsidRPr="00FC4124">
        <w:rPr>
          <w:b/>
          <w:color w:val="000000"/>
          <w:szCs w:val="24"/>
        </w:rPr>
        <w:t>NUMATOMO TEISINIO REGULIAVIMO POVEIKIO VERTINIMO PAŽYMA</w:t>
      </w:r>
    </w:p>
    <w:p w:rsidR="0007449F" w:rsidRPr="00DA7503" w:rsidRDefault="0007449F" w:rsidP="0007449F">
      <w:pPr>
        <w:rPr>
          <w:b/>
          <w:szCs w:val="24"/>
        </w:rPr>
      </w:pPr>
    </w:p>
    <w:tbl>
      <w:tblPr>
        <w:tblW w:w="0" w:type="auto"/>
        <w:tblLook w:val="00A0"/>
      </w:tblPr>
      <w:tblGrid>
        <w:gridCol w:w="1951"/>
        <w:gridCol w:w="7621"/>
      </w:tblGrid>
      <w:tr w:rsidR="0007449F" w:rsidRPr="00DA7503" w:rsidTr="00FC234E">
        <w:tc>
          <w:tcPr>
            <w:tcW w:w="1951" w:type="dxa"/>
            <w:shd w:val="clear" w:color="auto" w:fill="auto"/>
            <w:hideMark/>
          </w:tcPr>
          <w:p w:rsidR="0007449F" w:rsidRPr="00A84F27" w:rsidRDefault="0007449F" w:rsidP="006B0B84">
            <w:pPr>
              <w:rPr>
                <w:b/>
                <w:bCs/>
                <w:szCs w:val="24"/>
              </w:rPr>
            </w:pPr>
            <w:r w:rsidRPr="00DA7503">
              <w:rPr>
                <w:b/>
                <w:bCs/>
                <w:szCs w:val="24"/>
              </w:rPr>
              <w:t>Projekto pavadinimas</w:t>
            </w:r>
          </w:p>
        </w:tc>
        <w:tc>
          <w:tcPr>
            <w:tcW w:w="7621" w:type="dxa"/>
            <w:shd w:val="clear" w:color="auto" w:fill="auto"/>
          </w:tcPr>
          <w:p w:rsidR="0007449F" w:rsidRPr="00DA7503" w:rsidRDefault="00FC4124" w:rsidP="00E83AE7">
            <w:pPr>
              <w:jc w:val="both"/>
              <w:rPr>
                <w:szCs w:val="24"/>
              </w:rPr>
            </w:pPr>
            <w:r w:rsidRPr="00FC4124">
              <w:rPr>
                <w:szCs w:val="24"/>
              </w:rPr>
              <w:t>Lietuvos Respublikos Vyriausybės nutarimo ,,Dėl institucijų, atsakingų už Sienų valdymo ir vizų finansinės paramos priemonės, įtrauktos į Integruoto sienų valdymo fondą, programos ir Vidaus saugumo fondo programos valdymą ir kontrolę Lietuvoje, paskyrimo“ projektas (toliau – nutarimo projektas).</w:t>
            </w:r>
          </w:p>
        </w:tc>
      </w:tr>
    </w:tbl>
    <w:p w:rsidR="0007449F" w:rsidRPr="00DA7503" w:rsidRDefault="0007449F" w:rsidP="0007449F">
      <w:pPr>
        <w:rPr>
          <w:szCs w:val="24"/>
        </w:rPr>
      </w:pPr>
    </w:p>
    <w:tbl>
      <w:tblPr>
        <w:tblW w:w="0" w:type="auto"/>
        <w:tblLook w:val="00A0"/>
      </w:tblPr>
      <w:tblGrid>
        <w:gridCol w:w="1951"/>
        <w:gridCol w:w="7621"/>
      </w:tblGrid>
      <w:tr w:rsidR="0007449F" w:rsidRPr="00DA7503" w:rsidTr="00FC234E">
        <w:tc>
          <w:tcPr>
            <w:tcW w:w="1951" w:type="dxa"/>
            <w:shd w:val="clear" w:color="auto" w:fill="auto"/>
            <w:hideMark/>
          </w:tcPr>
          <w:p w:rsidR="0007449F" w:rsidRPr="00A84F27" w:rsidRDefault="0007449F" w:rsidP="006B0B84">
            <w:pPr>
              <w:rPr>
                <w:b/>
                <w:bCs/>
                <w:szCs w:val="24"/>
              </w:rPr>
            </w:pPr>
            <w:r w:rsidRPr="00DA7503">
              <w:rPr>
                <w:b/>
                <w:bCs/>
                <w:szCs w:val="24"/>
              </w:rPr>
              <w:t>Projekto rengėjas</w:t>
            </w:r>
          </w:p>
        </w:tc>
        <w:tc>
          <w:tcPr>
            <w:tcW w:w="7621" w:type="dxa"/>
            <w:shd w:val="clear" w:color="auto" w:fill="auto"/>
            <w:hideMark/>
          </w:tcPr>
          <w:p w:rsidR="0007449F" w:rsidRPr="00DA7503" w:rsidRDefault="00FC4124" w:rsidP="00531976">
            <w:pPr>
              <w:jc w:val="both"/>
              <w:rPr>
                <w:b/>
                <w:szCs w:val="24"/>
              </w:rPr>
            </w:pPr>
            <w:r w:rsidRPr="00FC4124">
              <w:rPr>
                <w:szCs w:val="24"/>
              </w:rPr>
              <w:t>Lietuvos Respublikos vidaus reikalų ministerija (toliau – VRM)</w:t>
            </w:r>
          </w:p>
        </w:tc>
      </w:tr>
    </w:tbl>
    <w:p w:rsidR="0007449F" w:rsidRPr="00DA7503" w:rsidRDefault="0007449F" w:rsidP="0007449F">
      <w:pPr>
        <w:rPr>
          <w:szCs w:val="24"/>
        </w:rPr>
      </w:pPr>
    </w:p>
    <w:tbl>
      <w:tblPr>
        <w:tblW w:w="0" w:type="auto"/>
        <w:tblLook w:val="00A0"/>
      </w:tblPr>
      <w:tblGrid>
        <w:gridCol w:w="1951"/>
        <w:gridCol w:w="7513"/>
        <w:gridCol w:w="108"/>
        <w:gridCol w:w="16"/>
        <w:gridCol w:w="37"/>
      </w:tblGrid>
      <w:tr w:rsidR="0007449F" w:rsidRPr="00DA7503" w:rsidTr="00FC234E">
        <w:trPr>
          <w:gridAfter w:val="2"/>
          <w:wAfter w:w="53" w:type="dxa"/>
          <w:trHeight w:val="7160"/>
        </w:trPr>
        <w:tc>
          <w:tcPr>
            <w:tcW w:w="1951" w:type="dxa"/>
            <w:shd w:val="clear" w:color="auto" w:fill="auto"/>
            <w:hideMark/>
          </w:tcPr>
          <w:p w:rsidR="0007449F" w:rsidRPr="00DA7503" w:rsidRDefault="00FC4124" w:rsidP="00443E62">
            <w:pPr>
              <w:rPr>
                <w:b/>
                <w:szCs w:val="24"/>
              </w:rPr>
            </w:pPr>
            <w:r w:rsidRPr="00FC4124">
              <w:rPr>
                <w:b/>
                <w:szCs w:val="24"/>
              </w:rPr>
              <w:t>Projekto tikslas</w:t>
            </w:r>
          </w:p>
        </w:tc>
        <w:tc>
          <w:tcPr>
            <w:tcW w:w="7621" w:type="dxa"/>
            <w:gridSpan w:val="2"/>
            <w:shd w:val="clear" w:color="auto" w:fill="auto"/>
            <w:hideMark/>
          </w:tcPr>
          <w:p w:rsidR="00531976" w:rsidRPr="00DA7503" w:rsidRDefault="00FC4124" w:rsidP="00863483">
            <w:pPr>
              <w:jc w:val="both"/>
              <w:rPr>
                <w:bCs/>
                <w:szCs w:val="24"/>
              </w:rPr>
            </w:pPr>
            <w:r w:rsidRPr="00FC4124">
              <w:rPr>
                <w:bCs/>
                <w:szCs w:val="24"/>
              </w:rPr>
              <w:t xml:space="preserve">Nutarimo projekto tikslas – paskirti institucijas, atsakingas už </w:t>
            </w:r>
            <w:r w:rsidRPr="00FC4124">
              <w:rPr>
                <w:color w:val="000000"/>
                <w:szCs w:val="24"/>
              </w:rPr>
              <w:t xml:space="preserve">Sienų valdymo ir vizų finansinės paramos priemonės, įtrauktos į Integruoto sienų valdymo fondą, programos (toliau – SVVP programa) ir </w:t>
            </w:r>
            <w:r w:rsidRPr="00FC4124">
              <w:rPr>
                <w:bCs/>
                <w:szCs w:val="24"/>
              </w:rPr>
              <w:t>Vidaus saugumo fondo programos (toliau – VSF programa) valdymą ir kontrolę Lietuvoje, ir suteikti atsakingoms institucijoms įgaliojimus.</w:t>
            </w:r>
          </w:p>
          <w:p w:rsidR="00531976" w:rsidRPr="00DA7503" w:rsidRDefault="00FC4124" w:rsidP="00863483">
            <w:pPr>
              <w:jc w:val="both"/>
              <w:rPr>
                <w:bCs/>
                <w:szCs w:val="24"/>
              </w:rPr>
            </w:pPr>
            <w:r w:rsidRPr="00FC4124">
              <w:rPr>
                <w:bCs/>
                <w:szCs w:val="24"/>
              </w:rPr>
              <w:t>Nutarimo projektas parengtas siekiant užtikrinti sėkmingą Lietuvos Respublikos pasirengimą panaudoti 2021–2027 m. skiriamą SVVP bei VSF programoms finansavimą ir atsižvelgiant į Europos Komisijos (toliau – EK) pasiūlymus dėl Europos Parlamento ir Tarybos reglamento dėl Sienų valdymo ir vizų finansinės paramos priemonės, įtrauktos į Integruoto sienų valdymo fondą (toliau – SVVP reglamentas), Europos Parlamento ir Tarybos reglamento dėl Vidaus saugumo fondo (toliau – VSF reglamentas) ir pasiūlymą dėl Europos Parlamento ir Tarybos reglamento, kuriuo nustatomos bendros Europos regioninės plėtros fondo, „Europos socialinio fondo +“, Sanglaudos fondo ir Europos jūrų reikalų ir žuvininkystės fondo nuostatos ir šių fondų bei Prieglobsčio ir migracijos fondo, Vidaus saugumo fondo ir Sienų valdymo ir vizų priemonės finansinės taisyklės (toliau – Bendrųjų nuostatų reglamentas).</w:t>
            </w:r>
          </w:p>
          <w:p w:rsidR="00E25CAD" w:rsidRPr="00DA7503" w:rsidRDefault="00FC4124" w:rsidP="00863483">
            <w:pPr>
              <w:jc w:val="both"/>
              <w:rPr>
                <w:bCs/>
                <w:szCs w:val="24"/>
              </w:rPr>
            </w:pPr>
            <w:r w:rsidRPr="00FC4124">
              <w:rPr>
                <w:bCs/>
                <w:szCs w:val="24"/>
              </w:rPr>
              <w:t xml:space="preserve">SVVP reglamentu </w:t>
            </w:r>
            <w:r w:rsidRPr="00FC4124">
              <w:rPr>
                <w:b/>
                <w:szCs w:val="24"/>
              </w:rPr>
              <w:t>bus įsteigiama Sienų valdymo ir vizų finansinės paramos priemonė, įtraukta į Integruoto sienų valdymo fondą</w:t>
            </w:r>
            <w:r w:rsidRPr="00FC4124">
              <w:rPr>
                <w:bCs/>
                <w:szCs w:val="24"/>
              </w:rPr>
              <w:t xml:space="preserve">, kuri grindžiama ankstesnių periodų investicijomis: </w:t>
            </w:r>
          </w:p>
          <w:p w:rsidR="00E25CAD" w:rsidRPr="00DA7503" w:rsidRDefault="00FC4124" w:rsidP="00863483">
            <w:pPr>
              <w:jc w:val="both"/>
              <w:rPr>
                <w:bCs/>
                <w:szCs w:val="24"/>
              </w:rPr>
            </w:pPr>
            <w:r w:rsidRPr="00FC4124">
              <w:rPr>
                <w:bCs/>
                <w:szCs w:val="24"/>
              </w:rPr>
              <w:t xml:space="preserve">i) </w:t>
            </w:r>
            <w:r w:rsidRPr="00FC4124">
              <w:rPr>
                <w:bCs/>
                <w:szCs w:val="24"/>
              </w:rPr>
              <w:tab/>
              <w:t xml:space="preserve">2007–2013 m. laikotarpio Išorės sienų fondo, įsteigto Europos Parlamento ir Tarybos sprendimu Nr. 574/2007/EB (atsakinga institucija – VRM); </w:t>
            </w:r>
          </w:p>
          <w:p w:rsidR="00E25CAD" w:rsidRPr="00DA7503" w:rsidRDefault="00FC4124" w:rsidP="00863483">
            <w:pPr>
              <w:jc w:val="both"/>
              <w:rPr>
                <w:bCs/>
                <w:szCs w:val="24"/>
              </w:rPr>
            </w:pPr>
            <w:r w:rsidRPr="00FC4124">
              <w:rPr>
                <w:bCs/>
                <w:szCs w:val="24"/>
              </w:rPr>
              <w:t xml:space="preserve">ii) </w:t>
            </w:r>
            <w:r w:rsidRPr="00FC4124">
              <w:rPr>
                <w:bCs/>
                <w:szCs w:val="24"/>
              </w:rPr>
              <w:tab/>
              <w:t>2014–2020 m. išorės sienų ir vizų priemonės, įtrauktos į Vidaus saugumo fondą, nustatytą Europos Parlamento ir Tarybos reglamentu (ES) Nr. 515/2014 (atsakinga institucija – VRM).</w:t>
            </w:r>
          </w:p>
          <w:p w:rsidR="00531976" w:rsidRPr="00DA7503" w:rsidRDefault="00FC4124" w:rsidP="00863483">
            <w:pPr>
              <w:ind w:right="-142"/>
              <w:jc w:val="both"/>
              <w:rPr>
                <w:bCs/>
                <w:szCs w:val="24"/>
              </w:rPr>
            </w:pPr>
            <w:r w:rsidRPr="00FC4124">
              <w:rPr>
                <w:bCs/>
                <w:szCs w:val="24"/>
              </w:rPr>
              <w:t xml:space="preserve">VSF reglamentu </w:t>
            </w:r>
            <w:r w:rsidRPr="00FC4124">
              <w:rPr>
                <w:b/>
                <w:szCs w:val="24"/>
              </w:rPr>
              <w:t>bus įsteigiamas Vidaus saugumo fondas</w:t>
            </w:r>
            <w:r w:rsidRPr="00FC4124">
              <w:rPr>
                <w:bCs/>
                <w:szCs w:val="24"/>
              </w:rPr>
              <w:t xml:space="preserve">, kuris grindžiamas ankstesnių vidaus saugumo priemonių investicijomis: </w:t>
            </w:r>
          </w:p>
          <w:p w:rsidR="00531976" w:rsidRPr="00DA7503" w:rsidRDefault="00FC4124" w:rsidP="00863483">
            <w:pPr>
              <w:jc w:val="both"/>
              <w:rPr>
                <w:bCs/>
                <w:szCs w:val="24"/>
              </w:rPr>
            </w:pPr>
            <w:r w:rsidRPr="00FC4124">
              <w:rPr>
                <w:bCs/>
                <w:szCs w:val="24"/>
              </w:rPr>
              <w:t xml:space="preserve">i) </w:t>
            </w:r>
            <w:r w:rsidRPr="00FC4124">
              <w:rPr>
                <w:bCs/>
                <w:szCs w:val="24"/>
              </w:rPr>
              <w:tab/>
              <w:t xml:space="preserve">2007–2013 m. laikotarpio Saugumo ir laisvių apsaugos programos, kurią sudarė specialioji programa „Nusikalstamumo prevencija ir kova su nusikalstamumu“ ir specialioji programa „Terorizmo ir kitos su saugumu susijusios rizikos prevencija, parengtis ir padarinių valdymas“ (atsakinga institucija – VRM); </w:t>
            </w:r>
          </w:p>
          <w:p w:rsidR="00531976" w:rsidRPr="00DA7503" w:rsidRDefault="00FC4124" w:rsidP="00863483">
            <w:pPr>
              <w:jc w:val="both"/>
              <w:rPr>
                <w:bCs/>
                <w:szCs w:val="24"/>
              </w:rPr>
            </w:pPr>
            <w:r w:rsidRPr="00FC4124">
              <w:rPr>
                <w:bCs/>
                <w:szCs w:val="24"/>
              </w:rPr>
              <w:t xml:space="preserve">ii)  </w:t>
            </w:r>
            <w:r w:rsidRPr="00FC4124">
              <w:rPr>
                <w:bCs/>
                <w:szCs w:val="24"/>
              </w:rPr>
              <w:tab/>
              <w:t xml:space="preserve">Reglamentu (ES) Nr. 513/2014 sukurtos vienos iš 2014–2020 m. </w:t>
            </w:r>
            <w:r w:rsidRPr="00FC4124">
              <w:rPr>
                <w:bCs/>
                <w:szCs w:val="24"/>
              </w:rPr>
              <w:lastRenderedPageBreak/>
              <w:t>laikotarpio Vidaus saugumo fondo dalių – policijos bendradarbiavimo, nusikalstamumo prevencijos, kovos su juo ir krizių valdymo finansinės paramos priemonės (atsakinga institucija – VRM).</w:t>
            </w:r>
          </w:p>
          <w:p w:rsidR="00863483" w:rsidRPr="00DA7503" w:rsidRDefault="00FC4124" w:rsidP="00863483">
            <w:pPr>
              <w:jc w:val="both"/>
              <w:rPr>
                <w:bCs/>
                <w:szCs w:val="24"/>
              </w:rPr>
            </w:pPr>
            <w:r w:rsidRPr="00FC4124">
              <w:rPr>
                <w:bCs/>
                <w:szCs w:val="24"/>
              </w:rPr>
              <w:t>Bendrųjų nuostatų reglamente numatoma, kad valstybės narės SVVP ir VSF programoms valdyti sukuria valdymo ir kontrolės sistemą, kurią sudaro vadovaujančioji institucija, audito institucija ir tarpinė institucija (65</w:t>
            </w:r>
            <w:r w:rsidR="008978AB" w:rsidRPr="00DA7503">
              <w:rPr>
                <w:bCs/>
                <w:szCs w:val="24"/>
              </w:rPr>
              <w:t> </w:t>
            </w:r>
            <w:r w:rsidRPr="00FC4124">
              <w:rPr>
                <w:bCs/>
                <w:szCs w:val="24"/>
              </w:rPr>
              <w:t>straipsnis); nurodoma, kad vadovaujančioji institucija gali atlikti valdymo patikrinimus tik pagal nacionalines procedūras (77</w:t>
            </w:r>
            <w:r w:rsidR="008978AB" w:rsidRPr="00DA7503">
              <w:rPr>
                <w:bCs/>
                <w:szCs w:val="24"/>
              </w:rPr>
              <w:t> </w:t>
            </w:r>
            <w:r w:rsidRPr="00FC4124">
              <w:rPr>
                <w:bCs/>
                <w:szCs w:val="24"/>
              </w:rPr>
              <w:t>straipsnis), t.</w:t>
            </w:r>
            <w:r w:rsidR="000E32CC">
              <w:rPr>
                <w:bCs/>
                <w:szCs w:val="24"/>
              </w:rPr>
              <w:t> </w:t>
            </w:r>
            <w:r w:rsidRPr="00FC4124">
              <w:rPr>
                <w:bCs/>
                <w:szCs w:val="24"/>
              </w:rPr>
              <w:t>y. programavimo laikotarpio pradžioje valstybė narė gali taikyti Bendrųjų nuostatų reglamento 77 straipsnyje nurodytas priemones, jeigu įvykdytos šio straipsnio 1 dalyje nustatytos sąlygos, susijusios su panašia 2014–2020 m. įgyvendinta programa, ir jei 2021–2027 m. programos valdymo ir kontrolės priemonės iš esmės pagrįstos ankstesnės programos valdymo ir kontrolės priemonėmis. Tokiais atvejais proporcingesnės priemonės taikomos nuo programos pradžios (78 straipsnis). Nutarimo projektu, atsižvelgiant į šią nuostatą, siūloma nustatyti panašią SVVP ir VSF valdymo ir kontrolės sistemą, kaip buvo nustatyta 2014–2020 m. VSF administruoti (Lietuvos Respublikos Vyriausybės 2013 m. rugsėjo 11 d. nutarimas Nr. 826 „Dėl Vidaus saugumo fondo administravimo“). VRM administruoja 2014</w:t>
            </w:r>
            <w:r w:rsidR="008978AB" w:rsidRPr="00DA7503">
              <w:rPr>
                <w:bCs/>
                <w:szCs w:val="24"/>
              </w:rPr>
              <w:t>–</w:t>
            </w:r>
            <w:r w:rsidRPr="00FC4124">
              <w:rPr>
                <w:bCs/>
                <w:szCs w:val="24"/>
              </w:rPr>
              <w:t>2020</w:t>
            </w:r>
            <w:r w:rsidR="008978AB" w:rsidRPr="00DA7503">
              <w:rPr>
                <w:bCs/>
                <w:szCs w:val="24"/>
              </w:rPr>
              <w:t> </w:t>
            </w:r>
            <w:r w:rsidRPr="00FC4124">
              <w:rPr>
                <w:bCs/>
                <w:szCs w:val="24"/>
              </w:rPr>
              <w:t>m. nacionalinę VSF programą. VSF atsakinga institucija (VRM) kasmet rengia ir per EK nustatytus terminus teikia EK VSF programos metinio likučio mokėjimo prašymus, kaip nustatyta 2014 m. balandžio 16 d. Europos Parlamento ir Tarybos reglamento (ES) Nr. 514/2014, kuriuo nustatomos Prieglobsčio, migracijos ir integracijos fondo ir policijos bendradarbiavimo, nusikalstamumo prevencijos, kovos su juo ir krizių valdymo finansinės paramos priemonės bendrosios nuostatos (OL 2014 L 150, p. 112),</w:t>
            </w:r>
            <w:r w:rsidR="007A3C8D" w:rsidRPr="00DA7503">
              <w:rPr>
                <w:bCs/>
                <w:sz w:val="20"/>
              </w:rPr>
              <w:t xml:space="preserve"> </w:t>
            </w:r>
            <w:r w:rsidRPr="00FC4124">
              <w:rPr>
                <w:bCs/>
                <w:szCs w:val="24"/>
              </w:rPr>
              <w:t>44 straipsnyje.</w:t>
            </w:r>
          </w:p>
          <w:p w:rsidR="00863483" w:rsidRPr="00DA7503" w:rsidRDefault="00FC4124" w:rsidP="00863483">
            <w:pPr>
              <w:jc w:val="both"/>
              <w:rPr>
                <w:bCs/>
                <w:szCs w:val="24"/>
              </w:rPr>
            </w:pPr>
            <w:r w:rsidRPr="00FC4124">
              <w:rPr>
                <w:bCs/>
                <w:szCs w:val="24"/>
              </w:rPr>
              <w:t>VRM Centralizuoto vidaus audito skyriaus, vykdančio 2014</w:t>
            </w:r>
            <w:r w:rsidR="008978AB" w:rsidRPr="00DA7503">
              <w:rPr>
                <w:bCs/>
                <w:szCs w:val="24"/>
              </w:rPr>
              <w:t>–</w:t>
            </w:r>
            <w:r w:rsidRPr="00FC4124">
              <w:rPr>
                <w:bCs/>
                <w:szCs w:val="24"/>
              </w:rPr>
              <w:t xml:space="preserve">2020 m. nacionalinės VSF programos audito institucijos funkcijas, paskutinių dvejų ataskaitinių finansinių metų (už laikotarpį nuo 2017-10-16 iki 2018-09-03 ir laikotarpį nuo 2018-09-04 iki 2019-09-16) </w:t>
            </w:r>
            <w:r w:rsidR="008978AB" w:rsidRPr="00DA7503">
              <w:rPr>
                <w:bCs/>
                <w:szCs w:val="24"/>
              </w:rPr>
              <w:t>m</w:t>
            </w:r>
            <w:r w:rsidRPr="00FC4124">
              <w:rPr>
                <w:bCs/>
                <w:szCs w:val="24"/>
              </w:rPr>
              <w:t xml:space="preserve">etinėse kontrolės ataskaitose, teikiamose EK kartu su metinio likučio mokėjimo prašymu, </w:t>
            </w:r>
            <w:r w:rsidRPr="00FC4124">
              <w:rPr>
                <w:b/>
                <w:szCs w:val="24"/>
              </w:rPr>
              <w:t>pateikta išvada, kad 2014</w:t>
            </w:r>
            <w:r w:rsidR="008978AB" w:rsidRPr="00DA7503">
              <w:rPr>
                <w:b/>
                <w:szCs w:val="24"/>
              </w:rPr>
              <w:t>–</w:t>
            </w:r>
            <w:r w:rsidRPr="00FC4124">
              <w:rPr>
                <w:b/>
                <w:szCs w:val="24"/>
              </w:rPr>
              <w:t>2020 m. nacionalinės VSF programos valdymo ir kontrolės sistema veikia gerai (įvertinta 1 kategorija) ir jos bendras patikimumo lygis yra aukštas</w:t>
            </w:r>
            <w:r w:rsidRPr="00FC4124">
              <w:rPr>
                <w:bCs/>
                <w:szCs w:val="24"/>
              </w:rPr>
              <w:t>.</w:t>
            </w:r>
          </w:p>
          <w:p w:rsidR="00EF55C0" w:rsidRPr="00DA7503" w:rsidRDefault="00FC4124" w:rsidP="00863483">
            <w:pPr>
              <w:jc w:val="both"/>
              <w:rPr>
                <w:bCs/>
                <w:szCs w:val="24"/>
              </w:rPr>
            </w:pPr>
            <w:r w:rsidRPr="00FC4124">
              <w:rPr>
                <w:bCs/>
                <w:szCs w:val="24"/>
              </w:rPr>
              <w:t xml:space="preserve">EK paskelbtose 2017 m. </w:t>
            </w:r>
            <w:r w:rsidR="007A3C8D" w:rsidRPr="00DA7503">
              <w:rPr>
                <w:bCs/>
                <w:szCs w:val="24"/>
              </w:rPr>
              <w:t>(</w:t>
            </w:r>
            <w:r w:rsidRPr="00FC4124">
              <w:rPr>
                <w:bCs/>
                <w:i/>
                <w:szCs w:val="24"/>
              </w:rPr>
              <w:t xml:space="preserve">Ref. </w:t>
            </w:r>
            <w:proofErr w:type="spellStart"/>
            <w:r w:rsidRPr="00FC4124">
              <w:rPr>
                <w:bCs/>
                <w:i/>
                <w:szCs w:val="24"/>
              </w:rPr>
              <w:t>Ares</w:t>
            </w:r>
            <w:proofErr w:type="spellEnd"/>
            <w:r w:rsidRPr="00FC4124">
              <w:rPr>
                <w:bCs/>
                <w:i/>
                <w:szCs w:val="24"/>
              </w:rPr>
              <w:t>(2018)2303620-30/04/2018</w:t>
            </w:r>
            <w:r w:rsidRPr="00FC4124">
              <w:rPr>
                <w:bCs/>
                <w:szCs w:val="24"/>
              </w:rPr>
              <w:t xml:space="preserve">) ir 2018 m. </w:t>
            </w:r>
            <w:r w:rsidR="007A3C8D" w:rsidRPr="00DA7503">
              <w:rPr>
                <w:bCs/>
                <w:szCs w:val="24"/>
              </w:rPr>
              <w:t>(</w:t>
            </w:r>
            <w:r w:rsidRPr="00FC4124">
              <w:rPr>
                <w:bCs/>
                <w:i/>
                <w:szCs w:val="24"/>
              </w:rPr>
              <w:t xml:space="preserve">Ref. </w:t>
            </w:r>
            <w:proofErr w:type="spellStart"/>
            <w:r w:rsidRPr="00FC4124">
              <w:rPr>
                <w:bCs/>
                <w:i/>
                <w:szCs w:val="24"/>
              </w:rPr>
              <w:t>Ares</w:t>
            </w:r>
            <w:proofErr w:type="spellEnd"/>
            <w:r w:rsidRPr="00FC4124">
              <w:rPr>
                <w:bCs/>
                <w:i/>
                <w:szCs w:val="24"/>
              </w:rPr>
              <w:t>(2019)3924440-20/06/2019</w:t>
            </w:r>
            <w:r w:rsidRPr="00FC4124">
              <w:rPr>
                <w:bCs/>
                <w:szCs w:val="24"/>
              </w:rPr>
              <w:t xml:space="preserve">) veiklos ataskaitose nurodyta, kad </w:t>
            </w:r>
            <w:r w:rsidRPr="00FC4124">
              <w:rPr>
                <w:b/>
                <w:szCs w:val="24"/>
              </w:rPr>
              <w:t>Lietuvos nacionalinės VSF programos bendras klaidų lygis yra 1,5 proc., t.</w:t>
            </w:r>
            <w:r w:rsidR="008978AB" w:rsidRPr="00DA7503">
              <w:rPr>
                <w:b/>
                <w:szCs w:val="24"/>
              </w:rPr>
              <w:t> </w:t>
            </w:r>
            <w:r w:rsidRPr="00FC4124">
              <w:rPr>
                <w:b/>
                <w:szCs w:val="24"/>
              </w:rPr>
              <w:t>y. mažesnis už didžiausią leistiną reikšmingumo lygį (2 proc. nuo Sąjungos įnašo)</w:t>
            </w:r>
            <w:r w:rsidRPr="00FC4124">
              <w:rPr>
                <w:bCs/>
                <w:szCs w:val="24"/>
              </w:rPr>
              <w:t xml:space="preserve">.  </w:t>
            </w:r>
          </w:p>
          <w:p w:rsidR="00531976" w:rsidRPr="00DA7503" w:rsidRDefault="00FC4124" w:rsidP="00863483">
            <w:pPr>
              <w:jc w:val="both"/>
              <w:rPr>
                <w:bCs/>
                <w:szCs w:val="24"/>
              </w:rPr>
            </w:pPr>
            <w:r w:rsidRPr="00FC4124">
              <w:rPr>
                <w:bCs/>
                <w:szCs w:val="24"/>
              </w:rPr>
              <w:t>Nutarimo projektu, paskyrus vadovaujančiąją, audito ir tarpinę institucijas, bus užtikrintas atsakomybės bei funkcijų pasiskirstymas tarp SVVP ir VSF programas valdančių ir kontroliuojančių institucijų, patikimas SVVP ir VSF 2021–2027 m. programų finansų valdymas, taip pat sudarytos sąlygos iš anksto pasirengti valdyti SVVP ir VSF programas.</w:t>
            </w:r>
          </w:p>
          <w:p w:rsidR="00FC234E" w:rsidRPr="00DA7503" w:rsidRDefault="00FC234E" w:rsidP="00DA7503">
            <w:pPr>
              <w:jc w:val="both"/>
              <w:rPr>
                <w:bCs/>
                <w:szCs w:val="24"/>
              </w:rPr>
            </w:pPr>
          </w:p>
        </w:tc>
      </w:tr>
      <w:tr w:rsidR="0007449F" w:rsidRPr="00DA7503" w:rsidTr="00FC234E">
        <w:trPr>
          <w:gridAfter w:val="1"/>
          <w:wAfter w:w="37" w:type="dxa"/>
          <w:trHeight w:val="445"/>
        </w:trPr>
        <w:tc>
          <w:tcPr>
            <w:tcW w:w="1951" w:type="dxa"/>
            <w:shd w:val="clear" w:color="auto" w:fill="auto"/>
          </w:tcPr>
          <w:p w:rsidR="0007449F" w:rsidRPr="00A84F27" w:rsidRDefault="0007449F" w:rsidP="00443E62">
            <w:pPr>
              <w:rPr>
                <w:szCs w:val="24"/>
              </w:rPr>
            </w:pPr>
          </w:p>
        </w:tc>
        <w:tc>
          <w:tcPr>
            <w:tcW w:w="7637" w:type="dxa"/>
            <w:gridSpan w:val="3"/>
            <w:shd w:val="clear" w:color="auto" w:fill="auto"/>
            <w:hideMark/>
          </w:tcPr>
          <w:p w:rsidR="0007449F" w:rsidRPr="00DA7503" w:rsidRDefault="0007449F" w:rsidP="00863483">
            <w:pPr>
              <w:jc w:val="center"/>
              <w:rPr>
                <w:b/>
                <w:szCs w:val="24"/>
              </w:rPr>
            </w:pPr>
          </w:p>
        </w:tc>
      </w:tr>
      <w:tr w:rsidR="0007449F" w:rsidRPr="00DA7503" w:rsidTr="00FC234E">
        <w:trPr>
          <w:trHeight w:val="5600"/>
        </w:trPr>
        <w:tc>
          <w:tcPr>
            <w:tcW w:w="1951" w:type="dxa"/>
            <w:shd w:val="clear" w:color="auto" w:fill="auto"/>
          </w:tcPr>
          <w:p w:rsidR="00FC234E" w:rsidRPr="00A84F27" w:rsidRDefault="00FC234E" w:rsidP="00443E62">
            <w:pPr>
              <w:rPr>
                <w:b/>
                <w:szCs w:val="24"/>
              </w:rPr>
            </w:pPr>
          </w:p>
          <w:p w:rsidR="00FC234E" w:rsidRPr="00DA7503" w:rsidRDefault="00FC234E" w:rsidP="00443E62">
            <w:pPr>
              <w:rPr>
                <w:b/>
                <w:szCs w:val="24"/>
              </w:rPr>
            </w:pPr>
          </w:p>
          <w:p w:rsidR="00FC234E" w:rsidRPr="00DA7503" w:rsidRDefault="00FC234E" w:rsidP="00443E62">
            <w:pPr>
              <w:rPr>
                <w:b/>
                <w:szCs w:val="24"/>
              </w:rPr>
            </w:pPr>
          </w:p>
          <w:p w:rsidR="0007449F" w:rsidRPr="00DA7503" w:rsidRDefault="00FC4124" w:rsidP="00443E62">
            <w:pPr>
              <w:rPr>
                <w:b/>
                <w:szCs w:val="24"/>
              </w:rPr>
            </w:pPr>
            <w:r w:rsidRPr="00FC4124">
              <w:rPr>
                <w:b/>
                <w:szCs w:val="24"/>
              </w:rPr>
              <w:t xml:space="preserve">Poveikis atitinkamai </w:t>
            </w:r>
          </w:p>
          <w:p w:rsidR="0007449F" w:rsidRPr="00DA7503" w:rsidRDefault="00FC4124" w:rsidP="00443E62">
            <w:pPr>
              <w:rPr>
                <w:b/>
                <w:szCs w:val="24"/>
              </w:rPr>
            </w:pPr>
            <w:r w:rsidRPr="00FC4124">
              <w:rPr>
                <w:b/>
                <w:szCs w:val="24"/>
              </w:rPr>
              <w:t>sričiai</w:t>
            </w:r>
          </w:p>
        </w:tc>
        <w:tc>
          <w:tcPr>
            <w:tcW w:w="7674" w:type="dxa"/>
            <w:gridSpan w:val="4"/>
            <w:shd w:val="clear" w:color="auto" w:fill="auto"/>
          </w:tcPr>
          <w:p w:rsidR="00FC234E" w:rsidRPr="00DA7503" w:rsidRDefault="00FC4124" w:rsidP="00FC234E">
            <w:pPr>
              <w:jc w:val="center"/>
              <w:rPr>
                <w:szCs w:val="24"/>
              </w:rPr>
            </w:pPr>
            <w:r w:rsidRPr="00FC4124">
              <w:rPr>
                <w:b/>
                <w:szCs w:val="24"/>
              </w:rPr>
              <w:t>Siūlomo projekto poveikio įvertinimas</w:t>
            </w:r>
          </w:p>
          <w:p w:rsidR="00FC234E" w:rsidRPr="00DA7503" w:rsidRDefault="00FC4124" w:rsidP="00FC234E">
            <w:pPr>
              <w:jc w:val="center"/>
              <w:rPr>
                <w:b/>
                <w:bCs/>
                <w:szCs w:val="24"/>
              </w:rPr>
            </w:pPr>
            <w:r w:rsidRPr="00FC4124">
              <w:rPr>
                <w:b/>
                <w:szCs w:val="24"/>
              </w:rPr>
              <w:t>(</w:t>
            </w:r>
            <w:r w:rsidRPr="00FC4124">
              <w:rPr>
                <w:b/>
                <w:bCs/>
                <w:szCs w:val="24"/>
              </w:rPr>
              <w:t>teigiamos ir (ar) neigiamos pasekmės)*</w:t>
            </w:r>
          </w:p>
          <w:p w:rsidR="00FC234E" w:rsidRPr="00A84F27" w:rsidRDefault="00FC234E" w:rsidP="00FC234E">
            <w:pPr>
              <w:jc w:val="center"/>
              <w:rPr>
                <w:szCs w:val="24"/>
              </w:rPr>
            </w:pPr>
          </w:p>
          <w:p w:rsidR="00C51311" w:rsidRPr="00DA7503" w:rsidRDefault="00FC4124" w:rsidP="00C92D84">
            <w:pPr>
              <w:jc w:val="both"/>
              <w:rPr>
                <w:szCs w:val="24"/>
              </w:rPr>
            </w:pPr>
            <w:r w:rsidRPr="00FC4124">
              <w:rPr>
                <w:szCs w:val="24"/>
              </w:rPr>
              <w:t xml:space="preserve">Paskyrus už SVVP ir VSF programų valdymą ir kontrolę atsakingas institucijas, bus sudarytos galimybės tinkamai ir efektyviai pasinaudoti SVVP ir VSF lėšomis. </w:t>
            </w:r>
          </w:p>
          <w:p w:rsidR="003F7B16" w:rsidRPr="00DA7503" w:rsidRDefault="00FC4124" w:rsidP="00C92D84">
            <w:pPr>
              <w:jc w:val="both"/>
              <w:rPr>
                <w:szCs w:val="24"/>
              </w:rPr>
            </w:pPr>
            <w:r w:rsidRPr="00FC4124">
              <w:rPr>
                <w:b/>
                <w:bCs/>
                <w:szCs w:val="24"/>
              </w:rPr>
              <w:t>SVVP lėšos</w:t>
            </w:r>
            <w:r w:rsidRPr="00FC4124">
              <w:rPr>
                <w:szCs w:val="24"/>
              </w:rPr>
              <w:t xml:space="preserve"> padės valstybėms narėms toliau plėtoti bendrą vizų politiką ir užtikrinti Europos integruotą išorės sienų valdymą, t.</w:t>
            </w:r>
            <w:r w:rsidR="000E32CC">
              <w:rPr>
                <w:szCs w:val="24"/>
              </w:rPr>
              <w:t> </w:t>
            </w:r>
            <w:r w:rsidRPr="00FC4124">
              <w:rPr>
                <w:szCs w:val="24"/>
              </w:rPr>
              <w:t xml:space="preserve">y. valdyti veiksmingą išorės sienų kirtimą. Tai apima su migracija susijusių sunkumų sprendimą ir kovą su ateityje galinčiomis kilti grėsmėmis prie tų sienų, taip prisidedant prie kovos su sunkiais nusikaltimais, kuriems būdingas tarpvalstybinis aspektas, ir aukšto lygio vidaus saugumo Europos Sąjungoje (toliau – ES) užtikrinimo visapusiškai gerbiant pagrindines teises, kartu išlaikant joje laisvą asmenų judėjimą. </w:t>
            </w:r>
            <w:r w:rsidRPr="00FC4124">
              <w:rPr>
                <w:b/>
                <w:bCs/>
                <w:szCs w:val="24"/>
              </w:rPr>
              <w:t>SVVP lėšomis toliau bus remiamas Lietuvos įgyvendinamos specialios tranzito programos veikimas, atsižvelgiant į ES įsipareigojimus</w:t>
            </w:r>
            <w:r w:rsidRPr="00FC4124">
              <w:rPr>
                <w:szCs w:val="24"/>
              </w:rPr>
              <w:t>. Pagal specialią tranzito programą Lietuvai mokama kompensacija už negaunamus tranzito vizos mokesčius ir papildomas išlaidas, kuri</w:t>
            </w:r>
            <w:r w:rsidR="005F39D1">
              <w:rPr>
                <w:szCs w:val="24"/>
              </w:rPr>
              <w:t>ų</w:t>
            </w:r>
            <w:r w:rsidRPr="00FC4124">
              <w:rPr>
                <w:szCs w:val="24"/>
              </w:rPr>
              <w:t xml:space="preserve"> ji patiria dėl supaprastinto tranzito dokumento ir supaprastinto tranzito geležinkeliu dokumento sistemos, pavyzdžiui, įrangos ir IT sistemų pakeitimo ir tobulinimo, taip pat mokymo ir veiklos išlaidas. Taip bus daromas teigiamas poveikis Lietuvos kriminogeninei situacijai ir vidaus saugumui. </w:t>
            </w:r>
          </w:p>
          <w:p w:rsidR="00EF55C0" w:rsidRPr="00DA7503" w:rsidRDefault="00FC4124" w:rsidP="00912614">
            <w:pPr>
              <w:jc w:val="both"/>
              <w:rPr>
                <w:szCs w:val="24"/>
              </w:rPr>
            </w:pPr>
            <w:r w:rsidRPr="00FC4124">
              <w:rPr>
                <w:b/>
                <w:bCs/>
                <w:szCs w:val="24"/>
              </w:rPr>
              <w:t>VSF lėšomis</w:t>
            </w:r>
            <w:r w:rsidRPr="00FC4124">
              <w:rPr>
                <w:szCs w:val="24"/>
              </w:rPr>
              <w:t xml:space="preserve"> bus finansuojamos veiklos, padėsiančios užtikrinti aukštą saugumo lygį ES, visų pirma kovojant su terorizmu, radikalėjimu, sunkių formų bei organizuotu nusikalstamumu ir kibernetiniais nusikaltimais, taip pat teikiant pagalbą ir apsaugą nusikaltimų aukoms. Taip bus daromas teigiamas poveikis Lietuvos kriminogeninei situacijai ir vidaus saugumui.</w:t>
            </w:r>
          </w:p>
        </w:tc>
      </w:tr>
      <w:tr w:rsidR="0007449F" w:rsidRPr="00DA7503" w:rsidTr="00FC234E">
        <w:trPr>
          <w:gridAfter w:val="3"/>
          <w:wAfter w:w="161" w:type="dxa"/>
        </w:trPr>
        <w:tc>
          <w:tcPr>
            <w:tcW w:w="1951" w:type="dxa"/>
            <w:shd w:val="clear" w:color="auto" w:fill="auto"/>
            <w:hideMark/>
          </w:tcPr>
          <w:p w:rsidR="0007449F" w:rsidRPr="00DA7503" w:rsidRDefault="00FC4124" w:rsidP="00443E62">
            <w:pPr>
              <w:rPr>
                <w:b/>
                <w:szCs w:val="24"/>
              </w:rPr>
            </w:pPr>
            <w:r w:rsidRPr="00FC4124">
              <w:rPr>
                <w:b/>
                <w:szCs w:val="24"/>
              </w:rPr>
              <w:t xml:space="preserve">Poveikis </w:t>
            </w:r>
          </w:p>
          <w:p w:rsidR="0007449F" w:rsidRPr="00DA7503" w:rsidRDefault="00FC4124" w:rsidP="00443E62">
            <w:pPr>
              <w:rPr>
                <w:b/>
                <w:szCs w:val="24"/>
              </w:rPr>
            </w:pPr>
            <w:r w:rsidRPr="00FC4124">
              <w:rPr>
                <w:b/>
                <w:szCs w:val="24"/>
              </w:rPr>
              <w:t>valstybės finansams</w:t>
            </w:r>
          </w:p>
        </w:tc>
        <w:tc>
          <w:tcPr>
            <w:tcW w:w="7513" w:type="dxa"/>
            <w:shd w:val="clear" w:color="auto" w:fill="auto"/>
            <w:hideMark/>
          </w:tcPr>
          <w:p w:rsidR="002E7952" w:rsidRPr="00DA7503" w:rsidRDefault="00FC4124" w:rsidP="00FC234E">
            <w:pPr>
              <w:jc w:val="both"/>
              <w:rPr>
                <w:szCs w:val="24"/>
              </w:rPr>
            </w:pPr>
            <w:r w:rsidRPr="00FC4124">
              <w:rPr>
                <w:szCs w:val="24"/>
              </w:rPr>
              <w:t xml:space="preserve">2021–2027 m. skiriama 4,8 mlrd. eurų visoms valstybių narių </w:t>
            </w:r>
            <w:r w:rsidRPr="00FC4124">
              <w:rPr>
                <w:b/>
                <w:bCs/>
                <w:szCs w:val="24"/>
              </w:rPr>
              <w:t>SVVP programoms</w:t>
            </w:r>
            <w:r w:rsidRPr="00FC4124">
              <w:rPr>
                <w:szCs w:val="24"/>
              </w:rPr>
              <w:t xml:space="preserve">, </w:t>
            </w:r>
            <w:r w:rsidRPr="00FC4124">
              <w:rPr>
                <w:noProof/>
                <w:color w:val="000000" w:themeColor="text1"/>
                <w:szCs w:val="24"/>
              </w:rPr>
              <w:t xml:space="preserve">iš šios sumos 157 200 000 eurų </w:t>
            </w:r>
            <w:r w:rsidR="00DA7503" w:rsidRPr="00DA7503">
              <w:rPr>
                <w:noProof/>
                <w:color w:val="000000" w:themeColor="text1"/>
                <w:szCs w:val="24"/>
              </w:rPr>
              <w:t>(</w:t>
            </w:r>
            <w:r w:rsidR="00DA7503">
              <w:rPr>
                <w:i/>
                <w:szCs w:val="24"/>
              </w:rPr>
              <w:t>sum</w:t>
            </w:r>
            <w:r w:rsidR="00DA7503" w:rsidRPr="00DA7503">
              <w:rPr>
                <w:i/>
                <w:szCs w:val="24"/>
              </w:rPr>
              <w:t>a pagal šiuo metu derinamą SVVP reglamento projektą</w:t>
            </w:r>
            <w:r w:rsidRPr="00FC4124">
              <w:rPr>
                <w:szCs w:val="24"/>
              </w:rPr>
              <w:t>)</w:t>
            </w:r>
            <w:r w:rsidR="00DA7503" w:rsidRPr="00DA7503">
              <w:rPr>
                <w:noProof/>
                <w:color w:val="000000" w:themeColor="text1"/>
                <w:szCs w:val="24"/>
              </w:rPr>
              <w:t xml:space="preserve"> </w:t>
            </w:r>
            <w:r w:rsidRPr="00FC4124">
              <w:rPr>
                <w:noProof/>
                <w:color w:val="000000" w:themeColor="text1"/>
                <w:szCs w:val="24"/>
              </w:rPr>
              <w:t>– specialiai tranzito programai</w:t>
            </w:r>
            <w:r w:rsidRPr="00FC4124">
              <w:rPr>
                <w:szCs w:val="24"/>
              </w:rPr>
              <w:t>. Valstybių narių SVVP programoms numatytas finansinis paketas bus skiriamas remiantis paskirstymo formule, kuri atspindės valstybių narių poreikius ir sunkumus sienų valdymo bei vizų srityse (SVVP reglamento I</w:t>
            </w:r>
            <w:r w:rsidR="005F39D1">
              <w:rPr>
                <w:szCs w:val="24"/>
              </w:rPr>
              <w:t> </w:t>
            </w:r>
            <w:r w:rsidRPr="00FC4124">
              <w:rPr>
                <w:szCs w:val="24"/>
              </w:rPr>
              <w:t>priedas</w:t>
            </w:r>
            <w:r w:rsidR="00DA7503" w:rsidRPr="00DA7503">
              <w:rPr>
                <w:i/>
                <w:szCs w:val="24"/>
              </w:rPr>
              <w:t xml:space="preserve"> </w:t>
            </w:r>
            <w:r w:rsidRPr="00FC4124">
              <w:rPr>
                <w:szCs w:val="24"/>
              </w:rPr>
              <w:t>(</w:t>
            </w:r>
            <w:r w:rsidR="00DA7503" w:rsidRPr="00DA7503">
              <w:rPr>
                <w:i/>
                <w:szCs w:val="24"/>
              </w:rPr>
              <w:t>šiuo metu derin</w:t>
            </w:r>
            <w:r w:rsidR="00DA7503">
              <w:rPr>
                <w:i/>
                <w:szCs w:val="24"/>
              </w:rPr>
              <w:t>a</w:t>
            </w:r>
            <w:r w:rsidR="00DA7503" w:rsidRPr="00DA7503">
              <w:rPr>
                <w:i/>
                <w:szCs w:val="24"/>
              </w:rPr>
              <w:t>m</w:t>
            </w:r>
            <w:r w:rsidR="00DA7503">
              <w:rPr>
                <w:i/>
                <w:szCs w:val="24"/>
              </w:rPr>
              <w:t>as</w:t>
            </w:r>
            <w:r w:rsidRPr="00FC4124">
              <w:rPr>
                <w:szCs w:val="24"/>
              </w:rPr>
              <w:t xml:space="preserve">)). </w:t>
            </w:r>
          </w:p>
          <w:p w:rsidR="00292063" w:rsidRPr="00DA7503" w:rsidRDefault="00FC4124" w:rsidP="00FC234E">
            <w:pPr>
              <w:jc w:val="both"/>
              <w:rPr>
                <w:szCs w:val="24"/>
              </w:rPr>
            </w:pPr>
            <w:r w:rsidRPr="00FC4124">
              <w:rPr>
                <w:szCs w:val="24"/>
              </w:rPr>
              <w:t xml:space="preserve">2021–2027 m. skiriama 1,5 mlrd. eurų visoms valstybių narių </w:t>
            </w:r>
            <w:r w:rsidRPr="00FC4124">
              <w:rPr>
                <w:b/>
                <w:bCs/>
                <w:szCs w:val="24"/>
              </w:rPr>
              <w:t>VSF programoms</w:t>
            </w:r>
            <w:r w:rsidRPr="00FC4124">
              <w:rPr>
                <w:szCs w:val="24"/>
              </w:rPr>
              <w:t>, remiantis paskirstymo formule, grindžiama trimis kriterijais: bendruoju vidaus produktu, teritorijos dydžiu ir valstybės gyventojų skaičiumi (VSF reglamento I priedas</w:t>
            </w:r>
            <w:r w:rsidR="00DA7503">
              <w:rPr>
                <w:szCs w:val="24"/>
                <w:vertAlign w:val="superscript"/>
              </w:rPr>
              <w:t xml:space="preserve"> </w:t>
            </w:r>
            <w:r w:rsidRPr="00FC4124">
              <w:rPr>
                <w:szCs w:val="24"/>
              </w:rPr>
              <w:t>(</w:t>
            </w:r>
            <w:r w:rsidRPr="00FC4124">
              <w:rPr>
                <w:i/>
                <w:szCs w:val="24"/>
              </w:rPr>
              <w:t>šiuo metu derinamas</w:t>
            </w:r>
            <w:r w:rsidRPr="00FC4124">
              <w:rPr>
                <w:szCs w:val="24"/>
              </w:rPr>
              <w:t>)</w:t>
            </w:r>
            <w:r w:rsidR="00DA7503">
              <w:rPr>
                <w:szCs w:val="24"/>
              </w:rPr>
              <w:t>)</w:t>
            </w:r>
            <w:r w:rsidRPr="00FC4124">
              <w:rPr>
                <w:szCs w:val="24"/>
              </w:rPr>
              <w:t xml:space="preserve">. </w:t>
            </w:r>
          </w:p>
          <w:p w:rsidR="00292063" w:rsidRPr="00DA7503" w:rsidRDefault="00FC4124" w:rsidP="00292063">
            <w:pPr>
              <w:jc w:val="both"/>
              <w:rPr>
                <w:szCs w:val="24"/>
              </w:rPr>
            </w:pPr>
            <w:r w:rsidRPr="00FC4124">
              <w:rPr>
                <w:szCs w:val="24"/>
              </w:rPr>
              <w:t>Vadovau</w:t>
            </w:r>
            <w:r w:rsidR="000E32CC">
              <w:rPr>
                <w:szCs w:val="24"/>
              </w:rPr>
              <w:t>damasi</w:t>
            </w:r>
            <w:r w:rsidRPr="00FC4124">
              <w:rPr>
                <w:szCs w:val="24"/>
              </w:rPr>
              <w:t xml:space="preserve"> VSF, SVVP reglamentų 11 straipsniu, EK skirs iki 75 proc. ES lėšų projektams įgyvendinti, valstybės narės turės prisidėti 25 proc. nacionaliniu indėliu. EK skirs iki 100 proc. ES lėšų speciali</w:t>
            </w:r>
            <w:r w:rsidR="00DA7503">
              <w:rPr>
                <w:szCs w:val="24"/>
              </w:rPr>
              <w:t>ai</w:t>
            </w:r>
            <w:r w:rsidRPr="00FC4124">
              <w:rPr>
                <w:szCs w:val="24"/>
              </w:rPr>
              <w:t xml:space="preserve"> tranzito program</w:t>
            </w:r>
            <w:r w:rsidR="00DA7503">
              <w:rPr>
                <w:szCs w:val="24"/>
              </w:rPr>
              <w:t>ai</w:t>
            </w:r>
            <w:r w:rsidRPr="00FC4124">
              <w:rPr>
                <w:szCs w:val="24"/>
              </w:rPr>
              <w:t xml:space="preserve"> finansu</w:t>
            </w:r>
            <w:r w:rsidR="00DA7503">
              <w:rPr>
                <w:szCs w:val="24"/>
              </w:rPr>
              <w:t>ot</w:t>
            </w:r>
            <w:r w:rsidRPr="00FC4124">
              <w:rPr>
                <w:szCs w:val="24"/>
              </w:rPr>
              <w:t>i.</w:t>
            </w:r>
          </w:p>
          <w:p w:rsidR="00E45DDB" w:rsidRPr="00DA7503" w:rsidRDefault="00FC4124" w:rsidP="00C51311">
            <w:pPr>
              <w:jc w:val="both"/>
              <w:rPr>
                <w:szCs w:val="24"/>
              </w:rPr>
            </w:pPr>
            <w:r w:rsidRPr="00FC4124">
              <w:rPr>
                <w:szCs w:val="24"/>
              </w:rPr>
              <w:t>Nuo ES dalies 6 proc. lėšų skiriama valstybių narių techninei paramai.</w:t>
            </w:r>
          </w:p>
        </w:tc>
      </w:tr>
    </w:tbl>
    <w:p w:rsidR="00292063" w:rsidRPr="00DA7503" w:rsidRDefault="00292063" w:rsidP="00FC234E">
      <w:pPr>
        <w:jc w:val="both"/>
        <w:rPr>
          <w:i/>
          <w:szCs w:val="24"/>
        </w:rPr>
      </w:pPr>
    </w:p>
    <w:p w:rsidR="0007449F" w:rsidRPr="00DA7503" w:rsidRDefault="0007449F" w:rsidP="0007449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7655"/>
      </w:tblGrid>
      <w:tr w:rsidR="0007449F" w:rsidRPr="00DA7503" w:rsidTr="00FC234E">
        <w:tc>
          <w:tcPr>
            <w:tcW w:w="1951" w:type="dxa"/>
            <w:tcBorders>
              <w:top w:val="nil"/>
              <w:left w:val="nil"/>
              <w:bottom w:val="nil"/>
              <w:right w:val="nil"/>
            </w:tcBorders>
            <w:shd w:val="clear" w:color="auto" w:fill="auto"/>
          </w:tcPr>
          <w:p w:rsidR="0007449F" w:rsidRPr="00A84F27" w:rsidRDefault="0007449F" w:rsidP="006B0B84">
            <w:pPr>
              <w:rPr>
                <w:b/>
                <w:bCs/>
                <w:szCs w:val="24"/>
              </w:rPr>
            </w:pPr>
            <w:r w:rsidRPr="00DA7503">
              <w:rPr>
                <w:b/>
                <w:bCs/>
                <w:szCs w:val="24"/>
              </w:rPr>
              <w:lastRenderedPageBreak/>
              <w:t>Poveikis administracinei naštai</w:t>
            </w:r>
          </w:p>
          <w:p w:rsidR="0007449F" w:rsidRPr="00DA7503" w:rsidRDefault="0007449F" w:rsidP="00443E62">
            <w:pPr>
              <w:rPr>
                <w:szCs w:val="24"/>
              </w:rPr>
            </w:pPr>
          </w:p>
        </w:tc>
        <w:tc>
          <w:tcPr>
            <w:tcW w:w="7655" w:type="dxa"/>
            <w:tcBorders>
              <w:top w:val="nil"/>
              <w:left w:val="nil"/>
              <w:bottom w:val="nil"/>
              <w:right w:val="nil"/>
            </w:tcBorders>
            <w:shd w:val="clear" w:color="auto" w:fill="auto"/>
            <w:hideMark/>
          </w:tcPr>
          <w:p w:rsidR="00E45DDB" w:rsidRPr="00DA7503" w:rsidRDefault="00FC4124" w:rsidP="0056522E">
            <w:pPr>
              <w:jc w:val="both"/>
              <w:rPr>
                <w:szCs w:val="24"/>
              </w:rPr>
            </w:pPr>
            <w:r w:rsidRPr="00FC4124">
              <w:rPr>
                <w:szCs w:val="24"/>
              </w:rPr>
              <w:t>Administracinė našta mažinama. Poveikis piliečių, kitų asmenų, valstybės ir savivaldybių institucijų bei įstaigų administracinei naštai nenumatomas.</w:t>
            </w:r>
          </w:p>
          <w:p w:rsidR="00E45DDB" w:rsidRPr="00DA7503" w:rsidRDefault="00FC4124" w:rsidP="0056522E">
            <w:pPr>
              <w:jc w:val="both"/>
              <w:rPr>
                <w:szCs w:val="24"/>
              </w:rPr>
            </w:pPr>
            <w:r w:rsidRPr="00FC4124">
              <w:rPr>
                <w:szCs w:val="24"/>
              </w:rPr>
              <w:t>Bendrųjų nuostatų reglamentu bus užtikrintas SVVP ir VSF programų valdymo ir kontrolės supaprastinimas, kiek įmanoma taikant bendras programų įgyvendinimo taisykles. Be to, valstybės narės skatinamos dar labiau naudoti supaprastintą išlaidų apmokėjimą. Siekiant sumažinti administracinę naštą, audito metodas bus supaprastintas, kad dėmesys būtų labiau telkiamas į rizika pagrįstą audito imties sudarymą ir būtų laikomasi vieno audito principo.</w:t>
            </w:r>
          </w:p>
        </w:tc>
      </w:tr>
    </w:tbl>
    <w:p w:rsidR="0007449F" w:rsidRPr="00DA7503" w:rsidRDefault="00FC4124" w:rsidP="0007449F">
      <w:pPr>
        <w:spacing w:before="120"/>
        <w:rPr>
          <w:i/>
          <w:iCs/>
          <w:szCs w:val="24"/>
        </w:rPr>
      </w:pPr>
      <w:r w:rsidRPr="00FC4124">
        <w:rPr>
          <w:i/>
          <w:iCs/>
          <w:szCs w:val="24"/>
        </w:rPr>
        <w:t>Gali būti nurodomas projekto poveikis kitais pagal projekto pobūdį aktualiais poveikio vertinimo aspektais.</w:t>
      </w:r>
    </w:p>
    <w:p w:rsidR="0007449F" w:rsidRPr="00DA7503" w:rsidRDefault="0007449F" w:rsidP="0007449F">
      <w:pPr>
        <w:rPr>
          <w:i/>
          <w:iCs/>
          <w:szCs w:val="24"/>
        </w:rPr>
      </w:pPr>
    </w:p>
    <w:tbl>
      <w:tblPr>
        <w:tblW w:w="0" w:type="auto"/>
        <w:tblLook w:val="00A0"/>
      </w:tblPr>
      <w:tblGrid>
        <w:gridCol w:w="9889"/>
      </w:tblGrid>
      <w:tr w:rsidR="0007449F" w:rsidRPr="00DA7503" w:rsidTr="006B0B84">
        <w:trPr>
          <w:trHeight w:val="396"/>
        </w:trPr>
        <w:tc>
          <w:tcPr>
            <w:tcW w:w="9889" w:type="dxa"/>
            <w:vMerge w:val="restart"/>
            <w:shd w:val="clear" w:color="auto" w:fill="auto"/>
            <w:hideMark/>
          </w:tcPr>
          <w:p w:rsidR="0007449F" w:rsidRPr="00DA7503" w:rsidRDefault="00FC4124" w:rsidP="00443E62">
            <w:pPr>
              <w:rPr>
                <w:b/>
                <w:szCs w:val="24"/>
              </w:rPr>
            </w:pPr>
            <w:r w:rsidRPr="00FC4124">
              <w:rPr>
                <w:b/>
                <w:szCs w:val="24"/>
              </w:rPr>
              <w:t>Kita svarbi informacija</w:t>
            </w:r>
          </w:p>
          <w:p w:rsidR="00B30214" w:rsidRPr="00DA7503" w:rsidRDefault="00FC4124" w:rsidP="00443E62">
            <w:pPr>
              <w:jc w:val="both"/>
              <w:rPr>
                <w:b/>
                <w:szCs w:val="24"/>
              </w:rPr>
            </w:pPr>
            <w:r w:rsidRPr="00FC4124">
              <w:rPr>
                <w:szCs w:val="24"/>
              </w:rPr>
              <w:t>Neteikiama</w:t>
            </w:r>
          </w:p>
        </w:tc>
      </w:tr>
      <w:tr w:rsidR="0007449F" w:rsidRPr="00DA7503" w:rsidTr="006B0B84">
        <w:trPr>
          <w:trHeight w:val="517"/>
        </w:trPr>
        <w:tc>
          <w:tcPr>
            <w:tcW w:w="9889" w:type="dxa"/>
            <w:vMerge/>
            <w:shd w:val="clear" w:color="auto" w:fill="auto"/>
            <w:vAlign w:val="center"/>
            <w:hideMark/>
          </w:tcPr>
          <w:p w:rsidR="0007449F" w:rsidRPr="00DA7503" w:rsidRDefault="0007449F" w:rsidP="00443E62">
            <w:pPr>
              <w:rPr>
                <w:b/>
                <w:sz w:val="22"/>
                <w:szCs w:val="24"/>
              </w:rPr>
            </w:pPr>
          </w:p>
        </w:tc>
      </w:tr>
      <w:tr w:rsidR="0007449F" w:rsidRPr="00DA7503" w:rsidTr="006B0B84">
        <w:trPr>
          <w:trHeight w:val="517"/>
        </w:trPr>
        <w:tc>
          <w:tcPr>
            <w:tcW w:w="9889" w:type="dxa"/>
            <w:vMerge/>
            <w:shd w:val="clear" w:color="auto" w:fill="auto"/>
            <w:vAlign w:val="center"/>
            <w:hideMark/>
          </w:tcPr>
          <w:p w:rsidR="0007449F" w:rsidRPr="00DA7503" w:rsidRDefault="0007449F" w:rsidP="00443E62">
            <w:pPr>
              <w:rPr>
                <w:b/>
                <w:sz w:val="22"/>
                <w:szCs w:val="24"/>
              </w:rPr>
            </w:pPr>
          </w:p>
        </w:tc>
      </w:tr>
    </w:tbl>
    <w:p w:rsidR="0007449F" w:rsidRPr="00DA7503" w:rsidRDefault="0007449F" w:rsidP="0007449F">
      <w:pPr>
        <w:spacing w:before="120" w:after="120"/>
        <w:rPr>
          <w:sz w:val="22"/>
          <w:szCs w:val="22"/>
        </w:rPr>
      </w:pPr>
      <w:r w:rsidRPr="00DA7503">
        <w:rPr>
          <w:sz w:val="22"/>
          <w:szCs w:val="22"/>
        </w:rPr>
        <w:t>* Jeigu buvo atlikta siūlomo projekto sąnaudų ir naudos ar sąnaudų efektyvumo analizė, nurodykite ir pateikite sąnaudų ir naudos ar sąnaudų efektyvumo analizės išvadas, pagrindžia</w:t>
      </w:r>
      <w:bookmarkStart w:id="0" w:name="_GoBack"/>
      <w:bookmarkEnd w:id="0"/>
      <w:r w:rsidRPr="00DA7503">
        <w:rPr>
          <w:sz w:val="22"/>
          <w:szCs w:val="22"/>
        </w:rPr>
        <w:t>nčias siūlomą projektą.</w:t>
      </w:r>
    </w:p>
    <w:p w:rsidR="0007449F" w:rsidRPr="00DA7503" w:rsidRDefault="00FC4124" w:rsidP="0007449F">
      <w:pPr>
        <w:pStyle w:val="ListParagraph1"/>
        <w:ind w:left="0"/>
        <w:contextualSpacing/>
        <w:jc w:val="both"/>
        <w:rPr>
          <w:b/>
          <w:szCs w:val="24"/>
        </w:rPr>
      </w:pPr>
      <w:r w:rsidRPr="00FC4124">
        <w:rPr>
          <w:b/>
          <w:szCs w:val="24"/>
        </w:rPr>
        <w:t>Informacija apie asmenį ir instituciją, atsakingą už poveikio vertinimą</w:t>
      </w:r>
    </w:p>
    <w:p w:rsidR="0007449F" w:rsidRPr="00DA7503" w:rsidRDefault="0007449F" w:rsidP="0007449F">
      <w:pPr>
        <w:pStyle w:val="ListParagraph1"/>
        <w:jc w:val="both"/>
        <w:rPr>
          <w:b/>
          <w:szCs w:val="24"/>
        </w:rPr>
      </w:pPr>
    </w:p>
    <w:tbl>
      <w:tblPr>
        <w:tblW w:w="45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3"/>
        <w:gridCol w:w="6795"/>
      </w:tblGrid>
      <w:tr w:rsidR="0007449F" w:rsidRPr="00DA7503" w:rsidTr="0056522E">
        <w:tc>
          <w:tcPr>
            <w:tcW w:w="1564"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07449F" w:rsidRPr="00DA7503" w:rsidRDefault="00FC4124" w:rsidP="00443E62">
            <w:pPr>
              <w:pStyle w:val="ListParagraph1"/>
              <w:ind w:left="0"/>
              <w:rPr>
                <w:szCs w:val="24"/>
              </w:rPr>
            </w:pPr>
            <w:r w:rsidRPr="00FC4124">
              <w:rPr>
                <w:szCs w:val="24"/>
              </w:rPr>
              <w:t>Vardas ir pavardė</w:t>
            </w:r>
          </w:p>
        </w:tc>
        <w:tc>
          <w:tcPr>
            <w:tcW w:w="3436" w:type="pct"/>
            <w:tcBorders>
              <w:top w:val="single" w:sz="4" w:space="0" w:color="auto"/>
              <w:left w:val="single" w:sz="4" w:space="0" w:color="auto"/>
              <w:bottom w:val="single" w:sz="4" w:space="0" w:color="auto"/>
              <w:right w:val="single" w:sz="4" w:space="0" w:color="auto"/>
            </w:tcBorders>
            <w:tcMar>
              <w:top w:w="28" w:type="dxa"/>
              <w:bottom w:w="28" w:type="dxa"/>
            </w:tcMar>
          </w:tcPr>
          <w:p w:rsidR="0007449F" w:rsidRPr="00DA7503" w:rsidRDefault="00FC4124" w:rsidP="00C410D3">
            <w:pPr>
              <w:pStyle w:val="ListParagraph1"/>
              <w:ind w:left="0"/>
              <w:rPr>
                <w:szCs w:val="24"/>
              </w:rPr>
            </w:pPr>
            <w:r w:rsidRPr="00FC4124">
              <w:rPr>
                <w:szCs w:val="24"/>
              </w:rPr>
              <w:t>Violeta Plotnikovienė</w:t>
            </w:r>
          </w:p>
        </w:tc>
      </w:tr>
      <w:tr w:rsidR="0007449F" w:rsidRPr="00DA7503" w:rsidTr="0056522E">
        <w:tc>
          <w:tcPr>
            <w:tcW w:w="1564"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07449F" w:rsidRPr="00DA7503" w:rsidRDefault="00FC4124" w:rsidP="00443E62">
            <w:pPr>
              <w:pStyle w:val="ListParagraph1"/>
              <w:ind w:left="0"/>
              <w:rPr>
                <w:b/>
                <w:szCs w:val="24"/>
              </w:rPr>
            </w:pPr>
            <w:r w:rsidRPr="00FC4124">
              <w:rPr>
                <w:szCs w:val="24"/>
              </w:rPr>
              <w:t>Pareigos</w:t>
            </w:r>
          </w:p>
        </w:tc>
        <w:tc>
          <w:tcPr>
            <w:tcW w:w="3436" w:type="pct"/>
            <w:tcBorders>
              <w:top w:val="single" w:sz="4" w:space="0" w:color="auto"/>
              <w:left w:val="single" w:sz="4" w:space="0" w:color="auto"/>
              <w:bottom w:val="single" w:sz="4" w:space="0" w:color="auto"/>
              <w:right w:val="single" w:sz="4" w:space="0" w:color="auto"/>
            </w:tcBorders>
            <w:tcMar>
              <w:top w:w="28" w:type="dxa"/>
              <w:bottom w:w="28" w:type="dxa"/>
            </w:tcMar>
          </w:tcPr>
          <w:p w:rsidR="0007449F" w:rsidRPr="00DA7503" w:rsidRDefault="00FC4124" w:rsidP="00C410D3">
            <w:pPr>
              <w:pStyle w:val="ListParagraph1"/>
              <w:ind w:left="0"/>
              <w:rPr>
                <w:bCs/>
                <w:szCs w:val="24"/>
              </w:rPr>
            </w:pPr>
            <w:r w:rsidRPr="00FC4124">
              <w:rPr>
                <w:bCs/>
                <w:szCs w:val="24"/>
              </w:rPr>
              <w:t xml:space="preserve">Patarėja </w:t>
            </w:r>
          </w:p>
        </w:tc>
      </w:tr>
      <w:tr w:rsidR="0007449F" w:rsidRPr="00DA7503" w:rsidTr="0056522E">
        <w:tc>
          <w:tcPr>
            <w:tcW w:w="1564"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07449F" w:rsidRPr="00DA7503" w:rsidRDefault="00FC4124" w:rsidP="00443E62">
            <w:pPr>
              <w:pStyle w:val="ListParagraph1"/>
              <w:ind w:left="0"/>
              <w:rPr>
                <w:b/>
                <w:szCs w:val="24"/>
              </w:rPr>
            </w:pPr>
            <w:r w:rsidRPr="00FC4124">
              <w:rPr>
                <w:szCs w:val="24"/>
              </w:rPr>
              <w:t>Institucija (padalinys)</w:t>
            </w:r>
          </w:p>
        </w:tc>
        <w:tc>
          <w:tcPr>
            <w:tcW w:w="3436" w:type="pct"/>
            <w:tcBorders>
              <w:top w:val="single" w:sz="4" w:space="0" w:color="auto"/>
              <w:left w:val="single" w:sz="4" w:space="0" w:color="auto"/>
              <w:bottom w:val="single" w:sz="4" w:space="0" w:color="auto"/>
              <w:right w:val="single" w:sz="4" w:space="0" w:color="auto"/>
            </w:tcBorders>
            <w:tcMar>
              <w:top w:w="28" w:type="dxa"/>
              <w:bottom w:w="28" w:type="dxa"/>
            </w:tcMar>
          </w:tcPr>
          <w:p w:rsidR="0007449F" w:rsidRPr="00DA7503" w:rsidRDefault="00FC4124" w:rsidP="00C410D3">
            <w:pPr>
              <w:pStyle w:val="ListParagraph1"/>
              <w:ind w:left="0"/>
              <w:rPr>
                <w:bCs/>
                <w:szCs w:val="24"/>
              </w:rPr>
            </w:pPr>
            <w:r w:rsidRPr="00FC4124">
              <w:rPr>
                <w:bCs/>
                <w:szCs w:val="24"/>
              </w:rPr>
              <w:t xml:space="preserve">VRM Regioninės politikos departamento Vidaus saugumo fondo skyrius </w:t>
            </w:r>
          </w:p>
        </w:tc>
      </w:tr>
      <w:tr w:rsidR="0007449F" w:rsidRPr="00DA7503" w:rsidTr="0056522E">
        <w:tc>
          <w:tcPr>
            <w:tcW w:w="1564"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07449F" w:rsidRPr="00DA7503" w:rsidRDefault="00FC4124" w:rsidP="00443E62">
            <w:pPr>
              <w:pStyle w:val="ListParagraph1"/>
              <w:ind w:left="0"/>
              <w:rPr>
                <w:szCs w:val="24"/>
              </w:rPr>
            </w:pPr>
            <w:r w:rsidRPr="00FC4124">
              <w:rPr>
                <w:szCs w:val="24"/>
              </w:rPr>
              <w:t>Telefono numeris ir elektroninio pašto adresas</w:t>
            </w:r>
          </w:p>
        </w:tc>
        <w:tc>
          <w:tcPr>
            <w:tcW w:w="3436" w:type="pct"/>
            <w:tcBorders>
              <w:top w:val="single" w:sz="4" w:space="0" w:color="auto"/>
              <w:left w:val="single" w:sz="4" w:space="0" w:color="auto"/>
              <w:bottom w:val="single" w:sz="4" w:space="0" w:color="auto"/>
              <w:right w:val="single" w:sz="4" w:space="0" w:color="auto"/>
            </w:tcBorders>
            <w:tcMar>
              <w:top w:w="28" w:type="dxa"/>
              <w:bottom w:w="28" w:type="dxa"/>
            </w:tcMar>
          </w:tcPr>
          <w:p w:rsidR="00C410D3" w:rsidRPr="00DA7503" w:rsidRDefault="00FC4124" w:rsidP="00C410D3">
            <w:pPr>
              <w:pStyle w:val="ListParagraph1"/>
              <w:ind w:left="0"/>
              <w:rPr>
                <w:szCs w:val="24"/>
              </w:rPr>
            </w:pPr>
            <w:r w:rsidRPr="00FC4124">
              <w:rPr>
                <w:szCs w:val="24"/>
              </w:rPr>
              <w:t xml:space="preserve">tel. (8 5) 271 8560 </w:t>
            </w:r>
          </w:p>
          <w:p w:rsidR="0007449F" w:rsidRPr="00DA7503" w:rsidRDefault="00FC4124" w:rsidP="00C410D3">
            <w:pPr>
              <w:pStyle w:val="ListParagraph1"/>
              <w:ind w:left="0"/>
              <w:rPr>
                <w:bCs/>
                <w:szCs w:val="24"/>
              </w:rPr>
            </w:pPr>
            <w:r w:rsidRPr="00FC4124">
              <w:rPr>
                <w:szCs w:val="24"/>
              </w:rPr>
              <w:t>el. p. violeta.plotnikoviene@vrm.lt</w:t>
            </w:r>
          </w:p>
        </w:tc>
      </w:tr>
    </w:tbl>
    <w:p w:rsidR="0007449F" w:rsidRPr="00DA7503" w:rsidRDefault="0007449F" w:rsidP="0007449F">
      <w:pPr>
        <w:jc w:val="both"/>
        <w:rPr>
          <w:szCs w:val="24"/>
        </w:rPr>
      </w:pPr>
    </w:p>
    <w:p w:rsidR="0007449F" w:rsidRPr="00DA7503" w:rsidRDefault="00FC4124" w:rsidP="0007449F">
      <w:pPr>
        <w:pStyle w:val="Header"/>
        <w:tabs>
          <w:tab w:val="clear" w:pos="4153"/>
          <w:tab w:val="clear" w:pos="8306"/>
          <w:tab w:val="left" w:pos="6237"/>
        </w:tabs>
        <w:jc w:val="center"/>
        <w:rPr>
          <w:szCs w:val="24"/>
        </w:rPr>
      </w:pPr>
      <w:r w:rsidRPr="00FC4124">
        <w:rPr>
          <w:szCs w:val="24"/>
        </w:rPr>
        <w:t>__________________</w:t>
      </w:r>
    </w:p>
    <w:p w:rsidR="0007449F" w:rsidRPr="00DA7503" w:rsidRDefault="0007449F" w:rsidP="0007449F">
      <w:pPr>
        <w:pStyle w:val="Header"/>
        <w:tabs>
          <w:tab w:val="clear" w:pos="4153"/>
          <w:tab w:val="clear" w:pos="8306"/>
          <w:tab w:val="left" w:pos="6237"/>
        </w:tabs>
        <w:jc w:val="center"/>
        <w:rPr>
          <w:szCs w:val="24"/>
        </w:rPr>
      </w:pPr>
    </w:p>
    <w:sectPr w:rsidR="0007449F" w:rsidRPr="00DA7503" w:rsidSect="00FC234E">
      <w:pgSz w:w="12240" w:h="15840"/>
      <w:pgMar w:top="170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2A9" w:rsidRDefault="007242A9" w:rsidP="007A3C8D">
      <w:r>
        <w:separator/>
      </w:r>
    </w:p>
  </w:endnote>
  <w:endnote w:type="continuationSeparator" w:id="0">
    <w:p w:rsidR="007242A9" w:rsidRDefault="007242A9" w:rsidP="007A3C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2A9" w:rsidRDefault="007242A9" w:rsidP="007A3C8D">
      <w:r>
        <w:separator/>
      </w:r>
    </w:p>
  </w:footnote>
  <w:footnote w:type="continuationSeparator" w:id="0">
    <w:p w:rsidR="007242A9" w:rsidRDefault="007242A9" w:rsidP="007A3C8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jana Puzinienė">
    <w15:presenceInfo w15:providerId="AD" w15:userId="S-1-5-21-4209697224-3871758227-447121003-23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trackRevisions/>
  <w:defaultTabStop w:val="720"/>
  <w:hyphenationZone w:val="396"/>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DM2NzGwMDc2sjQ1NrNU0lEKTi0uzszPAykwtKwFAJbogH8tAAAA"/>
  </w:docVars>
  <w:rsids>
    <w:rsidRoot w:val="0007449F"/>
    <w:rsid w:val="00024E9E"/>
    <w:rsid w:val="0003740B"/>
    <w:rsid w:val="00070550"/>
    <w:rsid w:val="0007449F"/>
    <w:rsid w:val="000E00E3"/>
    <w:rsid w:val="000E32CC"/>
    <w:rsid w:val="00136506"/>
    <w:rsid w:val="001A618D"/>
    <w:rsid w:val="00212D7A"/>
    <w:rsid w:val="00264EBD"/>
    <w:rsid w:val="00292063"/>
    <w:rsid w:val="002E7952"/>
    <w:rsid w:val="00310EC9"/>
    <w:rsid w:val="00376061"/>
    <w:rsid w:val="003A2AA0"/>
    <w:rsid w:val="003A2F05"/>
    <w:rsid w:val="003C03F9"/>
    <w:rsid w:val="003D6DCE"/>
    <w:rsid w:val="003F7B16"/>
    <w:rsid w:val="00442F68"/>
    <w:rsid w:val="004659F8"/>
    <w:rsid w:val="00471E73"/>
    <w:rsid w:val="00492978"/>
    <w:rsid w:val="00501A08"/>
    <w:rsid w:val="00531976"/>
    <w:rsid w:val="005412C5"/>
    <w:rsid w:val="00542925"/>
    <w:rsid w:val="0054297A"/>
    <w:rsid w:val="0056522E"/>
    <w:rsid w:val="00592A27"/>
    <w:rsid w:val="005A5685"/>
    <w:rsid w:val="005F39D1"/>
    <w:rsid w:val="005F7C94"/>
    <w:rsid w:val="006120DE"/>
    <w:rsid w:val="006615F9"/>
    <w:rsid w:val="006633B0"/>
    <w:rsid w:val="006B0B84"/>
    <w:rsid w:val="006E44C5"/>
    <w:rsid w:val="007242A9"/>
    <w:rsid w:val="00730916"/>
    <w:rsid w:val="00786C27"/>
    <w:rsid w:val="007977C5"/>
    <w:rsid w:val="007A3C8D"/>
    <w:rsid w:val="007B1FEE"/>
    <w:rsid w:val="007D1DC6"/>
    <w:rsid w:val="007D78CA"/>
    <w:rsid w:val="0081465D"/>
    <w:rsid w:val="00841096"/>
    <w:rsid w:val="00863483"/>
    <w:rsid w:val="0087539E"/>
    <w:rsid w:val="008978AB"/>
    <w:rsid w:val="008B2B64"/>
    <w:rsid w:val="008B308E"/>
    <w:rsid w:val="009026EB"/>
    <w:rsid w:val="00912614"/>
    <w:rsid w:val="00994645"/>
    <w:rsid w:val="009F445A"/>
    <w:rsid w:val="00A44197"/>
    <w:rsid w:val="00A562C1"/>
    <w:rsid w:val="00A84F27"/>
    <w:rsid w:val="00B154EC"/>
    <w:rsid w:val="00B30214"/>
    <w:rsid w:val="00B37442"/>
    <w:rsid w:val="00B93754"/>
    <w:rsid w:val="00BB140F"/>
    <w:rsid w:val="00BB5A4D"/>
    <w:rsid w:val="00BC0C18"/>
    <w:rsid w:val="00BF7282"/>
    <w:rsid w:val="00C00A6A"/>
    <w:rsid w:val="00C410D3"/>
    <w:rsid w:val="00C51311"/>
    <w:rsid w:val="00C92D84"/>
    <w:rsid w:val="00D0325F"/>
    <w:rsid w:val="00D21345"/>
    <w:rsid w:val="00D218EA"/>
    <w:rsid w:val="00DA7503"/>
    <w:rsid w:val="00DE602F"/>
    <w:rsid w:val="00E25CAD"/>
    <w:rsid w:val="00E36C27"/>
    <w:rsid w:val="00E407A0"/>
    <w:rsid w:val="00E45DDB"/>
    <w:rsid w:val="00E835BF"/>
    <w:rsid w:val="00E83AE7"/>
    <w:rsid w:val="00EA25FC"/>
    <w:rsid w:val="00EE2CAC"/>
    <w:rsid w:val="00EF55C0"/>
    <w:rsid w:val="00F05A0D"/>
    <w:rsid w:val="00F24E53"/>
    <w:rsid w:val="00F452B8"/>
    <w:rsid w:val="00F9731B"/>
    <w:rsid w:val="00FA19DE"/>
    <w:rsid w:val="00FB16C9"/>
    <w:rsid w:val="00FC234E"/>
    <w:rsid w:val="00FC4124"/>
    <w:rsid w:val="00FF22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9F"/>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07449F"/>
    <w:pPr>
      <w:tabs>
        <w:tab w:val="center" w:pos="4153"/>
        <w:tab w:val="right" w:pos="8306"/>
      </w:tabs>
    </w:pPr>
  </w:style>
  <w:style w:type="character" w:customStyle="1" w:styleId="HeaderChar">
    <w:name w:val="Header Char"/>
    <w:aliases w:val="Char Char,Diagrama Char"/>
    <w:basedOn w:val="DefaultParagraphFont"/>
    <w:link w:val="Header"/>
    <w:uiPriority w:val="99"/>
    <w:rsid w:val="0007449F"/>
    <w:rPr>
      <w:rFonts w:ascii="Times New Roman" w:eastAsia="Times New Roman" w:hAnsi="Times New Roman" w:cs="Times New Roman"/>
      <w:sz w:val="24"/>
      <w:szCs w:val="20"/>
      <w:lang w:val="lt-LT"/>
    </w:rPr>
  </w:style>
  <w:style w:type="paragraph" w:styleId="BodyTextIndent">
    <w:name w:val="Body Text Indent"/>
    <w:basedOn w:val="Normal"/>
    <w:link w:val="BodyTextIndentChar"/>
    <w:rsid w:val="0007449F"/>
    <w:pPr>
      <w:spacing w:before="120"/>
      <w:ind w:left="4536"/>
      <w:jc w:val="center"/>
    </w:pPr>
  </w:style>
  <w:style w:type="character" w:customStyle="1" w:styleId="BodyTextIndentChar">
    <w:name w:val="Body Text Indent Char"/>
    <w:basedOn w:val="DefaultParagraphFont"/>
    <w:link w:val="BodyTextIndent"/>
    <w:rsid w:val="0007449F"/>
    <w:rPr>
      <w:rFonts w:ascii="Times New Roman" w:eastAsia="Times New Roman" w:hAnsi="Times New Roman" w:cs="Times New Roman"/>
      <w:sz w:val="24"/>
      <w:szCs w:val="20"/>
      <w:lang w:val="lt-LT"/>
    </w:rPr>
  </w:style>
  <w:style w:type="paragraph" w:customStyle="1" w:styleId="ListParagraph1">
    <w:name w:val="List Paragraph1"/>
    <w:basedOn w:val="Normal"/>
    <w:qFormat/>
    <w:rsid w:val="0007449F"/>
    <w:pPr>
      <w:ind w:left="1296"/>
    </w:pPr>
  </w:style>
  <w:style w:type="paragraph" w:styleId="BalloonText">
    <w:name w:val="Balloon Text"/>
    <w:basedOn w:val="Normal"/>
    <w:link w:val="BalloonTextChar"/>
    <w:uiPriority w:val="99"/>
    <w:semiHidden/>
    <w:unhideWhenUsed/>
    <w:rsid w:val="00E25CAD"/>
    <w:rPr>
      <w:rFonts w:ascii="Tahoma" w:hAnsi="Tahoma" w:cs="Tahoma"/>
      <w:sz w:val="16"/>
      <w:szCs w:val="16"/>
    </w:rPr>
  </w:style>
  <w:style w:type="character" w:customStyle="1" w:styleId="BalloonTextChar">
    <w:name w:val="Balloon Text Char"/>
    <w:basedOn w:val="DefaultParagraphFont"/>
    <w:link w:val="BalloonText"/>
    <w:uiPriority w:val="99"/>
    <w:semiHidden/>
    <w:rsid w:val="00E25CAD"/>
    <w:rPr>
      <w:rFonts w:ascii="Tahoma" w:eastAsia="Times New Roman" w:hAnsi="Tahoma" w:cs="Tahoma"/>
      <w:sz w:val="16"/>
      <w:szCs w:val="16"/>
      <w:lang w:val="lt-LT"/>
    </w:rPr>
  </w:style>
  <w:style w:type="paragraph" w:styleId="ListParagraph">
    <w:name w:val="List Paragraph"/>
    <w:basedOn w:val="Normal"/>
    <w:uiPriority w:val="34"/>
    <w:qFormat/>
    <w:rsid w:val="00E25CAD"/>
    <w:pPr>
      <w:ind w:left="720"/>
      <w:contextualSpacing/>
    </w:pPr>
  </w:style>
  <w:style w:type="character" w:styleId="CommentReference">
    <w:name w:val="annotation reference"/>
    <w:basedOn w:val="DefaultParagraphFont"/>
    <w:uiPriority w:val="99"/>
    <w:semiHidden/>
    <w:unhideWhenUsed/>
    <w:rsid w:val="0081465D"/>
    <w:rPr>
      <w:sz w:val="16"/>
      <w:szCs w:val="16"/>
    </w:rPr>
  </w:style>
  <w:style w:type="paragraph" w:styleId="CommentText">
    <w:name w:val="annotation text"/>
    <w:basedOn w:val="Normal"/>
    <w:link w:val="CommentTextChar"/>
    <w:uiPriority w:val="99"/>
    <w:semiHidden/>
    <w:unhideWhenUsed/>
    <w:rsid w:val="0081465D"/>
    <w:rPr>
      <w:sz w:val="20"/>
    </w:rPr>
  </w:style>
  <w:style w:type="character" w:customStyle="1" w:styleId="CommentTextChar">
    <w:name w:val="Comment Text Char"/>
    <w:basedOn w:val="DefaultParagraphFont"/>
    <w:link w:val="CommentText"/>
    <w:uiPriority w:val="99"/>
    <w:semiHidden/>
    <w:rsid w:val="0081465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81465D"/>
    <w:rPr>
      <w:b/>
      <w:bCs/>
    </w:rPr>
  </w:style>
  <w:style w:type="character" w:customStyle="1" w:styleId="CommentSubjectChar">
    <w:name w:val="Comment Subject Char"/>
    <w:basedOn w:val="CommentTextChar"/>
    <w:link w:val="CommentSubject"/>
    <w:uiPriority w:val="99"/>
    <w:semiHidden/>
    <w:rsid w:val="0081465D"/>
    <w:rPr>
      <w:rFonts w:ascii="Times New Roman" w:eastAsia="Times New Roman" w:hAnsi="Times New Roman" w:cs="Times New Roman"/>
      <w:b/>
      <w:bCs/>
      <w:sz w:val="20"/>
      <w:szCs w:val="20"/>
      <w:lang w:val="lt-LT"/>
    </w:rPr>
  </w:style>
  <w:style w:type="paragraph" w:styleId="FootnoteText">
    <w:name w:val="footnote text"/>
    <w:basedOn w:val="Normal"/>
    <w:link w:val="FootnoteTextChar"/>
    <w:uiPriority w:val="99"/>
    <w:semiHidden/>
    <w:unhideWhenUsed/>
    <w:rsid w:val="007A3C8D"/>
    <w:rPr>
      <w:sz w:val="20"/>
    </w:rPr>
  </w:style>
  <w:style w:type="character" w:customStyle="1" w:styleId="FootnoteTextChar">
    <w:name w:val="Footnote Text Char"/>
    <w:basedOn w:val="DefaultParagraphFont"/>
    <w:link w:val="FootnoteText"/>
    <w:uiPriority w:val="99"/>
    <w:semiHidden/>
    <w:rsid w:val="007A3C8D"/>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7A3C8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66978-EFAE-427C-BFAD-7F60D500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1468</Words>
  <Characters>8369</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Plotnikovienė</dc:creator>
  <cp:lastModifiedBy>Violeta Plotnikovienė</cp:lastModifiedBy>
  <cp:revision>5</cp:revision>
  <dcterms:created xsi:type="dcterms:W3CDTF">2020-02-03T07:40:00Z</dcterms:created>
  <dcterms:modified xsi:type="dcterms:W3CDTF">2020-02-03T11:20:00Z</dcterms:modified>
</cp:coreProperties>
</file>