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180" w:rsidRPr="000523E7" w:rsidRDefault="00DF7180" w:rsidP="00FE1962">
      <w:pPr>
        <w:pStyle w:val="Antrat1"/>
        <w:jc w:val="both"/>
      </w:pPr>
      <w:bookmarkStart w:id="0" w:name="_GoBack"/>
      <w:bookmarkEnd w:id="0"/>
      <w:r w:rsidRPr="000523E7">
        <w:t xml:space="preserve">SOCIALINIŲ MOKSLINIŲ TYRIMŲ INSTITUTŲ (LIETUVOS SOCIALINIŲ TYRIMŲ CENTRO, LIETUVOS AGRARINĖS EKONOMIKOS INSTITUTO IR LIETUVOS TEISĖS INSTITUTO) LĖŠŲ REORGANIZACIJAI IR TYRIMŲ </w:t>
      </w:r>
      <w:r w:rsidRPr="002C69BF">
        <w:t>KOKYB</w:t>
      </w:r>
      <w:r w:rsidR="002C69BF">
        <w:t>EI</w:t>
      </w:r>
      <w:r w:rsidRPr="002C69BF">
        <w:t xml:space="preserve"> </w:t>
      </w:r>
      <w:r w:rsidRPr="00767393">
        <w:t>GERIN</w:t>
      </w:r>
      <w:r w:rsidR="002C69BF">
        <w:t>TI</w:t>
      </w:r>
      <w:r w:rsidRPr="000523E7">
        <w:t xml:space="preserve"> </w:t>
      </w:r>
      <w:r w:rsidR="00D059FC" w:rsidRPr="000523E7">
        <w:t>POREIKIS 2020</w:t>
      </w:r>
      <w:r w:rsidR="000523E7">
        <w:t>–</w:t>
      </w:r>
      <w:r w:rsidR="00D059FC" w:rsidRPr="000523E7">
        <w:t xml:space="preserve">2022 M. IR JO </w:t>
      </w:r>
      <w:r w:rsidRPr="000523E7">
        <w:t>PAGRINDIMAS</w:t>
      </w:r>
    </w:p>
    <w:p w:rsidR="00421A99" w:rsidRPr="000523E7" w:rsidRDefault="00421A99" w:rsidP="00FE1962">
      <w:pPr>
        <w:spacing w:line="240" w:lineRule="auto"/>
        <w:jc w:val="both"/>
        <w:rPr>
          <w:rFonts w:ascii="Times New Roman" w:hAnsi="Times New Roman" w:cs="Times New Roman"/>
          <w:sz w:val="24"/>
          <w:szCs w:val="24"/>
        </w:rPr>
      </w:pPr>
      <w:r w:rsidRPr="000523E7">
        <w:rPr>
          <w:rFonts w:ascii="Times New Roman" w:hAnsi="Times New Roman" w:cs="Times New Roman"/>
          <w:sz w:val="24"/>
          <w:szCs w:val="24"/>
        </w:rPr>
        <w:t xml:space="preserve">Lietuvos socialinių tyrimų </w:t>
      </w:r>
      <w:r w:rsidR="00DF7180" w:rsidRPr="000523E7">
        <w:rPr>
          <w:rFonts w:ascii="Times New Roman" w:hAnsi="Times New Roman" w:cs="Times New Roman"/>
          <w:sz w:val="24"/>
          <w:szCs w:val="24"/>
        </w:rPr>
        <w:t>centro</w:t>
      </w:r>
      <w:r w:rsidRPr="000523E7">
        <w:rPr>
          <w:rFonts w:ascii="Times New Roman" w:hAnsi="Times New Roman" w:cs="Times New Roman"/>
          <w:sz w:val="24"/>
          <w:szCs w:val="24"/>
        </w:rPr>
        <w:t>, Lietuvos agrarinės ekonomikos instituto ir Lietuvos</w:t>
      </w:r>
      <w:r w:rsidR="004E755E" w:rsidRPr="000523E7">
        <w:rPr>
          <w:rFonts w:ascii="Times New Roman" w:hAnsi="Times New Roman" w:cs="Times New Roman"/>
          <w:sz w:val="24"/>
          <w:szCs w:val="24"/>
        </w:rPr>
        <w:t xml:space="preserve"> </w:t>
      </w:r>
      <w:r w:rsidR="00AD0CDE" w:rsidRPr="000523E7">
        <w:rPr>
          <w:rFonts w:ascii="Times New Roman" w:hAnsi="Times New Roman" w:cs="Times New Roman"/>
          <w:sz w:val="24"/>
          <w:szCs w:val="24"/>
        </w:rPr>
        <w:t>teisės instituto</w:t>
      </w:r>
      <w:r w:rsidR="004E755E" w:rsidRPr="000523E7">
        <w:rPr>
          <w:rFonts w:ascii="Times New Roman" w:hAnsi="Times New Roman" w:cs="Times New Roman"/>
          <w:sz w:val="24"/>
          <w:szCs w:val="24"/>
        </w:rPr>
        <w:t xml:space="preserve"> reorganizavimu</w:t>
      </w:r>
      <w:r w:rsidRPr="000523E7">
        <w:rPr>
          <w:rFonts w:ascii="Times New Roman" w:hAnsi="Times New Roman" w:cs="Times New Roman"/>
          <w:sz w:val="24"/>
          <w:szCs w:val="24"/>
        </w:rPr>
        <w:t xml:space="preserve"> </w:t>
      </w:r>
      <w:r w:rsidR="000523E7">
        <w:rPr>
          <w:rFonts w:ascii="Times New Roman" w:hAnsi="Times New Roman" w:cs="Times New Roman"/>
          <w:sz w:val="24"/>
          <w:szCs w:val="24"/>
        </w:rPr>
        <w:t>su</w:t>
      </w:r>
      <w:r w:rsidRPr="000523E7">
        <w:rPr>
          <w:rFonts w:ascii="Times New Roman" w:hAnsi="Times New Roman" w:cs="Times New Roman"/>
          <w:sz w:val="24"/>
          <w:szCs w:val="24"/>
        </w:rPr>
        <w:t xml:space="preserve">jungimo būdu į </w:t>
      </w:r>
      <w:r w:rsidR="00A225C6" w:rsidRPr="000523E7">
        <w:rPr>
          <w:rFonts w:ascii="Times New Roman" w:hAnsi="Times New Roman" w:cs="Times New Roman"/>
          <w:sz w:val="24"/>
          <w:szCs w:val="24"/>
        </w:rPr>
        <w:t>Lietuvos s</w:t>
      </w:r>
      <w:r w:rsidRPr="000523E7">
        <w:rPr>
          <w:rFonts w:ascii="Times New Roman" w:hAnsi="Times New Roman" w:cs="Times New Roman"/>
          <w:sz w:val="24"/>
          <w:szCs w:val="24"/>
        </w:rPr>
        <w:t>ocialinių mokslų centrą yra siekiama – sutelkti socialinių mokslų srities mokslinį potencialą, pagerinti mokslinių tyrimų ir eksperimentinės plėtros (toliau – MTEP) veiklos kokybę, sustiprinti socialinių tyrimų tarptautiškumą, MTEP veiklos rezultatus susieti su parama vieš</w:t>
      </w:r>
      <w:r w:rsidR="000523E7">
        <w:rPr>
          <w:rFonts w:ascii="Times New Roman" w:hAnsi="Times New Roman" w:cs="Times New Roman"/>
          <w:sz w:val="24"/>
          <w:szCs w:val="24"/>
        </w:rPr>
        <w:t xml:space="preserve">osioms </w:t>
      </w:r>
      <w:r w:rsidRPr="000523E7">
        <w:rPr>
          <w:rFonts w:ascii="Times New Roman" w:hAnsi="Times New Roman" w:cs="Times New Roman"/>
          <w:sz w:val="24"/>
          <w:szCs w:val="24"/>
        </w:rPr>
        <w:t>politik</w:t>
      </w:r>
      <w:r w:rsidR="000523E7">
        <w:rPr>
          <w:rFonts w:ascii="Times New Roman" w:hAnsi="Times New Roman" w:cs="Times New Roman"/>
          <w:sz w:val="24"/>
          <w:szCs w:val="24"/>
        </w:rPr>
        <w:t>oms</w:t>
      </w:r>
      <w:r w:rsidRPr="000523E7">
        <w:rPr>
          <w:rFonts w:ascii="Times New Roman" w:hAnsi="Times New Roman" w:cs="Times New Roman"/>
          <w:sz w:val="24"/>
          <w:szCs w:val="24"/>
        </w:rPr>
        <w:t xml:space="preserve"> form</w:t>
      </w:r>
      <w:r w:rsidR="000523E7">
        <w:rPr>
          <w:rFonts w:ascii="Times New Roman" w:hAnsi="Times New Roman" w:cs="Times New Roman"/>
          <w:sz w:val="24"/>
          <w:szCs w:val="24"/>
        </w:rPr>
        <w:t>uoti</w:t>
      </w:r>
      <w:r w:rsidRPr="000523E7">
        <w:rPr>
          <w:rFonts w:ascii="Times New Roman" w:hAnsi="Times New Roman" w:cs="Times New Roman"/>
          <w:sz w:val="24"/>
          <w:szCs w:val="24"/>
        </w:rPr>
        <w:t xml:space="preserve"> i</w:t>
      </w:r>
      <w:r w:rsidR="00DF7180" w:rsidRPr="000523E7">
        <w:rPr>
          <w:rFonts w:ascii="Times New Roman" w:hAnsi="Times New Roman" w:cs="Times New Roman"/>
          <w:sz w:val="24"/>
          <w:szCs w:val="24"/>
        </w:rPr>
        <w:t xml:space="preserve">r viešojo valstybės sektoriaus </w:t>
      </w:r>
      <w:r w:rsidRPr="000523E7">
        <w:rPr>
          <w:rFonts w:ascii="Times New Roman" w:hAnsi="Times New Roman" w:cs="Times New Roman"/>
          <w:sz w:val="24"/>
          <w:szCs w:val="24"/>
        </w:rPr>
        <w:t>inovatyvum</w:t>
      </w:r>
      <w:r w:rsidR="000523E7">
        <w:rPr>
          <w:rFonts w:ascii="Times New Roman" w:hAnsi="Times New Roman" w:cs="Times New Roman"/>
          <w:sz w:val="24"/>
          <w:szCs w:val="24"/>
        </w:rPr>
        <w:t>ui</w:t>
      </w:r>
      <w:r w:rsidRPr="000523E7">
        <w:rPr>
          <w:rFonts w:ascii="Times New Roman" w:hAnsi="Times New Roman" w:cs="Times New Roman"/>
          <w:sz w:val="24"/>
          <w:szCs w:val="24"/>
        </w:rPr>
        <w:t xml:space="preserve"> stiprin</w:t>
      </w:r>
      <w:r w:rsidR="000523E7">
        <w:rPr>
          <w:rFonts w:ascii="Times New Roman" w:hAnsi="Times New Roman" w:cs="Times New Roman"/>
          <w:sz w:val="24"/>
          <w:szCs w:val="24"/>
        </w:rPr>
        <w:t>ti</w:t>
      </w:r>
      <w:r w:rsidRPr="000523E7">
        <w:rPr>
          <w:rFonts w:ascii="Times New Roman" w:hAnsi="Times New Roman" w:cs="Times New Roman"/>
          <w:sz w:val="24"/>
          <w:szCs w:val="24"/>
        </w:rPr>
        <w:t>.</w:t>
      </w:r>
    </w:p>
    <w:p w:rsidR="00D745FD" w:rsidRPr="000523E7" w:rsidRDefault="00CA6565" w:rsidP="00A361C1">
      <w:pPr>
        <w:spacing w:line="240" w:lineRule="auto"/>
        <w:rPr>
          <w:rFonts w:ascii="Times New Roman" w:hAnsi="Times New Roman" w:cs="Times New Roman"/>
          <w:sz w:val="24"/>
          <w:szCs w:val="24"/>
        </w:rPr>
      </w:pPr>
      <w:r w:rsidRPr="000523E7">
        <w:rPr>
          <w:rFonts w:ascii="Times New Roman" w:hAnsi="Times New Roman" w:cs="Times New Roman"/>
          <w:sz w:val="24"/>
          <w:szCs w:val="24"/>
        </w:rPr>
        <w:t>Reorganizacijos veiksmai apim</w:t>
      </w:r>
      <w:r w:rsidR="00D745FD" w:rsidRPr="000523E7">
        <w:rPr>
          <w:rFonts w:ascii="Times New Roman" w:hAnsi="Times New Roman" w:cs="Times New Roman"/>
          <w:sz w:val="24"/>
          <w:szCs w:val="24"/>
        </w:rPr>
        <w:t>s</w:t>
      </w:r>
      <w:r w:rsidRPr="000523E7">
        <w:rPr>
          <w:rFonts w:ascii="Times New Roman" w:hAnsi="Times New Roman" w:cs="Times New Roman"/>
          <w:sz w:val="24"/>
          <w:szCs w:val="24"/>
        </w:rPr>
        <w:t>:</w:t>
      </w:r>
    </w:p>
    <w:p w:rsidR="00D745FD" w:rsidRPr="000523E7" w:rsidRDefault="00CA6565" w:rsidP="00A361C1">
      <w:pPr>
        <w:pStyle w:val="Sraopastraipa"/>
        <w:numPr>
          <w:ilvl w:val="0"/>
          <w:numId w:val="3"/>
        </w:numPr>
        <w:spacing w:line="240" w:lineRule="auto"/>
        <w:rPr>
          <w:rFonts w:ascii="Times New Roman" w:hAnsi="Times New Roman" w:cs="Times New Roman"/>
          <w:sz w:val="24"/>
          <w:szCs w:val="24"/>
        </w:rPr>
      </w:pPr>
      <w:r w:rsidRPr="000523E7">
        <w:rPr>
          <w:rFonts w:ascii="Times New Roman" w:hAnsi="Times New Roman" w:cs="Times New Roman"/>
          <w:sz w:val="24"/>
          <w:szCs w:val="24"/>
        </w:rPr>
        <w:t>Žmogiškųjų išteklių optimizavimą;</w:t>
      </w:r>
    </w:p>
    <w:p w:rsidR="00D745FD" w:rsidRPr="000523E7" w:rsidRDefault="00CA6565" w:rsidP="00A361C1">
      <w:pPr>
        <w:pStyle w:val="Sraopastraipa"/>
        <w:numPr>
          <w:ilvl w:val="0"/>
          <w:numId w:val="3"/>
        </w:numPr>
        <w:spacing w:line="240" w:lineRule="auto"/>
        <w:rPr>
          <w:rFonts w:ascii="Times New Roman" w:hAnsi="Times New Roman" w:cs="Times New Roman"/>
          <w:sz w:val="24"/>
          <w:szCs w:val="24"/>
        </w:rPr>
      </w:pPr>
      <w:r w:rsidRPr="000523E7">
        <w:rPr>
          <w:rFonts w:ascii="Times New Roman" w:hAnsi="Times New Roman" w:cs="Times New Roman"/>
          <w:sz w:val="24"/>
          <w:szCs w:val="24"/>
        </w:rPr>
        <w:t xml:space="preserve">Infrastruktūros </w:t>
      </w:r>
      <w:r w:rsidR="006E26D9" w:rsidRPr="000523E7">
        <w:rPr>
          <w:rFonts w:ascii="Times New Roman" w:hAnsi="Times New Roman" w:cs="Times New Roman"/>
          <w:sz w:val="24"/>
          <w:szCs w:val="24"/>
        </w:rPr>
        <w:t>atnaujinimą;</w:t>
      </w:r>
    </w:p>
    <w:p w:rsidR="00CA6565" w:rsidRPr="000523E7" w:rsidRDefault="008F2CC8" w:rsidP="00A361C1">
      <w:pPr>
        <w:pStyle w:val="Sraopastraipa"/>
        <w:numPr>
          <w:ilvl w:val="0"/>
          <w:numId w:val="3"/>
        </w:numPr>
        <w:spacing w:line="240" w:lineRule="auto"/>
        <w:rPr>
          <w:rFonts w:ascii="Times New Roman" w:hAnsi="Times New Roman" w:cs="Times New Roman"/>
          <w:sz w:val="24"/>
          <w:szCs w:val="24"/>
        </w:rPr>
      </w:pPr>
      <w:r w:rsidRPr="000523E7">
        <w:rPr>
          <w:rFonts w:ascii="Times New Roman" w:hAnsi="Times New Roman" w:cs="Times New Roman"/>
          <w:sz w:val="24"/>
          <w:szCs w:val="24"/>
        </w:rPr>
        <w:t>Prielaidų t</w:t>
      </w:r>
      <w:r w:rsidR="00CA6565" w:rsidRPr="000523E7">
        <w:rPr>
          <w:rFonts w:ascii="Times New Roman" w:hAnsi="Times New Roman" w:cs="Times New Roman"/>
          <w:sz w:val="24"/>
          <w:szCs w:val="24"/>
        </w:rPr>
        <w:t xml:space="preserve">yrimų </w:t>
      </w:r>
      <w:r w:rsidR="006E26D9" w:rsidRPr="000523E7">
        <w:rPr>
          <w:rFonts w:ascii="Times New Roman" w:hAnsi="Times New Roman" w:cs="Times New Roman"/>
          <w:sz w:val="24"/>
          <w:szCs w:val="24"/>
        </w:rPr>
        <w:t xml:space="preserve">tarptautiškumui </w:t>
      </w:r>
      <w:r w:rsidR="002C69BF">
        <w:rPr>
          <w:rFonts w:ascii="Times New Roman" w:hAnsi="Times New Roman" w:cs="Times New Roman"/>
          <w:sz w:val="24"/>
          <w:szCs w:val="24"/>
        </w:rPr>
        <w:t xml:space="preserve">didinti </w:t>
      </w:r>
      <w:r w:rsidR="006E26D9" w:rsidRPr="000523E7">
        <w:rPr>
          <w:rFonts w:ascii="Times New Roman" w:hAnsi="Times New Roman" w:cs="Times New Roman"/>
          <w:sz w:val="24"/>
          <w:szCs w:val="24"/>
        </w:rPr>
        <w:t xml:space="preserve">ir </w:t>
      </w:r>
      <w:r w:rsidR="00CA6565" w:rsidRPr="000523E7">
        <w:rPr>
          <w:rFonts w:ascii="Times New Roman" w:hAnsi="Times New Roman" w:cs="Times New Roman"/>
          <w:sz w:val="24"/>
          <w:szCs w:val="24"/>
        </w:rPr>
        <w:t>kokyb</w:t>
      </w:r>
      <w:r w:rsidR="000523E7">
        <w:rPr>
          <w:rFonts w:ascii="Times New Roman" w:hAnsi="Times New Roman" w:cs="Times New Roman"/>
          <w:sz w:val="24"/>
          <w:szCs w:val="24"/>
        </w:rPr>
        <w:t>ei</w:t>
      </w:r>
      <w:r w:rsidR="00CA6565" w:rsidRPr="000523E7">
        <w:rPr>
          <w:rFonts w:ascii="Times New Roman" w:hAnsi="Times New Roman" w:cs="Times New Roman"/>
          <w:sz w:val="24"/>
          <w:szCs w:val="24"/>
        </w:rPr>
        <w:t xml:space="preserve"> gerin</w:t>
      </w:r>
      <w:r w:rsidR="000523E7">
        <w:rPr>
          <w:rFonts w:ascii="Times New Roman" w:hAnsi="Times New Roman" w:cs="Times New Roman"/>
          <w:sz w:val="24"/>
          <w:szCs w:val="24"/>
        </w:rPr>
        <w:t>ti</w:t>
      </w:r>
      <w:r w:rsidRPr="000523E7">
        <w:rPr>
          <w:rFonts w:ascii="Times New Roman" w:hAnsi="Times New Roman" w:cs="Times New Roman"/>
          <w:sz w:val="24"/>
          <w:szCs w:val="24"/>
        </w:rPr>
        <w:t xml:space="preserve"> sukūrimą</w:t>
      </w:r>
      <w:r w:rsidR="00C17B8C" w:rsidRPr="000523E7">
        <w:rPr>
          <w:rFonts w:ascii="Times New Roman" w:hAnsi="Times New Roman" w:cs="Times New Roman"/>
          <w:sz w:val="24"/>
          <w:szCs w:val="24"/>
        </w:rPr>
        <w:t>;</w:t>
      </w:r>
    </w:p>
    <w:p w:rsidR="00767554" w:rsidRPr="000523E7" w:rsidRDefault="00767554" w:rsidP="00A361C1">
      <w:pPr>
        <w:pStyle w:val="Sraopastraipa"/>
        <w:numPr>
          <w:ilvl w:val="0"/>
          <w:numId w:val="3"/>
        </w:numPr>
        <w:spacing w:line="240" w:lineRule="auto"/>
        <w:rPr>
          <w:rFonts w:ascii="Times New Roman" w:hAnsi="Times New Roman" w:cs="Times New Roman"/>
          <w:sz w:val="24"/>
          <w:szCs w:val="24"/>
        </w:rPr>
      </w:pPr>
      <w:r w:rsidRPr="000523E7">
        <w:rPr>
          <w:rFonts w:ascii="Times New Roman" w:hAnsi="Times New Roman" w:cs="Times New Roman"/>
          <w:sz w:val="24"/>
          <w:szCs w:val="24"/>
        </w:rPr>
        <w:t xml:space="preserve">Teisinius administracinius </w:t>
      </w:r>
      <w:r w:rsidR="00C17B8C" w:rsidRPr="000523E7">
        <w:rPr>
          <w:rFonts w:ascii="Times New Roman" w:hAnsi="Times New Roman" w:cs="Times New Roman"/>
          <w:sz w:val="24"/>
          <w:szCs w:val="24"/>
        </w:rPr>
        <w:t xml:space="preserve">veiksmus </w:t>
      </w:r>
      <w:r w:rsidRPr="000523E7">
        <w:rPr>
          <w:rFonts w:ascii="Times New Roman" w:hAnsi="Times New Roman" w:cs="Times New Roman"/>
          <w:sz w:val="24"/>
          <w:szCs w:val="24"/>
        </w:rPr>
        <w:t>ir viešinimo</w:t>
      </w:r>
      <w:r w:rsidR="00C17B8C" w:rsidRPr="000523E7">
        <w:rPr>
          <w:rFonts w:ascii="Times New Roman" w:hAnsi="Times New Roman" w:cs="Times New Roman"/>
          <w:sz w:val="24"/>
          <w:szCs w:val="24"/>
        </w:rPr>
        <w:t xml:space="preserve"> priemones.</w:t>
      </w:r>
      <w:r w:rsidRPr="000523E7">
        <w:rPr>
          <w:rFonts w:ascii="Times New Roman" w:hAnsi="Times New Roman" w:cs="Times New Roman"/>
          <w:sz w:val="24"/>
          <w:szCs w:val="24"/>
        </w:rPr>
        <w:t xml:space="preserve"> </w:t>
      </w:r>
    </w:p>
    <w:p w:rsidR="006E26D9" w:rsidRPr="000523E7" w:rsidRDefault="006E26D9" w:rsidP="00A361C1">
      <w:pPr>
        <w:pStyle w:val="Sraopastraipa"/>
        <w:tabs>
          <w:tab w:val="left" w:pos="284"/>
        </w:tabs>
        <w:spacing w:line="240" w:lineRule="auto"/>
        <w:ind w:left="0"/>
        <w:jc w:val="center"/>
        <w:rPr>
          <w:rFonts w:ascii="Times New Roman" w:hAnsi="Times New Roman" w:cs="Times New Roman"/>
          <w:sz w:val="24"/>
          <w:szCs w:val="24"/>
        </w:rPr>
      </w:pPr>
    </w:p>
    <w:p w:rsidR="006E26D9" w:rsidRPr="000523E7" w:rsidRDefault="006E26D9" w:rsidP="00A361C1">
      <w:pPr>
        <w:pStyle w:val="Sraopastraipa"/>
        <w:spacing w:line="240" w:lineRule="auto"/>
        <w:ind w:left="0"/>
        <w:jc w:val="center"/>
        <w:rPr>
          <w:rFonts w:ascii="Times New Roman" w:hAnsi="Times New Roman" w:cs="Times New Roman"/>
          <w:sz w:val="24"/>
          <w:szCs w:val="24"/>
        </w:rPr>
      </w:pPr>
      <w:r w:rsidRPr="000523E7">
        <w:rPr>
          <w:rFonts w:ascii="Times New Roman" w:hAnsi="Times New Roman" w:cs="Times New Roman"/>
          <w:sz w:val="24"/>
          <w:szCs w:val="24"/>
        </w:rPr>
        <w:t>Ž</w:t>
      </w:r>
      <w:r w:rsidR="009E7BE6" w:rsidRPr="000523E7">
        <w:rPr>
          <w:rFonts w:ascii="Times New Roman" w:hAnsi="Times New Roman" w:cs="Times New Roman"/>
          <w:sz w:val="24"/>
          <w:szCs w:val="24"/>
        </w:rPr>
        <w:t xml:space="preserve">MOGIŠKŲJŲ IŠTEKLIŲ OPTIMIZAVIMO IŠLAIDŲ PAGRINDIMAS </w:t>
      </w:r>
    </w:p>
    <w:p w:rsidR="00A361C1" w:rsidRPr="000523E7" w:rsidRDefault="00A361C1" w:rsidP="00A361C1">
      <w:pPr>
        <w:pStyle w:val="Sraopastraipa"/>
        <w:spacing w:line="240" w:lineRule="auto"/>
        <w:ind w:left="0"/>
        <w:jc w:val="center"/>
        <w:rPr>
          <w:rFonts w:ascii="Times New Roman" w:hAnsi="Times New Roman" w:cs="Times New Roman"/>
          <w:sz w:val="24"/>
          <w:szCs w:val="24"/>
        </w:rPr>
      </w:pPr>
    </w:p>
    <w:p w:rsidR="00D745FD" w:rsidRPr="000523E7" w:rsidRDefault="00FD3569" w:rsidP="00A361C1">
      <w:pPr>
        <w:pStyle w:val="Sraopastraipa"/>
        <w:spacing w:after="0" w:line="240" w:lineRule="auto"/>
        <w:ind w:left="0"/>
        <w:jc w:val="both"/>
        <w:rPr>
          <w:rFonts w:ascii="Times New Roman" w:hAnsi="Times New Roman" w:cs="Times New Roman"/>
          <w:sz w:val="24"/>
          <w:szCs w:val="24"/>
        </w:rPr>
      </w:pPr>
      <w:r w:rsidRPr="000523E7">
        <w:rPr>
          <w:rFonts w:ascii="Times New Roman" w:hAnsi="Times New Roman" w:cs="Times New Roman"/>
          <w:sz w:val="24"/>
          <w:szCs w:val="24"/>
        </w:rPr>
        <w:t>Atlikus institutų administracinio ir ūkinio personalo funkcijų analizę</w:t>
      </w:r>
      <w:r w:rsidR="000523E7">
        <w:rPr>
          <w:rFonts w:ascii="Times New Roman" w:hAnsi="Times New Roman" w:cs="Times New Roman"/>
          <w:sz w:val="24"/>
          <w:szCs w:val="24"/>
        </w:rPr>
        <w:t>,</w:t>
      </w:r>
      <w:r w:rsidRPr="000523E7">
        <w:rPr>
          <w:rFonts w:ascii="Times New Roman" w:hAnsi="Times New Roman" w:cs="Times New Roman"/>
          <w:sz w:val="24"/>
          <w:szCs w:val="24"/>
        </w:rPr>
        <w:t xml:space="preserve"> tikėtina, kad po institutų </w:t>
      </w:r>
      <w:r w:rsidR="000523E7">
        <w:rPr>
          <w:rFonts w:ascii="Times New Roman" w:hAnsi="Times New Roman" w:cs="Times New Roman"/>
          <w:sz w:val="24"/>
          <w:szCs w:val="24"/>
        </w:rPr>
        <w:t>su</w:t>
      </w:r>
      <w:r w:rsidRPr="000523E7">
        <w:rPr>
          <w:rFonts w:ascii="Times New Roman" w:hAnsi="Times New Roman" w:cs="Times New Roman"/>
          <w:sz w:val="24"/>
          <w:szCs w:val="24"/>
        </w:rPr>
        <w:t xml:space="preserve">jungimo bus galima optimizuoti minėtas funkcijas atliekančio personalo skaičių. Tam yra būtinos išeitinės išmokos atleidžiamiems darbuotojams. Be to, išeitinės išmokos turės būti išmokamos darbuotojams, kurie apsispręs reorganizacijos metu nutraukti darbo sutartį. </w:t>
      </w:r>
      <w:r w:rsidR="00D745FD" w:rsidRPr="000523E7">
        <w:rPr>
          <w:rFonts w:ascii="Times New Roman" w:hAnsi="Times New Roman" w:cs="Times New Roman"/>
          <w:sz w:val="24"/>
          <w:szCs w:val="24"/>
        </w:rPr>
        <w:t xml:space="preserve"> </w:t>
      </w:r>
    </w:p>
    <w:p w:rsidR="006E26D9" w:rsidRPr="000523E7" w:rsidRDefault="009E7BE6" w:rsidP="00A361C1">
      <w:pPr>
        <w:pStyle w:val="Sraopastraipa"/>
        <w:spacing w:after="0" w:line="240" w:lineRule="auto"/>
        <w:ind w:left="0"/>
        <w:jc w:val="both"/>
        <w:rPr>
          <w:rFonts w:ascii="Times New Roman" w:hAnsi="Times New Roman" w:cs="Times New Roman"/>
          <w:sz w:val="24"/>
          <w:szCs w:val="24"/>
        </w:rPr>
      </w:pPr>
      <w:r w:rsidRPr="000523E7">
        <w:rPr>
          <w:rFonts w:ascii="Times New Roman" w:hAnsi="Times New Roman" w:cs="Times New Roman"/>
          <w:i/>
          <w:sz w:val="24"/>
          <w:szCs w:val="24"/>
        </w:rPr>
        <w:t>L</w:t>
      </w:r>
      <w:r w:rsidR="00D745FD" w:rsidRPr="000523E7">
        <w:rPr>
          <w:rFonts w:ascii="Times New Roman" w:hAnsi="Times New Roman" w:cs="Times New Roman"/>
          <w:i/>
          <w:sz w:val="24"/>
          <w:szCs w:val="24"/>
        </w:rPr>
        <w:t>ietuvos agrarinės ekonomikos institut</w:t>
      </w:r>
      <w:r w:rsidRPr="000523E7">
        <w:rPr>
          <w:rFonts w:ascii="Times New Roman" w:hAnsi="Times New Roman" w:cs="Times New Roman"/>
          <w:i/>
          <w:sz w:val="24"/>
          <w:szCs w:val="24"/>
        </w:rPr>
        <w:t xml:space="preserve">ui gali tekti atleisti dalį tyrėjų, kurie iki reorganizacijos </w:t>
      </w:r>
      <w:r w:rsidR="00D745FD" w:rsidRPr="000523E7">
        <w:rPr>
          <w:rFonts w:ascii="Times New Roman" w:hAnsi="Times New Roman" w:cs="Times New Roman"/>
          <w:i/>
          <w:sz w:val="24"/>
          <w:szCs w:val="24"/>
        </w:rPr>
        <w:t>vykd</w:t>
      </w:r>
      <w:r w:rsidRPr="000523E7">
        <w:rPr>
          <w:rFonts w:ascii="Times New Roman" w:hAnsi="Times New Roman" w:cs="Times New Roman"/>
          <w:i/>
          <w:sz w:val="24"/>
          <w:szCs w:val="24"/>
        </w:rPr>
        <w:t>ė</w:t>
      </w:r>
      <w:r w:rsidR="00D745FD" w:rsidRPr="000523E7">
        <w:rPr>
          <w:rFonts w:ascii="Times New Roman" w:hAnsi="Times New Roman" w:cs="Times New Roman"/>
          <w:i/>
          <w:sz w:val="24"/>
          <w:szCs w:val="24"/>
        </w:rPr>
        <w:t xml:space="preserve"> MTEP pagal sutartį su Žemės ūkio ministerija</w:t>
      </w:r>
      <w:r w:rsidR="00D745FD" w:rsidRPr="000523E7">
        <w:rPr>
          <w:rFonts w:ascii="Times New Roman" w:hAnsi="Times New Roman" w:cs="Times New Roman"/>
          <w:sz w:val="24"/>
          <w:szCs w:val="24"/>
        </w:rPr>
        <w:t xml:space="preserve">. </w:t>
      </w:r>
      <w:r w:rsidR="00767554" w:rsidRPr="000523E7">
        <w:rPr>
          <w:rFonts w:ascii="Times New Roman" w:hAnsi="Times New Roman" w:cs="Times New Roman"/>
          <w:sz w:val="24"/>
          <w:szCs w:val="24"/>
        </w:rPr>
        <w:t xml:space="preserve">Jeigu nepavyktų ateityje užtikrinti institutui finansavimo šaltinio pagal </w:t>
      </w:r>
      <w:r w:rsidR="002C69BF">
        <w:rPr>
          <w:rFonts w:ascii="Times New Roman" w:hAnsi="Times New Roman" w:cs="Times New Roman"/>
          <w:sz w:val="24"/>
          <w:szCs w:val="24"/>
        </w:rPr>
        <w:t xml:space="preserve">Žemės ūkio ministerijos </w:t>
      </w:r>
      <w:r w:rsidR="00767554" w:rsidRPr="000523E7">
        <w:rPr>
          <w:rFonts w:ascii="Times New Roman" w:hAnsi="Times New Roman" w:cs="Times New Roman"/>
          <w:sz w:val="24"/>
          <w:szCs w:val="24"/>
        </w:rPr>
        <w:t>sutartį, š</w:t>
      </w:r>
      <w:r w:rsidR="00D745FD" w:rsidRPr="000523E7">
        <w:rPr>
          <w:rFonts w:ascii="Times New Roman" w:hAnsi="Times New Roman" w:cs="Times New Roman"/>
          <w:sz w:val="24"/>
          <w:szCs w:val="24"/>
        </w:rPr>
        <w:t>iems darbuotojams gali tekti mokėti išeitines</w:t>
      </w:r>
      <w:r w:rsidR="007E232A" w:rsidRPr="000523E7">
        <w:rPr>
          <w:rFonts w:ascii="Times New Roman" w:hAnsi="Times New Roman" w:cs="Times New Roman"/>
          <w:sz w:val="24"/>
          <w:szCs w:val="24"/>
        </w:rPr>
        <w:t xml:space="preserve"> kompensacijas 2020</w:t>
      </w:r>
      <w:r w:rsidRPr="000523E7">
        <w:rPr>
          <w:rFonts w:ascii="Times New Roman" w:hAnsi="Times New Roman" w:cs="Times New Roman"/>
          <w:sz w:val="24"/>
          <w:szCs w:val="24"/>
        </w:rPr>
        <w:t xml:space="preserve"> m.</w:t>
      </w:r>
      <w:r w:rsidR="00D745FD" w:rsidRPr="000523E7">
        <w:rPr>
          <w:rFonts w:ascii="Times New Roman" w:hAnsi="Times New Roman" w:cs="Times New Roman"/>
          <w:sz w:val="24"/>
          <w:szCs w:val="24"/>
        </w:rPr>
        <w:t xml:space="preserve"> </w:t>
      </w:r>
      <w:r w:rsidR="00FD3569" w:rsidRPr="000523E7">
        <w:rPr>
          <w:rFonts w:ascii="Times New Roman" w:hAnsi="Times New Roman" w:cs="Times New Roman"/>
          <w:sz w:val="24"/>
          <w:szCs w:val="24"/>
        </w:rPr>
        <w:t>Išlaidos išeitinėms išmokoms yra paskaičiuo</w:t>
      </w:r>
      <w:r w:rsidRPr="000523E7">
        <w:rPr>
          <w:rFonts w:ascii="Times New Roman" w:hAnsi="Times New Roman" w:cs="Times New Roman"/>
          <w:sz w:val="24"/>
          <w:szCs w:val="24"/>
        </w:rPr>
        <w:t>jamos</w:t>
      </w:r>
      <w:r w:rsidR="00FD3569" w:rsidRPr="000523E7">
        <w:rPr>
          <w:rFonts w:ascii="Times New Roman" w:hAnsi="Times New Roman" w:cs="Times New Roman"/>
          <w:sz w:val="24"/>
          <w:szCs w:val="24"/>
        </w:rPr>
        <w:t xml:space="preserve"> atsižvelgiant į </w:t>
      </w:r>
      <w:r w:rsidR="00EC1138" w:rsidRPr="000523E7">
        <w:rPr>
          <w:rFonts w:ascii="Times New Roman" w:hAnsi="Times New Roman" w:cs="Times New Roman"/>
          <w:sz w:val="24"/>
          <w:szCs w:val="24"/>
        </w:rPr>
        <w:t xml:space="preserve">darbuotojų </w:t>
      </w:r>
      <w:r w:rsidR="00FD3569" w:rsidRPr="000523E7">
        <w:rPr>
          <w:rFonts w:ascii="Times New Roman" w:hAnsi="Times New Roman" w:cs="Times New Roman"/>
          <w:sz w:val="24"/>
          <w:szCs w:val="24"/>
        </w:rPr>
        <w:t>vidutinį darbo s</w:t>
      </w:r>
      <w:r w:rsidR="007233D3" w:rsidRPr="000523E7">
        <w:rPr>
          <w:rFonts w:ascii="Times New Roman" w:hAnsi="Times New Roman" w:cs="Times New Roman"/>
          <w:sz w:val="24"/>
          <w:szCs w:val="24"/>
        </w:rPr>
        <w:t>tažą ir nepanaudotas atostogas.</w:t>
      </w:r>
    </w:p>
    <w:p w:rsidR="00A361C1" w:rsidRPr="000523E7" w:rsidRDefault="00A361C1" w:rsidP="00A361C1">
      <w:pPr>
        <w:pStyle w:val="Sraopastraipa"/>
        <w:spacing w:after="0" w:line="240" w:lineRule="auto"/>
        <w:ind w:left="0"/>
        <w:jc w:val="both"/>
        <w:rPr>
          <w:rFonts w:ascii="Times New Roman" w:hAnsi="Times New Roman" w:cs="Times New Roman"/>
          <w:sz w:val="24"/>
          <w:szCs w:val="24"/>
        </w:rPr>
      </w:pPr>
    </w:p>
    <w:p w:rsidR="00767554" w:rsidRPr="000523E7" w:rsidRDefault="00767554" w:rsidP="00A361C1">
      <w:pPr>
        <w:spacing w:after="0" w:line="240" w:lineRule="auto"/>
        <w:jc w:val="center"/>
        <w:rPr>
          <w:rFonts w:ascii="Times New Roman" w:hAnsi="Times New Roman" w:cs="Times New Roman"/>
          <w:sz w:val="24"/>
          <w:szCs w:val="24"/>
        </w:rPr>
      </w:pPr>
      <w:r w:rsidRPr="000523E7">
        <w:rPr>
          <w:rFonts w:ascii="Times New Roman" w:hAnsi="Times New Roman" w:cs="Times New Roman"/>
          <w:sz w:val="24"/>
          <w:szCs w:val="24"/>
        </w:rPr>
        <w:t>INFRASTRUKTŪROS ATNAUJINIMO IŠLAIDŲ PAGRINDIMAS</w:t>
      </w:r>
    </w:p>
    <w:p w:rsidR="00A361C1" w:rsidRPr="000523E7" w:rsidRDefault="00A361C1" w:rsidP="00A361C1">
      <w:pPr>
        <w:spacing w:after="0" w:line="240" w:lineRule="auto"/>
        <w:jc w:val="center"/>
        <w:rPr>
          <w:rFonts w:ascii="Times New Roman" w:hAnsi="Times New Roman" w:cs="Times New Roman"/>
          <w:sz w:val="24"/>
          <w:szCs w:val="24"/>
        </w:rPr>
      </w:pPr>
    </w:p>
    <w:p w:rsidR="00F45D57" w:rsidRPr="000523E7" w:rsidRDefault="00E3288B" w:rsidP="00A361C1">
      <w:pPr>
        <w:pStyle w:val="Sraopastraipa"/>
        <w:spacing w:after="0" w:line="240" w:lineRule="auto"/>
        <w:ind w:left="0"/>
        <w:jc w:val="both"/>
        <w:rPr>
          <w:rFonts w:ascii="Times New Roman" w:hAnsi="Times New Roman" w:cs="Times New Roman"/>
          <w:sz w:val="24"/>
          <w:szCs w:val="24"/>
        </w:rPr>
      </w:pPr>
      <w:r w:rsidRPr="000523E7">
        <w:rPr>
          <w:rFonts w:ascii="Times New Roman" w:hAnsi="Times New Roman" w:cs="Times New Roman"/>
          <w:sz w:val="24"/>
          <w:szCs w:val="24"/>
        </w:rPr>
        <w:t xml:space="preserve">Per 2008–2012 m. gamtos, </w:t>
      </w:r>
      <w:r w:rsidR="007E232A" w:rsidRPr="000523E7">
        <w:rPr>
          <w:rFonts w:ascii="Times New Roman" w:hAnsi="Times New Roman" w:cs="Times New Roman"/>
          <w:sz w:val="24"/>
          <w:szCs w:val="24"/>
        </w:rPr>
        <w:t>technologijų</w:t>
      </w:r>
      <w:r w:rsidRPr="000523E7">
        <w:rPr>
          <w:rFonts w:ascii="Times New Roman" w:hAnsi="Times New Roman" w:cs="Times New Roman"/>
          <w:sz w:val="24"/>
          <w:szCs w:val="24"/>
        </w:rPr>
        <w:t xml:space="preserve">, agrarinių bei medicinos ir sveikatos mokslų tyrimų institutus pasiekė </w:t>
      </w:r>
      <w:r w:rsidRPr="002C69BF">
        <w:rPr>
          <w:rFonts w:ascii="Times New Roman" w:hAnsi="Times New Roman" w:cs="Times New Roman"/>
          <w:sz w:val="24"/>
          <w:szCs w:val="24"/>
        </w:rPr>
        <w:t>E</w:t>
      </w:r>
      <w:r w:rsidR="002C69BF">
        <w:rPr>
          <w:rFonts w:ascii="Times New Roman" w:hAnsi="Times New Roman" w:cs="Times New Roman"/>
          <w:sz w:val="24"/>
          <w:szCs w:val="24"/>
        </w:rPr>
        <w:t xml:space="preserve">uropos </w:t>
      </w:r>
      <w:r w:rsidRPr="002C69BF">
        <w:rPr>
          <w:rFonts w:ascii="Times New Roman" w:hAnsi="Times New Roman" w:cs="Times New Roman"/>
          <w:sz w:val="24"/>
          <w:szCs w:val="24"/>
        </w:rPr>
        <w:t>S</w:t>
      </w:r>
      <w:r w:rsidR="002C69BF">
        <w:rPr>
          <w:rFonts w:ascii="Times New Roman" w:hAnsi="Times New Roman" w:cs="Times New Roman"/>
          <w:sz w:val="24"/>
          <w:szCs w:val="24"/>
        </w:rPr>
        <w:t>ąjungos</w:t>
      </w:r>
      <w:r w:rsidRPr="002C69BF">
        <w:rPr>
          <w:rFonts w:ascii="Times New Roman" w:hAnsi="Times New Roman" w:cs="Times New Roman"/>
          <w:sz w:val="24"/>
          <w:szCs w:val="24"/>
        </w:rPr>
        <w:t xml:space="preserve"> p</w:t>
      </w:r>
      <w:r w:rsidRPr="000523E7">
        <w:rPr>
          <w:rFonts w:ascii="Times New Roman" w:hAnsi="Times New Roman" w:cs="Times New Roman"/>
          <w:sz w:val="24"/>
          <w:szCs w:val="24"/>
        </w:rPr>
        <w:t>arama integruot</w:t>
      </w:r>
      <w:r w:rsidR="000523E7">
        <w:rPr>
          <w:rFonts w:ascii="Times New Roman" w:hAnsi="Times New Roman" w:cs="Times New Roman"/>
          <w:sz w:val="24"/>
          <w:szCs w:val="24"/>
        </w:rPr>
        <w:t>iems</w:t>
      </w:r>
      <w:r w:rsidRPr="000523E7">
        <w:rPr>
          <w:rFonts w:ascii="Times New Roman" w:hAnsi="Times New Roman" w:cs="Times New Roman"/>
          <w:sz w:val="24"/>
          <w:szCs w:val="24"/>
        </w:rPr>
        <w:t xml:space="preserve"> mokslo, studijų ir verslo centr</w:t>
      </w:r>
      <w:r w:rsidR="000523E7">
        <w:rPr>
          <w:rFonts w:ascii="Times New Roman" w:hAnsi="Times New Roman" w:cs="Times New Roman"/>
          <w:sz w:val="24"/>
          <w:szCs w:val="24"/>
        </w:rPr>
        <w:t>ams</w:t>
      </w:r>
      <w:r w:rsidRPr="000523E7">
        <w:rPr>
          <w:rFonts w:ascii="Times New Roman" w:hAnsi="Times New Roman" w:cs="Times New Roman"/>
          <w:sz w:val="24"/>
          <w:szCs w:val="24"/>
        </w:rPr>
        <w:t xml:space="preserve"> (slėni</w:t>
      </w:r>
      <w:r w:rsidR="000523E7">
        <w:rPr>
          <w:rFonts w:ascii="Times New Roman" w:hAnsi="Times New Roman" w:cs="Times New Roman"/>
          <w:sz w:val="24"/>
          <w:szCs w:val="24"/>
        </w:rPr>
        <w:t>ams</w:t>
      </w:r>
      <w:r w:rsidRPr="000523E7">
        <w:rPr>
          <w:rFonts w:ascii="Times New Roman" w:hAnsi="Times New Roman" w:cs="Times New Roman"/>
          <w:sz w:val="24"/>
          <w:szCs w:val="24"/>
        </w:rPr>
        <w:t>) k</w:t>
      </w:r>
      <w:r w:rsidR="000523E7">
        <w:rPr>
          <w:rFonts w:ascii="Times New Roman" w:hAnsi="Times New Roman" w:cs="Times New Roman"/>
          <w:sz w:val="24"/>
          <w:szCs w:val="24"/>
        </w:rPr>
        <w:t>urti</w:t>
      </w:r>
      <w:r w:rsidRPr="000523E7">
        <w:rPr>
          <w:rFonts w:ascii="Times New Roman" w:hAnsi="Times New Roman" w:cs="Times New Roman"/>
          <w:sz w:val="24"/>
          <w:szCs w:val="24"/>
        </w:rPr>
        <w:t xml:space="preserve">, kuri </w:t>
      </w:r>
      <w:r w:rsidR="000523E7">
        <w:rPr>
          <w:rFonts w:ascii="Times New Roman" w:hAnsi="Times New Roman" w:cs="Times New Roman"/>
          <w:sz w:val="24"/>
          <w:szCs w:val="24"/>
        </w:rPr>
        <w:t xml:space="preserve">padėjo </w:t>
      </w:r>
      <w:r w:rsidRPr="000523E7">
        <w:rPr>
          <w:rFonts w:ascii="Times New Roman" w:hAnsi="Times New Roman" w:cs="Times New Roman"/>
          <w:sz w:val="24"/>
          <w:szCs w:val="24"/>
        </w:rPr>
        <w:t>iš esmės pagerint</w:t>
      </w:r>
      <w:r w:rsidR="000523E7">
        <w:rPr>
          <w:rFonts w:ascii="Times New Roman" w:hAnsi="Times New Roman" w:cs="Times New Roman"/>
          <w:sz w:val="24"/>
          <w:szCs w:val="24"/>
        </w:rPr>
        <w:t>i</w:t>
      </w:r>
      <w:r w:rsidRPr="000523E7">
        <w:rPr>
          <w:rFonts w:ascii="Times New Roman" w:hAnsi="Times New Roman" w:cs="Times New Roman"/>
          <w:sz w:val="24"/>
          <w:szCs w:val="24"/>
        </w:rPr>
        <w:t xml:space="preserve"> jų infrastruktūr</w:t>
      </w:r>
      <w:r w:rsidR="000523E7">
        <w:rPr>
          <w:rFonts w:ascii="Times New Roman" w:hAnsi="Times New Roman" w:cs="Times New Roman"/>
          <w:sz w:val="24"/>
          <w:szCs w:val="24"/>
        </w:rPr>
        <w:t>ą</w:t>
      </w:r>
      <w:r w:rsidRPr="000523E7">
        <w:rPr>
          <w:rFonts w:ascii="Times New Roman" w:hAnsi="Times New Roman" w:cs="Times New Roman"/>
          <w:sz w:val="24"/>
          <w:szCs w:val="24"/>
        </w:rPr>
        <w:t>. Socialinių tyrimų institutai nuo 2010 m. vykusios mokslo tyrimų institutų reformos nėra gavę jokios paramos infrastruktūr</w:t>
      </w:r>
      <w:r w:rsidR="000523E7">
        <w:rPr>
          <w:rFonts w:ascii="Times New Roman" w:hAnsi="Times New Roman" w:cs="Times New Roman"/>
          <w:sz w:val="24"/>
          <w:szCs w:val="24"/>
        </w:rPr>
        <w:t>ai</w:t>
      </w:r>
      <w:r w:rsidRPr="000523E7">
        <w:rPr>
          <w:rFonts w:ascii="Times New Roman" w:hAnsi="Times New Roman" w:cs="Times New Roman"/>
          <w:sz w:val="24"/>
          <w:szCs w:val="24"/>
        </w:rPr>
        <w:t xml:space="preserve"> atnaujin</w:t>
      </w:r>
      <w:r w:rsidR="000523E7">
        <w:rPr>
          <w:rFonts w:ascii="Times New Roman" w:hAnsi="Times New Roman" w:cs="Times New Roman"/>
          <w:sz w:val="24"/>
          <w:szCs w:val="24"/>
        </w:rPr>
        <w:t>ti</w:t>
      </w:r>
      <w:r w:rsidRPr="000523E7">
        <w:rPr>
          <w:rFonts w:ascii="Times New Roman" w:hAnsi="Times New Roman" w:cs="Times New Roman"/>
          <w:sz w:val="24"/>
          <w:szCs w:val="24"/>
        </w:rPr>
        <w:t xml:space="preserve"> ir p</w:t>
      </w:r>
      <w:r w:rsidR="007E232A" w:rsidRPr="000523E7">
        <w:rPr>
          <w:rFonts w:ascii="Times New Roman" w:hAnsi="Times New Roman" w:cs="Times New Roman"/>
          <w:sz w:val="24"/>
          <w:szCs w:val="24"/>
        </w:rPr>
        <w:t>agerin</w:t>
      </w:r>
      <w:r w:rsidR="000523E7">
        <w:rPr>
          <w:rFonts w:ascii="Times New Roman" w:hAnsi="Times New Roman" w:cs="Times New Roman"/>
          <w:sz w:val="24"/>
          <w:szCs w:val="24"/>
        </w:rPr>
        <w:t>ti</w:t>
      </w:r>
      <w:r w:rsidRPr="000523E7">
        <w:rPr>
          <w:rFonts w:ascii="Times New Roman" w:hAnsi="Times New Roman" w:cs="Times New Roman"/>
          <w:sz w:val="24"/>
          <w:szCs w:val="24"/>
        </w:rPr>
        <w:t xml:space="preserve">. </w:t>
      </w:r>
      <w:r w:rsidR="007233D3" w:rsidRPr="000523E7">
        <w:rPr>
          <w:rFonts w:ascii="Times New Roman" w:hAnsi="Times New Roman" w:cs="Times New Roman"/>
          <w:sz w:val="24"/>
          <w:szCs w:val="24"/>
        </w:rPr>
        <w:t>I</w:t>
      </w:r>
      <w:r w:rsidR="005C3104" w:rsidRPr="000523E7">
        <w:rPr>
          <w:rFonts w:ascii="Times New Roman" w:hAnsi="Times New Roman" w:cs="Times New Roman"/>
          <w:sz w:val="24"/>
          <w:szCs w:val="24"/>
        </w:rPr>
        <w:t>nvesticijos į infrastruktūros atnaujinimą yra būtinos tyrimų kokybei sustiprinti. Išlaidos kompiuteri</w:t>
      </w:r>
      <w:r w:rsidR="000523E7">
        <w:rPr>
          <w:rFonts w:ascii="Times New Roman" w:hAnsi="Times New Roman" w:cs="Times New Roman"/>
          <w:sz w:val="24"/>
          <w:szCs w:val="24"/>
        </w:rPr>
        <w:t>ams</w:t>
      </w:r>
      <w:r w:rsidR="005C3104" w:rsidRPr="000523E7">
        <w:rPr>
          <w:rFonts w:ascii="Times New Roman" w:hAnsi="Times New Roman" w:cs="Times New Roman"/>
          <w:sz w:val="24"/>
          <w:szCs w:val="24"/>
        </w:rPr>
        <w:t xml:space="preserve"> ir programin</w:t>
      </w:r>
      <w:r w:rsidR="000523E7">
        <w:rPr>
          <w:rFonts w:ascii="Times New Roman" w:hAnsi="Times New Roman" w:cs="Times New Roman"/>
          <w:sz w:val="24"/>
          <w:szCs w:val="24"/>
        </w:rPr>
        <w:t>ei</w:t>
      </w:r>
      <w:r w:rsidR="005C3104" w:rsidRPr="000523E7">
        <w:rPr>
          <w:rFonts w:ascii="Times New Roman" w:hAnsi="Times New Roman" w:cs="Times New Roman"/>
          <w:sz w:val="24"/>
          <w:szCs w:val="24"/>
        </w:rPr>
        <w:t xml:space="preserve"> įrang</w:t>
      </w:r>
      <w:r w:rsidR="000523E7">
        <w:rPr>
          <w:rFonts w:ascii="Times New Roman" w:hAnsi="Times New Roman" w:cs="Times New Roman"/>
          <w:sz w:val="24"/>
          <w:szCs w:val="24"/>
        </w:rPr>
        <w:t>ai</w:t>
      </w:r>
      <w:r w:rsidR="005C3104" w:rsidRPr="000523E7">
        <w:rPr>
          <w:rFonts w:ascii="Times New Roman" w:hAnsi="Times New Roman" w:cs="Times New Roman"/>
          <w:sz w:val="24"/>
          <w:szCs w:val="24"/>
        </w:rPr>
        <w:t xml:space="preserve"> įsig</w:t>
      </w:r>
      <w:r w:rsidR="000523E7">
        <w:rPr>
          <w:rFonts w:ascii="Times New Roman" w:hAnsi="Times New Roman" w:cs="Times New Roman"/>
          <w:sz w:val="24"/>
          <w:szCs w:val="24"/>
        </w:rPr>
        <w:t>yti</w:t>
      </w:r>
      <w:r w:rsidR="005C3104" w:rsidRPr="000523E7">
        <w:rPr>
          <w:rFonts w:ascii="Times New Roman" w:hAnsi="Times New Roman" w:cs="Times New Roman"/>
          <w:sz w:val="24"/>
          <w:szCs w:val="24"/>
        </w:rPr>
        <w:t xml:space="preserve"> yra apskaičiuotos atsižvelgiant </w:t>
      </w:r>
      <w:r w:rsidR="002B2F57" w:rsidRPr="000523E7">
        <w:rPr>
          <w:rFonts w:ascii="Times New Roman" w:hAnsi="Times New Roman" w:cs="Times New Roman"/>
          <w:sz w:val="24"/>
          <w:szCs w:val="24"/>
        </w:rPr>
        <w:t xml:space="preserve">institutuose turimų </w:t>
      </w:r>
      <w:r w:rsidR="005C3104" w:rsidRPr="000523E7">
        <w:rPr>
          <w:rFonts w:ascii="Times New Roman" w:hAnsi="Times New Roman" w:cs="Times New Roman"/>
          <w:sz w:val="24"/>
          <w:szCs w:val="24"/>
        </w:rPr>
        <w:t>kom</w:t>
      </w:r>
      <w:r w:rsidR="002B2F57" w:rsidRPr="000523E7">
        <w:rPr>
          <w:rFonts w:ascii="Times New Roman" w:hAnsi="Times New Roman" w:cs="Times New Roman"/>
          <w:sz w:val="24"/>
          <w:szCs w:val="24"/>
        </w:rPr>
        <w:t>piuterių</w:t>
      </w:r>
      <w:r w:rsidRPr="000523E7">
        <w:rPr>
          <w:rFonts w:ascii="Times New Roman" w:hAnsi="Times New Roman" w:cs="Times New Roman"/>
          <w:sz w:val="24"/>
          <w:szCs w:val="24"/>
        </w:rPr>
        <w:t xml:space="preserve"> ir </w:t>
      </w:r>
      <w:r w:rsidR="00834174" w:rsidRPr="000523E7">
        <w:rPr>
          <w:rFonts w:ascii="Times New Roman" w:hAnsi="Times New Roman" w:cs="Times New Roman"/>
          <w:sz w:val="24"/>
          <w:szCs w:val="24"/>
        </w:rPr>
        <w:t>darbin</w:t>
      </w:r>
      <w:r w:rsidRPr="000523E7">
        <w:rPr>
          <w:rFonts w:ascii="Times New Roman" w:hAnsi="Times New Roman" w:cs="Times New Roman"/>
          <w:sz w:val="24"/>
          <w:szCs w:val="24"/>
        </w:rPr>
        <w:t>ių</w:t>
      </w:r>
      <w:r w:rsidR="00834174" w:rsidRPr="000523E7">
        <w:rPr>
          <w:rFonts w:ascii="Times New Roman" w:hAnsi="Times New Roman" w:cs="Times New Roman"/>
          <w:sz w:val="24"/>
          <w:szCs w:val="24"/>
        </w:rPr>
        <w:t xml:space="preserve"> sto</w:t>
      </w:r>
      <w:r w:rsidRPr="000523E7">
        <w:rPr>
          <w:rFonts w:ascii="Times New Roman" w:hAnsi="Times New Roman" w:cs="Times New Roman"/>
          <w:sz w:val="24"/>
          <w:szCs w:val="24"/>
        </w:rPr>
        <w:t>čių</w:t>
      </w:r>
      <w:r w:rsidR="00834174" w:rsidRPr="000523E7">
        <w:rPr>
          <w:rFonts w:ascii="Times New Roman" w:hAnsi="Times New Roman" w:cs="Times New Roman"/>
          <w:sz w:val="24"/>
          <w:szCs w:val="24"/>
        </w:rPr>
        <w:t xml:space="preserve"> </w:t>
      </w:r>
      <w:r w:rsidR="00C17B8C" w:rsidRPr="000523E7">
        <w:rPr>
          <w:rFonts w:ascii="Times New Roman" w:hAnsi="Times New Roman" w:cs="Times New Roman"/>
          <w:sz w:val="24"/>
          <w:szCs w:val="24"/>
        </w:rPr>
        <w:t>n</w:t>
      </w:r>
      <w:r w:rsidR="002B2F57" w:rsidRPr="000523E7">
        <w:rPr>
          <w:rFonts w:ascii="Times New Roman" w:hAnsi="Times New Roman" w:cs="Times New Roman"/>
          <w:sz w:val="24"/>
          <w:szCs w:val="24"/>
        </w:rPr>
        <w:t xml:space="preserve">usidėvėjimo laipsnį, programinės </w:t>
      </w:r>
      <w:r w:rsidR="005C3104" w:rsidRPr="000523E7">
        <w:rPr>
          <w:rFonts w:ascii="Times New Roman" w:hAnsi="Times New Roman" w:cs="Times New Roman"/>
          <w:sz w:val="24"/>
          <w:szCs w:val="24"/>
        </w:rPr>
        <w:t xml:space="preserve">įrangos </w:t>
      </w:r>
      <w:r w:rsidR="00C17B8C" w:rsidRPr="000523E7">
        <w:rPr>
          <w:rFonts w:ascii="Times New Roman" w:hAnsi="Times New Roman" w:cs="Times New Roman"/>
          <w:sz w:val="24"/>
          <w:szCs w:val="24"/>
        </w:rPr>
        <w:t>licen</w:t>
      </w:r>
      <w:r w:rsidR="000523E7">
        <w:rPr>
          <w:rFonts w:ascii="Times New Roman" w:hAnsi="Times New Roman" w:cs="Times New Roman"/>
          <w:sz w:val="24"/>
          <w:szCs w:val="24"/>
        </w:rPr>
        <w:t>c</w:t>
      </w:r>
      <w:r w:rsidR="00C17B8C" w:rsidRPr="000523E7">
        <w:rPr>
          <w:rFonts w:ascii="Times New Roman" w:hAnsi="Times New Roman" w:cs="Times New Roman"/>
          <w:sz w:val="24"/>
          <w:szCs w:val="24"/>
        </w:rPr>
        <w:t xml:space="preserve">ijų </w:t>
      </w:r>
      <w:r w:rsidR="002B2F57" w:rsidRPr="000523E7">
        <w:rPr>
          <w:rFonts w:ascii="Times New Roman" w:hAnsi="Times New Roman" w:cs="Times New Roman"/>
          <w:sz w:val="24"/>
          <w:szCs w:val="24"/>
        </w:rPr>
        <w:t xml:space="preserve">galiojimo laikotarpį, poreikį įsigyti naujus matematinius modelius ir sudaryti galimybes darbuotojams išmokti jais naudotis. </w:t>
      </w:r>
      <w:r w:rsidR="00834174" w:rsidRPr="000523E7">
        <w:rPr>
          <w:rFonts w:ascii="Times New Roman" w:hAnsi="Times New Roman" w:cs="Times New Roman"/>
          <w:sz w:val="24"/>
          <w:szCs w:val="24"/>
        </w:rPr>
        <w:t>Naujam Centrui būtina suvienodinti darbinių stočių sistemą, šiam tikslui įsigyjant vieną, didesnio galingumo darbinę stotį ir tinklinę įrangą.</w:t>
      </w:r>
    </w:p>
    <w:p w:rsidR="00A361C1" w:rsidRPr="000523E7" w:rsidRDefault="00A361C1" w:rsidP="00A361C1">
      <w:pPr>
        <w:pStyle w:val="Sraopastraipa"/>
        <w:spacing w:after="0" w:line="240" w:lineRule="auto"/>
        <w:ind w:left="0"/>
        <w:jc w:val="both"/>
        <w:rPr>
          <w:rFonts w:ascii="Times New Roman" w:hAnsi="Times New Roman" w:cs="Times New Roman"/>
          <w:sz w:val="24"/>
          <w:szCs w:val="24"/>
        </w:rPr>
      </w:pPr>
    </w:p>
    <w:p w:rsidR="00767554" w:rsidRPr="000523E7" w:rsidRDefault="00767554" w:rsidP="00363C13">
      <w:pPr>
        <w:pStyle w:val="Sraopastraipa"/>
        <w:tabs>
          <w:tab w:val="left" w:pos="567"/>
        </w:tabs>
        <w:spacing w:after="0" w:line="240" w:lineRule="auto"/>
        <w:ind w:left="0"/>
        <w:jc w:val="both"/>
        <w:rPr>
          <w:rFonts w:ascii="Times New Roman" w:hAnsi="Times New Roman" w:cs="Times New Roman"/>
          <w:sz w:val="24"/>
          <w:szCs w:val="24"/>
        </w:rPr>
      </w:pPr>
      <w:r w:rsidRPr="000523E7">
        <w:rPr>
          <w:rFonts w:ascii="Times New Roman" w:hAnsi="Times New Roman" w:cs="Times New Roman"/>
          <w:sz w:val="24"/>
          <w:szCs w:val="24"/>
        </w:rPr>
        <w:t xml:space="preserve">IŠLAIDŲ TYRIMŲ TARPTAUTIŠKUMUI </w:t>
      </w:r>
      <w:r w:rsidR="002C69BF">
        <w:rPr>
          <w:rFonts w:ascii="Times New Roman" w:hAnsi="Times New Roman" w:cs="Times New Roman"/>
          <w:sz w:val="24"/>
          <w:szCs w:val="24"/>
        </w:rPr>
        <w:t xml:space="preserve">DIDINTI </w:t>
      </w:r>
      <w:r w:rsidRPr="000523E7">
        <w:rPr>
          <w:rFonts w:ascii="Times New Roman" w:hAnsi="Times New Roman" w:cs="Times New Roman"/>
          <w:sz w:val="24"/>
          <w:szCs w:val="24"/>
        </w:rPr>
        <w:t>IR KOKYB</w:t>
      </w:r>
      <w:r w:rsidR="000523E7">
        <w:rPr>
          <w:rFonts w:ascii="Times New Roman" w:hAnsi="Times New Roman" w:cs="Times New Roman"/>
          <w:sz w:val="24"/>
          <w:szCs w:val="24"/>
        </w:rPr>
        <w:t xml:space="preserve">EI </w:t>
      </w:r>
      <w:r w:rsidRPr="000523E7">
        <w:rPr>
          <w:rFonts w:ascii="Times New Roman" w:hAnsi="Times New Roman" w:cs="Times New Roman"/>
          <w:sz w:val="24"/>
          <w:szCs w:val="24"/>
        </w:rPr>
        <w:t>GERIN</w:t>
      </w:r>
      <w:r w:rsidR="000523E7">
        <w:rPr>
          <w:rFonts w:ascii="Times New Roman" w:hAnsi="Times New Roman" w:cs="Times New Roman"/>
          <w:sz w:val="24"/>
          <w:szCs w:val="24"/>
        </w:rPr>
        <w:t>TI</w:t>
      </w:r>
      <w:r w:rsidRPr="000523E7">
        <w:rPr>
          <w:rFonts w:ascii="Times New Roman" w:hAnsi="Times New Roman" w:cs="Times New Roman"/>
          <w:sz w:val="24"/>
          <w:szCs w:val="24"/>
        </w:rPr>
        <w:t xml:space="preserve"> PAGRINDIMAS</w:t>
      </w:r>
    </w:p>
    <w:p w:rsidR="00A361C1" w:rsidRPr="000523E7" w:rsidRDefault="00A361C1" w:rsidP="00363C13">
      <w:pPr>
        <w:pStyle w:val="Sraopastraipa"/>
        <w:tabs>
          <w:tab w:val="left" w:pos="567"/>
        </w:tabs>
        <w:spacing w:after="0" w:line="240" w:lineRule="auto"/>
        <w:ind w:left="0"/>
        <w:jc w:val="both"/>
        <w:rPr>
          <w:rFonts w:ascii="Times New Roman" w:hAnsi="Times New Roman" w:cs="Times New Roman"/>
          <w:sz w:val="24"/>
          <w:szCs w:val="24"/>
        </w:rPr>
      </w:pPr>
    </w:p>
    <w:p w:rsidR="00171C77" w:rsidRPr="000523E7" w:rsidRDefault="002C69BF" w:rsidP="00363C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767554" w:rsidRPr="000523E7">
        <w:rPr>
          <w:rFonts w:ascii="Times New Roman" w:hAnsi="Times New Roman" w:cs="Times New Roman"/>
          <w:sz w:val="24"/>
          <w:szCs w:val="24"/>
        </w:rPr>
        <w:t>eorganiza</w:t>
      </w:r>
      <w:r>
        <w:rPr>
          <w:rFonts w:ascii="Times New Roman" w:hAnsi="Times New Roman" w:cs="Times New Roman"/>
          <w:sz w:val="24"/>
          <w:szCs w:val="24"/>
        </w:rPr>
        <w:t>vus</w:t>
      </w:r>
      <w:r w:rsidR="00767554" w:rsidRPr="000523E7">
        <w:rPr>
          <w:rFonts w:ascii="Times New Roman" w:hAnsi="Times New Roman" w:cs="Times New Roman"/>
          <w:sz w:val="24"/>
          <w:szCs w:val="24"/>
        </w:rPr>
        <w:t xml:space="preserve"> </w:t>
      </w:r>
      <w:r>
        <w:rPr>
          <w:rFonts w:ascii="Times New Roman" w:hAnsi="Times New Roman" w:cs="Times New Roman"/>
          <w:sz w:val="24"/>
          <w:szCs w:val="24"/>
        </w:rPr>
        <w:t>I</w:t>
      </w:r>
      <w:r w:rsidRPr="000523E7">
        <w:rPr>
          <w:rFonts w:ascii="Times New Roman" w:hAnsi="Times New Roman" w:cs="Times New Roman"/>
          <w:sz w:val="24"/>
          <w:szCs w:val="24"/>
        </w:rPr>
        <w:t>nstitut</w:t>
      </w:r>
      <w:r>
        <w:rPr>
          <w:rFonts w:ascii="Times New Roman" w:hAnsi="Times New Roman" w:cs="Times New Roman"/>
          <w:sz w:val="24"/>
          <w:szCs w:val="24"/>
        </w:rPr>
        <w:t>us</w:t>
      </w:r>
      <w:r w:rsidR="00767554" w:rsidRPr="000523E7">
        <w:rPr>
          <w:rFonts w:ascii="Times New Roman" w:hAnsi="Times New Roman" w:cs="Times New Roman"/>
          <w:sz w:val="24"/>
          <w:szCs w:val="24"/>
        </w:rPr>
        <w:t xml:space="preserve"> yra tikimasi pagerinti Institutuose vykdomų tyrimų tarptautiškumą ir kokybę. Svarbi prielaida šiam tikslui pasiekti </w:t>
      </w:r>
      <w:r w:rsidR="007E232A" w:rsidRPr="000523E7">
        <w:rPr>
          <w:rFonts w:ascii="Times New Roman" w:hAnsi="Times New Roman" w:cs="Times New Roman"/>
          <w:sz w:val="24"/>
          <w:szCs w:val="24"/>
        </w:rPr>
        <w:t xml:space="preserve">yra </w:t>
      </w:r>
      <w:r w:rsidR="00767554" w:rsidRPr="000523E7">
        <w:rPr>
          <w:rFonts w:ascii="Times New Roman" w:hAnsi="Times New Roman" w:cs="Times New Roman"/>
          <w:sz w:val="24"/>
          <w:szCs w:val="24"/>
        </w:rPr>
        <w:t>konkurencing</w:t>
      </w:r>
      <w:r w:rsidR="00A34B2D" w:rsidRPr="000523E7">
        <w:rPr>
          <w:rFonts w:ascii="Times New Roman" w:hAnsi="Times New Roman" w:cs="Times New Roman"/>
          <w:sz w:val="24"/>
          <w:szCs w:val="24"/>
        </w:rPr>
        <w:t>i</w:t>
      </w:r>
      <w:r w:rsidR="00767554" w:rsidRPr="000523E7">
        <w:rPr>
          <w:rFonts w:ascii="Times New Roman" w:hAnsi="Times New Roman" w:cs="Times New Roman"/>
          <w:sz w:val="24"/>
          <w:szCs w:val="24"/>
        </w:rPr>
        <w:t>, lyginant su kitais institutais</w:t>
      </w:r>
      <w:r w:rsidR="007E232A" w:rsidRPr="000523E7">
        <w:rPr>
          <w:rFonts w:ascii="Times New Roman" w:hAnsi="Times New Roman" w:cs="Times New Roman"/>
          <w:sz w:val="24"/>
          <w:szCs w:val="24"/>
        </w:rPr>
        <w:t xml:space="preserve"> ir universitetais,</w:t>
      </w:r>
      <w:r w:rsidR="00767554" w:rsidRPr="000523E7">
        <w:rPr>
          <w:rFonts w:ascii="Times New Roman" w:hAnsi="Times New Roman" w:cs="Times New Roman"/>
          <w:sz w:val="24"/>
          <w:szCs w:val="24"/>
        </w:rPr>
        <w:t xml:space="preserve"> </w:t>
      </w:r>
      <w:r w:rsidR="004109BC" w:rsidRPr="000523E7">
        <w:rPr>
          <w:rFonts w:ascii="Times New Roman" w:hAnsi="Times New Roman" w:cs="Times New Roman"/>
          <w:sz w:val="24"/>
          <w:szCs w:val="24"/>
        </w:rPr>
        <w:t>m</w:t>
      </w:r>
      <w:r w:rsidR="00767554" w:rsidRPr="000523E7">
        <w:rPr>
          <w:rFonts w:ascii="Times New Roman" w:hAnsi="Times New Roman" w:cs="Times New Roman"/>
          <w:sz w:val="24"/>
          <w:szCs w:val="24"/>
        </w:rPr>
        <w:t>oksl</w:t>
      </w:r>
      <w:r w:rsidR="00A34B2D" w:rsidRPr="000523E7">
        <w:rPr>
          <w:rFonts w:ascii="Times New Roman" w:hAnsi="Times New Roman" w:cs="Times New Roman"/>
          <w:sz w:val="24"/>
          <w:szCs w:val="24"/>
        </w:rPr>
        <w:t xml:space="preserve">o darbuotojų atlyginimai, kurie pritrauktų aukšto lygio Lietuvos mokslininkus ir </w:t>
      </w:r>
      <w:r w:rsidR="00767554" w:rsidRPr="000523E7">
        <w:rPr>
          <w:rFonts w:ascii="Times New Roman" w:hAnsi="Times New Roman" w:cs="Times New Roman"/>
          <w:sz w:val="24"/>
          <w:szCs w:val="24"/>
        </w:rPr>
        <w:t xml:space="preserve">leistų pakviesti dirbti į </w:t>
      </w:r>
      <w:r w:rsidR="004109BC" w:rsidRPr="000523E7">
        <w:rPr>
          <w:rFonts w:ascii="Times New Roman" w:hAnsi="Times New Roman" w:cs="Times New Roman"/>
          <w:sz w:val="24"/>
          <w:szCs w:val="24"/>
        </w:rPr>
        <w:t xml:space="preserve">naujai sukurtą </w:t>
      </w:r>
      <w:r w:rsidR="004109BC" w:rsidRPr="002C69BF">
        <w:rPr>
          <w:rFonts w:ascii="Times New Roman" w:hAnsi="Times New Roman" w:cs="Times New Roman"/>
          <w:sz w:val="24"/>
          <w:szCs w:val="24"/>
        </w:rPr>
        <w:t>centrą</w:t>
      </w:r>
      <w:r w:rsidR="004109BC" w:rsidRPr="000523E7">
        <w:rPr>
          <w:rFonts w:ascii="Times New Roman" w:hAnsi="Times New Roman" w:cs="Times New Roman"/>
          <w:sz w:val="24"/>
          <w:szCs w:val="24"/>
        </w:rPr>
        <w:t xml:space="preserve"> </w:t>
      </w:r>
      <w:r w:rsidR="00767554" w:rsidRPr="000523E7">
        <w:rPr>
          <w:rFonts w:ascii="Times New Roman" w:hAnsi="Times New Roman" w:cs="Times New Roman"/>
          <w:sz w:val="24"/>
          <w:szCs w:val="24"/>
        </w:rPr>
        <w:t>kitų šalių tyrėjus.</w:t>
      </w:r>
      <w:r w:rsidR="004109BC" w:rsidRPr="000523E7">
        <w:rPr>
          <w:rFonts w:ascii="Times New Roman" w:hAnsi="Times New Roman" w:cs="Times New Roman"/>
          <w:sz w:val="24"/>
          <w:szCs w:val="24"/>
        </w:rPr>
        <w:t xml:space="preserve"> Išlaidos socialinių tyrimų institutų </w:t>
      </w:r>
      <w:r w:rsidR="004109BC" w:rsidRPr="002C69BF">
        <w:rPr>
          <w:rFonts w:ascii="Times New Roman" w:hAnsi="Times New Roman" w:cs="Times New Roman"/>
          <w:sz w:val="24"/>
          <w:szCs w:val="24"/>
        </w:rPr>
        <w:lastRenderedPageBreak/>
        <w:t xml:space="preserve">mokslinio personalo darbo užmokesčio </w:t>
      </w:r>
      <w:r w:rsidR="00AD0CDE" w:rsidRPr="002C69BF">
        <w:rPr>
          <w:rFonts w:ascii="Times New Roman" w:hAnsi="Times New Roman" w:cs="Times New Roman"/>
          <w:sz w:val="24"/>
          <w:szCs w:val="24"/>
        </w:rPr>
        <w:t xml:space="preserve">ir kitų išlaidų atotrūkiui nuo kitų institutų </w:t>
      </w:r>
      <w:r w:rsidR="004109BC" w:rsidRPr="002C69BF">
        <w:rPr>
          <w:rFonts w:ascii="Times New Roman" w:hAnsi="Times New Roman" w:cs="Times New Roman"/>
          <w:sz w:val="24"/>
          <w:szCs w:val="24"/>
        </w:rPr>
        <w:t>su</w:t>
      </w:r>
      <w:r w:rsidR="00AD0CDE" w:rsidRPr="002C69BF">
        <w:rPr>
          <w:rFonts w:ascii="Times New Roman" w:hAnsi="Times New Roman" w:cs="Times New Roman"/>
          <w:sz w:val="24"/>
          <w:szCs w:val="24"/>
        </w:rPr>
        <w:t xml:space="preserve">mažinimui </w:t>
      </w:r>
      <w:r w:rsidR="004109BC" w:rsidRPr="002C69BF">
        <w:rPr>
          <w:rFonts w:ascii="Times New Roman" w:hAnsi="Times New Roman" w:cs="Times New Roman"/>
          <w:sz w:val="24"/>
          <w:szCs w:val="24"/>
        </w:rPr>
        <w:t xml:space="preserve">yra apskaičiuotos, socialinių tyrimų institutams skiriamas lėšas mokslui padauginus iš koeficiento, apskaičiuoto kaip </w:t>
      </w:r>
      <w:r w:rsidR="00A34B2D" w:rsidRPr="002C69BF">
        <w:rPr>
          <w:rFonts w:ascii="Times New Roman" w:hAnsi="Times New Roman" w:cs="Times New Roman"/>
          <w:sz w:val="24"/>
          <w:szCs w:val="24"/>
        </w:rPr>
        <w:t>santykis</w:t>
      </w:r>
      <w:r w:rsidR="004109BC" w:rsidRPr="002C69BF">
        <w:rPr>
          <w:rFonts w:ascii="Times New Roman" w:hAnsi="Times New Roman" w:cs="Times New Roman"/>
          <w:sz w:val="24"/>
          <w:szCs w:val="24"/>
        </w:rPr>
        <w:t xml:space="preserve"> </w:t>
      </w:r>
      <w:r w:rsidR="00767554" w:rsidRPr="002C69BF">
        <w:rPr>
          <w:rFonts w:ascii="Times New Roman" w:hAnsi="Times New Roman" w:cs="Times New Roman"/>
          <w:sz w:val="24"/>
          <w:szCs w:val="24"/>
        </w:rPr>
        <w:t>tarp vidutinio mokslininkui tenkančio finansavimo</w:t>
      </w:r>
      <w:r w:rsidR="004109BC" w:rsidRPr="002C69BF">
        <w:rPr>
          <w:rFonts w:ascii="Times New Roman" w:hAnsi="Times New Roman" w:cs="Times New Roman"/>
          <w:sz w:val="24"/>
          <w:szCs w:val="24"/>
        </w:rPr>
        <w:t xml:space="preserve"> ir </w:t>
      </w:r>
      <w:r w:rsidR="00767554" w:rsidRPr="002C69BF">
        <w:rPr>
          <w:rFonts w:ascii="Times New Roman" w:hAnsi="Times New Roman" w:cs="Times New Roman"/>
          <w:sz w:val="24"/>
          <w:szCs w:val="24"/>
        </w:rPr>
        <w:t xml:space="preserve">socialiniuose </w:t>
      </w:r>
      <w:r w:rsidR="004109BC" w:rsidRPr="002C69BF">
        <w:rPr>
          <w:rFonts w:ascii="Times New Roman" w:hAnsi="Times New Roman" w:cs="Times New Roman"/>
          <w:sz w:val="24"/>
          <w:szCs w:val="24"/>
        </w:rPr>
        <w:t xml:space="preserve">moksliuose </w:t>
      </w:r>
      <w:r w:rsidR="00767554" w:rsidRPr="002C69BF">
        <w:rPr>
          <w:rFonts w:ascii="Times New Roman" w:hAnsi="Times New Roman" w:cs="Times New Roman"/>
          <w:sz w:val="24"/>
          <w:szCs w:val="24"/>
        </w:rPr>
        <w:t>vidutiniškai mokslininkui skiriamo finansavimo</w:t>
      </w:r>
      <w:r w:rsidR="004109BC" w:rsidRPr="002C69BF">
        <w:rPr>
          <w:rFonts w:ascii="Times New Roman" w:hAnsi="Times New Roman" w:cs="Times New Roman"/>
          <w:sz w:val="24"/>
          <w:szCs w:val="24"/>
        </w:rPr>
        <w:t xml:space="preserve"> </w:t>
      </w:r>
      <w:r w:rsidR="00767554" w:rsidRPr="002C69BF">
        <w:rPr>
          <w:rFonts w:ascii="Times New Roman" w:hAnsi="Times New Roman" w:cs="Times New Roman"/>
          <w:sz w:val="24"/>
          <w:szCs w:val="24"/>
        </w:rPr>
        <w:t>(</w:t>
      </w:r>
      <w:r w:rsidR="00F75D26" w:rsidRPr="002C69BF">
        <w:rPr>
          <w:rFonts w:ascii="Times New Roman" w:hAnsi="Times New Roman" w:cs="Times New Roman"/>
          <w:sz w:val="24"/>
          <w:szCs w:val="24"/>
        </w:rPr>
        <w:t>išlyginimo koeficientas 1,5 yra</w:t>
      </w:r>
      <w:r w:rsidR="00767554" w:rsidRPr="002C69BF">
        <w:rPr>
          <w:rFonts w:ascii="Times New Roman" w:hAnsi="Times New Roman" w:cs="Times New Roman"/>
          <w:sz w:val="24"/>
          <w:szCs w:val="24"/>
        </w:rPr>
        <w:t xml:space="preserve"> apskaičiuotas remiantis 2018</w:t>
      </w:r>
      <w:r w:rsidR="00A34B2D" w:rsidRPr="002C69BF">
        <w:rPr>
          <w:rFonts w:ascii="Times New Roman" w:hAnsi="Times New Roman" w:cs="Times New Roman"/>
          <w:sz w:val="24"/>
          <w:szCs w:val="24"/>
        </w:rPr>
        <w:t xml:space="preserve"> </w:t>
      </w:r>
      <w:r w:rsidR="00767554" w:rsidRPr="002C69BF">
        <w:rPr>
          <w:rFonts w:ascii="Times New Roman" w:hAnsi="Times New Roman" w:cs="Times New Roman"/>
          <w:sz w:val="24"/>
          <w:szCs w:val="24"/>
        </w:rPr>
        <w:t>m. duomenimis)</w:t>
      </w:r>
      <w:r w:rsidR="004109BC" w:rsidRPr="002C69BF">
        <w:rPr>
          <w:rFonts w:ascii="Times New Roman" w:hAnsi="Times New Roman" w:cs="Times New Roman"/>
          <w:sz w:val="24"/>
          <w:szCs w:val="24"/>
        </w:rPr>
        <w:t xml:space="preserve"> ir atėmus lėšas, </w:t>
      </w:r>
      <w:r w:rsidR="007233D3" w:rsidRPr="002C69BF">
        <w:rPr>
          <w:rFonts w:ascii="Times New Roman" w:hAnsi="Times New Roman" w:cs="Times New Roman"/>
          <w:sz w:val="24"/>
          <w:szCs w:val="24"/>
        </w:rPr>
        <w:t xml:space="preserve">institutams </w:t>
      </w:r>
      <w:r w:rsidR="00360025" w:rsidRPr="002C69BF">
        <w:rPr>
          <w:rFonts w:ascii="Times New Roman" w:hAnsi="Times New Roman" w:cs="Times New Roman"/>
          <w:sz w:val="24"/>
          <w:szCs w:val="24"/>
        </w:rPr>
        <w:t>skirtas 2018</w:t>
      </w:r>
      <w:r w:rsidR="004109BC" w:rsidRPr="002C69BF">
        <w:rPr>
          <w:rFonts w:ascii="Times New Roman" w:hAnsi="Times New Roman" w:cs="Times New Roman"/>
          <w:sz w:val="24"/>
          <w:szCs w:val="24"/>
        </w:rPr>
        <w:t xml:space="preserve"> m. </w:t>
      </w:r>
      <w:r w:rsidR="00F45D57" w:rsidRPr="002C69BF">
        <w:rPr>
          <w:rFonts w:ascii="Times New Roman" w:hAnsi="Times New Roman" w:cs="Times New Roman"/>
          <w:sz w:val="24"/>
          <w:szCs w:val="24"/>
        </w:rPr>
        <w:t>Tokiu pačiu algoritmu perskaičiuo</w:t>
      </w:r>
      <w:r w:rsidR="007E232A" w:rsidRPr="002C69BF">
        <w:rPr>
          <w:rFonts w:ascii="Times New Roman" w:hAnsi="Times New Roman" w:cs="Times New Roman"/>
          <w:sz w:val="24"/>
          <w:szCs w:val="24"/>
        </w:rPr>
        <w:t>tos</w:t>
      </w:r>
      <w:r w:rsidR="00F45D57" w:rsidRPr="000523E7">
        <w:rPr>
          <w:rFonts w:ascii="Times New Roman" w:hAnsi="Times New Roman" w:cs="Times New Roman"/>
          <w:sz w:val="24"/>
          <w:szCs w:val="24"/>
        </w:rPr>
        <w:t xml:space="preserve"> </w:t>
      </w:r>
      <w:r w:rsidR="007E232A" w:rsidRPr="000523E7">
        <w:rPr>
          <w:rFonts w:ascii="Times New Roman" w:hAnsi="Times New Roman" w:cs="Times New Roman"/>
          <w:sz w:val="24"/>
          <w:szCs w:val="24"/>
        </w:rPr>
        <w:t xml:space="preserve"> ir kitos </w:t>
      </w:r>
      <w:r w:rsidR="00F45D57" w:rsidRPr="000523E7">
        <w:rPr>
          <w:rFonts w:ascii="Times New Roman" w:hAnsi="Times New Roman" w:cs="Times New Roman"/>
          <w:sz w:val="24"/>
          <w:szCs w:val="24"/>
        </w:rPr>
        <w:t>lėšos</w:t>
      </w:r>
      <w:r w:rsidR="007E232A" w:rsidRPr="000523E7">
        <w:rPr>
          <w:rFonts w:ascii="Times New Roman" w:hAnsi="Times New Roman" w:cs="Times New Roman"/>
          <w:sz w:val="24"/>
          <w:szCs w:val="24"/>
        </w:rPr>
        <w:t>.</w:t>
      </w:r>
      <w:r w:rsidR="00171C77" w:rsidRPr="000523E7">
        <w:rPr>
          <w:rFonts w:ascii="Times New Roman" w:hAnsi="Times New Roman" w:cs="Times New Roman"/>
          <w:sz w:val="24"/>
          <w:szCs w:val="24"/>
        </w:rPr>
        <w:t xml:space="preserve"> Apskaičiuojant lėšų poreikį 2021 m. ir 2020 m. buvo atsižvelgta į strateginiame plane numatytą finansavimą. </w:t>
      </w:r>
    </w:p>
    <w:p w:rsidR="00F45D57" w:rsidRPr="000523E7" w:rsidRDefault="00D106DF" w:rsidP="00363C13">
      <w:pPr>
        <w:spacing w:after="0" w:line="240" w:lineRule="auto"/>
        <w:jc w:val="both"/>
        <w:rPr>
          <w:rFonts w:ascii="Times New Roman" w:hAnsi="Times New Roman" w:cs="Times New Roman"/>
          <w:sz w:val="24"/>
          <w:szCs w:val="24"/>
        </w:rPr>
      </w:pPr>
      <w:r w:rsidRPr="000523E7">
        <w:rPr>
          <w:rFonts w:ascii="Times New Roman" w:hAnsi="Times New Roman" w:cs="Times New Roman"/>
          <w:sz w:val="24"/>
          <w:szCs w:val="24"/>
        </w:rPr>
        <w:t xml:space="preserve">Pradėjus </w:t>
      </w:r>
      <w:r w:rsidR="00F45D57" w:rsidRPr="000523E7">
        <w:rPr>
          <w:rFonts w:ascii="Times New Roman" w:hAnsi="Times New Roman" w:cs="Times New Roman"/>
          <w:sz w:val="24"/>
          <w:szCs w:val="24"/>
        </w:rPr>
        <w:t>socialinių mokslų tyrimų institu</w:t>
      </w:r>
      <w:r w:rsidRPr="000523E7">
        <w:rPr>
          <w:rFonts w:ascii="Times New Roman" w:hAnsi="Times New Roman" w:cs="Times New Roman"/>
          <w:sz w:val="24"/>
          <w:szCs w:val="24"/>
        </w:rPr>
        <w:t>tų mokslo darbuotojams kelti reikalavimus</w:t>
      </w:r>
      <w:r w:rsidR="00F45D57" w:rsidRPr="000523E7">
        <w:rPr>
          <w:rFonts w:ascii="Times New Roman" w:hAnsi="Times New Roman" w:cs="Times New Roman"/>
          <w:sz w:val="24"/>
          <w:szCs w:val="24"/>
        </w:rPr>
        <w:t xml:space="preserve"> skelbti mokslines publikacijas duomenų leidiniuose su citavimo indeksu </w:t>
      </w:r>
      <w:r w:rsidR="0087712A" w:rsidRPr="000523E7">
        <w:rPr>
          <w:rFonts w:ascii="Times New Roman" w:hAnsi="Times New Roman" w:cs="Times New Roman"/>
          <w:i/>
          <w:sz w:val="24"/>
          <w:szCs w:val="24"/>
        </w:rPr>
        <w:t>Clarivate A</w:t>
      </w:r>
      <w:r w:rsidR="00A34B2D" w:rsidRPr="000523E7">
        <w:rPr>
          <w:rFonts w:ascii="Times New Roman" w:hAnsi="Times New Roman" w:cs="Times New Roman"/>
          <w:i/>
          <w:sz w:val="24"/>
          <w:szCs w:val="24"/>
        </w:rPr>
        <w:t xml:space="preserve">nalytics </w:t>
      </w:r>
      <w:r w:rsidR="00F45D57" w:rsidRPr="000523E7">
        <w:rPr>
          <w:rFonts w:ascii="Times New Roman" w:hAnsi="Times New Roman" w:cs="Times New Roman"/>
          <w:sz w:val="24"/>
          <w:szCs w:val="24"/>
        </w:rPr>
        <w:t xml:space="preserve">ir </w:t>
      </w:r>
      <w:r w:rsidR="00A34B2D" w:rsidRPr="000523E7">
        <w:rPr>
          <w:rFonts w:ascii="Times New Roman" w:hAnsi="Times New Roman" w:cs="Times New Roman"/>
          <w:i/>
          <w:sz w:val="24"/>
          <w:szCs w:val="24"/>
        </w:rPr>
        <w:t>S</w:t>
      </w:r>
      <w:r w:rsidR="00F45D57" w:rsidRPr="000523E7">
        <w:rPr>
          <w:rFonts w:ascii="Times New Roman" w:hAnsi="Times New Roman" w:cs="Times New Roman"/>
          <w:i/>
          <w:sz w:val="24"/>
          <w:szCs w:val="24"/>
        </w:rPr>
        <w:t xml:space="preserve">COPUS </w:t>
      </w:r>
      <w:r w:rsidRPr="000523E7">
        <w:rPr>
          <w:rFonts w:ascii="Times New Roman" w:hAnsi="Times New Roman" w:cs="Times New Roman"/>
          <w:sz w:val="24"/>
          <w:szCs w:val="24"/>
        </w:rPr>
        <w:t>duomenų</w:t>
      </w:r>
      <w:r w:rsidR="00F45D57" w:rsidRPr="000523E7">
        <w:rPr>
          <w:rFonts w:ascii="Times New Roman" w:hAnsi="Times New Roman" w:cs="Times New Roman"/>
          <w:sz w:val="24"/>
          <w:szCs w:val="24"/>
        </w:rPr>
        <w:t xml:space="preserve"> </w:t>
      </w:r>
      <w:r w:rsidR="007E232A" w:rsidRPr="000523E7">
        <w:rPr>
          <w:rFonts w:ascii="Times New Roman" w:hAnsi="Times New Roman" w:cs="Times New Roman"/>
          <w:sz w:val="24"/>
          <w:szCs w:val="24"/>
        </w:rPr>
        <w:t>bazėse</w:t>
      </w:r>
      <w:r w:rsidRPr="000523E7">
        <w:rPr>
          <w:rFonts w:ascii="Times New Roman" w:hAnsi="Times New Roman" w:cs="Times New Roman"/>
          <w:sz w:val="24"/>
          <w:szCs w:val="24"/>
        </w:rPr>
        <w:t xml:space="preserve"> padidėjo lėšų poreikis tokių straipsnių publikavimui, įskaitant anglakalbio redaktoriaus peržiūr</w:t>
      </w:r>
      <w:r w:rsidR="007E232A" w:rsidRPr="000523E7">
        <w:rPr>
          <w:rFonts w:ascii="Times New Roman" w:hAnsi="Times New Roman" w:cs="Times New Roman"/>
          <w:sz w:val="24"/>
          <w:szCs w:val="24"/>
        </w:rPr>
        <w:t>ą</w:t>
      </w:r>
      <w:r w:rsidRPr="000523E7">
        <w:rPr>
          <w:rFonts w:ascii="Times New Roman" w:hAnsi="Times New Roman" w:cs="Times New Roman"/>
          <w:sz w:val="24"/>
          <w:szCs w:val="24"/>
        </w:rPr>
        <w:t>.</w:t>
      </w:r>
      <w:r w:rsidR="00F45D57" w:rsidRPr="000523E7">
        <w:rPr>
          <w:rFonts w:ascii="Times New Roman" w:hAnsi="Times New Roman" w:cs="Times New Roman"/>
          <w:sz w:val="24"/>
          <w:szCs w:val="24"/>
        </w:rPr>
        <w:t xml:space="preserve"> Siekiant pe</w:t>
      </w:r>
      <w:r w:rsidR="007E232A" w:rsidRPr="000523E7">
        <w:rPr>
          <w:rFonts w:ascii="Times New Roman" w:hAnsi="Times New Roman" w:cs="Times New Roman"/>
          <w:sz w:val="24"/>
          <w:szCs w:val="24"/>
        </w:rPr>
        <w:t>r trumpą laiką parodyti teigiamus</w:t>
      </w:r>
      <w:r w:rsidR="00F45D57" w:rsidRPr="000523E7">
        <w:rPr>
          <w:rFonts w:ascii="Times New Roman" w:hAnsi="Times New Roman" w:cs="Times New Roman"/>
          <w:sz w:val="24"/>
          <w:szCs w:val="24"/>
        </w:rPr>
        <w:t xml:space="preserve"> institutų </w:t>
      </w:r>
      <w:r w:rsidR="00A34B2D" w:rsidRPr="000523E7">
        <w:rPr>
          <w:rFonts w:ascii="Times New Roman" w:hAnsi="Times New Roman" w:cs="Times New Roman"/>
          <w:sz w:val="24"/>
          <w:szCs w:val="24"/>
        </w:rPr>
        <w:t>reorganizacijos rezultatus, būtina skirti lėšas publikacij</w:t>
      </w:r>
      <w:r w:rsidR="002C69BF">
        <w:rPr>
          <w:rFonts w:ascii="Times New Roman" w:hAnsi="Times New Roman" w:cs="Times New Roman"/>
          <w:sz w:val="24"/>
          <w:szCs w:val="24"/>
        </w:rPr>
        <w:t>oms</w:t>
      </w:r>
      <w:r w:rsidR="00A34B2D" w:rsidRPr="000523E7">
        <w:rPr>
          <w:rFonts w:ascii="Times New Roman" w:hAnsi="Times New Roman" w:cs="Times New Roman"/>
          <w:sz w:val="24"/>
          <w:szCs w:val="24"/>
        </w:rPr>
        <w:t xml:space="preserve"> skelb</w:t>
      </w:r>
      <w:r w:rsidR="002C69BF">
        <w:rPr>
          <w:rFonts w:ascii="Times New Roman" w:hAnsi="Times New Roman" w:cs="Times New Roman"/>
          <w:sz w:val="24"/>
          <w:szCs w:val="24"/>
        </w:rPr>
        <w:t>ti</w:t>
      </w:r>
      <w:r w:rsidR="00A34B2D" w:rsidRPr="000523E7">
        <w:rPr>
          <w:rFonts w:ascii="Times New Roman" w:hAnsi="Times New Roman" w:cs="Times New Roman"/>
          <w:sz w:val="24"/>
          <w:szCs w:val="24"/>
        </w:rPr>
        <w:t xml:space="preserve"> atviros prieigos duomenų žurnaluose. </w:t>
      </w:r>
    </w:p>
    <w:p w:rsidR="00A361C1" w:rsidRPr="000523E7" w:rsidRDefault="00A361C1" w:rsidP="00363C13">
      <w:pPr>
        <w:spacing w:after="0" w:line="240" w:lineRule="auto"/>
        <w:jc w:val="both"/>
        <w:rPr>
          <w:rFonts w:ascii="Times New Roman" w:hAnsi="Times New Roman" w:cs="Times New Roman"/>
          <w:sz w:val="24"/>
          <w:szCs w:val="24"/>
        </w:rPr>
      </w:pPr>
    </w:p>
    <w:p w:rsidR="000E1BE5" w:rsidRPr="000523E7" w:rsidRDefault="000E1BE5" w:rsidP="00363C13">
      <w:pPr>
        <w:spacing w:after="0" w:line="240" w:lineRule="auto"/>
        <w:jc w:val="both"/>
        <w:rPr>
          <w:rFonts w:ascii="Times New Roman" w:hAnsi="Times New Roman" w:cs="Times New Roman"/>
          <w:sz w:val="24"/>
          <w:szCs w:val="24"/>
        </w:rPr>
      </w:pPr>
      <w:r w:rsidRPr="000523E7">
        <w:rPr>
          <w:rFonts w:ascii="Times New Roman" w:hAnsi="Times New Roman" w:cs="Times New Roman"/>
          <w:sz w:val="24"/>
          <w:szCs w:val="24"/>
        </w:rPr>
        <w:t>IŠLAIDŲ TEISINIAMS ADMINISTRACINIAMS IR VIEŠINIMO VEIKSMAMS PAGRINDIMAS</w:t>
      </w:r>
    </w:p>
    <w:p w:rsidR="00A361C1" w:rsidRPr="000523E7" w:rsidRDefault="00A361C1" w:rsidP="00363C13">
      <w:pPr>
        <w:spacing w:after="0" w:line="240" w:lineRule="auto"/>
        <w:jc w:val="both"/>
        <w:rPr>
          <w:rFonts w:ascii="Times New Roman" w:hAnsi="Times New Roman" w:cs="Times New Roman"/>
          <w:sz w:val="24"/>
          <w:szCs w:val="24"/>
        </w:rPr>
      </w:pPr>
    </w:p>
    <w:p w:rsidR="00D745FD" w:rsidRPr="000523E7" w:rsidRDefault="000E1BE5" w:rsidP="00363C13">
      <w:pPr>
        <w:spacing w:after="0" w:line="240" w:lineRule="auto"/>
        <w:jc w:val="both"/>
        <w:rPr>
          <w:rFonts w:ascii="Times New Roman" w:hAnsi="Times New Roman" w:cs="Times New Roman"/>
          <w:sz w:val="24"/>
          <w:szCs w:val="24"/>
        </w:rPr>
      </w:pPr>
      <w:r w:rsidRPr="000523E7">
        <w:rPr>
          <w:rFonts w:ascii="Times New Roman" w:hAnsi="Times New Roman" w:cs="Times New Roman"/>
          <w:sz w:val="24"/>
          <w:szCs w:val="24"/>
        </w:rPr>
        <w:t xml:space="preserve">Institutų reorganizacija pareikalaus papildomų išlaidų dėl naujai įsteigto </w:t>
      </w:r>
      <w:r w:rsidRPr="002C69BF">
        <w:rPr>
          <w:rFonts w:ascii="Times New Roman" w:hAnsi="Times New Roman" w:cs="Times New Roman"/>
          <w:sz w:val="24"/>
          <w:szCs w:val="24"/>
        </w:rPr>
        <w:t>centro</w:t>
      </w:r>
      <w:r w:rsidRPr="000523E7">
        <w:rPr>
          <w:rFonts w:ascii="Times New Roman" w:hAnsi="Times New Roman" w:cs="Times New Roman"/>
          <w:sz w:val="24"/>
          <w:szCs w:val="24"/>
        </w:rPr>
        <w:t xml:space="preserve"> registravimo, iškabų keitimo, naujo ženklo sukūrimo, naujos </w:t>
      </w:r>
      <w:r w:rsidR="00767554" w:rsidRPr="000523E7">
        <w:rPr>
          <w:rFonts w:ascii="Times New Roman" w:hAnsi="Times New Roman" w:cs="Times New Roman"/>
          <w:sz w:val="24"/>
          <w:szCs w:val="24"/>
        </w:rPr>
        <w:t>svetainės sukūrimo</w:t>
      </w:r>
      <w:r w:rsidR="00F75D26" w:rsidRPr="000523E7">
        <w:rPr>
          <w:rFonts w:ascii="Times New Roman" w:hAnsi="Times New Roman" w:cs="Times New Roman"/>
          <w:sz w:val="24"/>
          <w:szCs w:val="24"/>
        </w:rPr>
        <w:t xml:space="preserve"> ir pan</w:t>
      </w:r>
      <w:r w:rsidR="00767554" w:rsidRPr="000523E7">
        <w:rPr>
          <w:rFonts w:ascii="Times New Roman" w:hAnsi="Times New Roman" w:cs="Times New Roman"/>
          <w:sz w:val="24"/>
          <w:szCs w:val="24"/>
        </w:rPr>
        <w:t xml:space="preserve">. </w:t>
      </w:r>
    </w:p>
    <w:p w:rsidR="00D745FD" w:rsidRPr="000523E7" w:rsidRDefault="00D745FD" w:rsidP="00363C13">
      <w:pPr>
        <w:pStyle w:val="Sraopastraipa"/>
        <w:tabs>
          <w:tab w:val="left" w:pos="5103"/>
        </w:tabs>
        <w:spacing w:after="0" w:line="240" w:lineRule="auto"/>
        <w:ind w:left="0"/>
        <w:jc w:val="both"/>
        <w:rPr>
          <w:rFonts w:ascii="Times New Roman" w:hAnsi="Times New Roman" w:cs="Times New Roman"/>
          <w:sz w:val="24"/>
          <w:szCs w:val="24"/>
        </w:rPr>
      </w:pPr>
    </w:p>
    <w:tbl>
      <w:tblPr>
        <w:tblStyle w:val="Lentelstinklelis"/>
        <w:tblW w:w="9214" w:type="dxa"/>
        <w:tblInd w:w="108" w:type="dxa"/>
        <w:tblLayout w:type="fixed"/>
        <w:tblLook w:val="04A0" w:firstRow="1" w:lastRow="0" w:firstColumn="1" w:lastColumn="0" w:noHBand="0" w:noVBand="1"/>
      </w:tblPr>
      <w:tblGrid>
        <w:gridCol w:w="4678"/>
        <w:gridCol w:w="1559"/>
        <w:gridCol w:w="1418"/>
        <w:gridCol w:w="1559"/>
      </w:tblGrid>
      <w:tr w:rsidR="00804311" w:rsidRPr="000523E7" w:rsidTr="00804311">
        <w:trPr>
          <w:trHeight w:val="272"/>
        </w:trPr>
        <w:tc>
          <w:tcPr>
            <w:tcW w:w="4678" w:type="dxa"/>
            <w:vMerge w:val="restart"/>
          </w:tcPr>
          <w:p w:rsidR="00804311" w:rsidRPr="000523E7" w:rsidRDefault="00804311" w:rsidP="00A361C1">
            <w:pPr>
              <w:jc w:val="center"/>
              <w:rPr>
                <w:rFonts w:ascii="Times New Roman" w:hAnsi="Times New Roman" w:cs="Times New Roman"/>
                <w:sz w:val="24"/>
                <w:szCs w:val="24"/>
              </w:rPr>
            </w:pPr>
          </w:p>
          <w:p w:rsidR="00804311" w:rsidRPr="000523E7" w:rsidRDefault="00804311" w:rsidP="00A361C1">
            <w:pPr>
              <w:jc w:val="center"/>
              <w:rPr>
                <w:rFonts w:ascii="Times New Roman" w:hAnsi="Times New Roman" w:cs="Times New Roman"/>
                <w:sz w:val="24"/>
                <w:szCs w:val="24"/>
              </w:rPr>
            </w:pPr>
            <w:r w:rsidRPr="000523E7">
              <w:rPr>
                <w:rFonts w:ascii="Times New Roman" w:hAnsi="Times New Roman" w:cs="Times New Roman"/>
                <w:sz w:val="24"/>
                <w:szCs w:val="24"/>
              </w:rPr>
              <w:t>Išlaidos</w:t>
            </w:r>
          </w:p>
        </w:tc>
        <w:tc>
          <w:tcPr>
            <w:tcW w:w="4536" w:type="dxa"/>
            <w:gridSpan w:val="3"/>
          </w:tcPr>
          <w:p w:rsidR="00804311" w:rsidRPr="000523E7" w:rsidRDefault="00804311" w:rsidP="00A361C1">
            <w:pPr>
              <w:jc w:val="center"/>
              <w:rPr>
                <w:rFonts w:ascii="Times New Roman" w:hAnsi="Times New Roman" w:cs="Times New Roman"/>
                <w:sz w:val="24"/>
                <w:szCs w:val="24"/>
              </w:rPr>
            </w:pPr>
            <w:r w:rsidRPr="000523E7">
              <w:rPr>
                <w:rFonts w:ascii="Times New Roman" w:hAnsi="Times New Roman" w:cs="Times New Roman"/>
                <w:sz w:val="24"/>
                <w:szCs w:val="24"/>
              </w:rPr>
              <w:t>Reorganizavimui tūkst. EUR</w:t>
            </w:r>
          </w:p>
        </w:tc>
      </w:tr>
      <w:tr w:rsidR="00804311" w:rsidRPr="000523E7" w:rsidTr="00804311">
        <w:trPr>
          <w:trHeight w:val="391"/>
        </w:trPr>
        <w:tc>
          <w:tcPr>
            <w:tcW w:w="4678" w:type="dxa"/>
            <w:vMerge/>
          </w:tcPr>
          <w:p w:rsidR="00804311" w:rsidRPr="000523E7" w:rsidRDefault="00804311" w:rsidP="00A361C1">
            <w:pPr>
              <w:rPr>
                <w:rFonts w:ascii="Times New Roman" w:hAnsi="Times New Roman" w:cs="Times New Roman"/>
                <w:sz w:val="24"/>
                <w:szCs w:val="24"/>
              </w:rPr>
            </w:pPr>
          </w:p>
        </w:tc>
        <w:tc>
          <w:tcPr>
            <w:tcW w:w="1559" w:type="dxa"/>
          </w:tcPr>
          <w:p w:rsidR="00804311" w:rsidRPr="000523E7" w:rsidRDefault="00804311" w:rsidP="00EC1138">
            <w:pPr>
              <w:jc w:val="center"/>
              <w:rPr>
                <w:rFonts w:ascii="Times New Roman" w:hAnsi="Times New Roman" w:cs="Times New Roman"/>
                <w:sz w:val="24"/>
                <w:szCs w:val="24"/>
              </w:rPr>
            </w:pPr>
            <w:r w:rsidRPr="000523E7">
              <w:rPr>
                <w:rFonts w:ascii="Times New Roman" w:hAnsi="Times New Roman" w:cs="Times New Roman"/>
                <w:sz w:val="24"/>
                <w:szCs w:val="24"/>
              </w:rPr>
              <w:t>2020 m.</w:t>
            </w:r>
          </w:p>
        </w:tc>
        <w:tc>
          <w:tcPr>
            <w:tcW w:w="1418" w:type="dxa"/>
          </w:tcPr>
          <w:p w:rsidR="00804311" w:rsidRPr="000523E7" w:rsidRDefault="00804311" w:rsidP="00EC1138">
            <w:pPr>
              <w:jc w:val="center"/>
              <w:rPr>
                <w:rFonts w:ascii="Times New Roman" w:hAnsi="Times New Roman" w:cs="Times New Roman"/>
                <w:sz w:val="24"/>
                <w:szCs w:val="24"/>
              </w:rPr>
            </w:pPr>
            <w:r w:rsidRPr="000523E7">
              <w:rPr>
                <w:rFonts w:ascii="Times New Roman" w:hAnsi="Times New Roman" w:cs="Times New Roman"/>
                <w:sz w:val="24"/>
                <w:szCs w:val="24"/>
              </w:rPr>
              <w:t>2021 m.</w:t>
            </w:r>
          </w:p>
        </w:tc>
        <w:tc>
          <w:tcPr>
            <w:tcW w:w="1559" w:type="dxa"/>
          </w:tcPr>
          <w:p w:rsidR="00804311" w:rsidRPr="000523E7" w:rsidRDefault="00804311" w:rsidP="00EC1138">
            <w:pPr>
              <w:jc w:val="center"/>
              <w:rPr>
                <w:rFonts w:ascii="Times New Roman" w:hAnsi="Times New Roman" w:cs="Times New Roman"/>
                <w:sz w:val="24"/>
                <w:szCs w:val="24"/>
              </w:rPr>
            </w:pPr>
            <w:r w:rsidRPr="000523E7">
              <w:rPr>
                <w:rFonts w:ascii="Times New Roman" w:hAnsi="Times New Roman" w:cs="Times New Roman"/>
                <w:sz w:val="24"/>
                <w:szCs w:val="24"/>
              </w:rPr>
              <w:t>2022</w:t>
            </w:r>
            <w:r w:rsidR="002C69BF">
              <w:rPr>
                <w:rFonts w:ascii="Times New Roman" w:hAnsi="Times New Roman" w:cs="Times New Roman"/>
                <w:sz w:val="24"/>
                <w:szCs w:val="24"/>
              </w:rPr>
              <w:t xml:space="preserve"> </w:t>
            </w:r>
            <w:r w:rsidRPr="000523E7">
              <w:rPr>
                <w:rFonts w:ascii="Times New Roman" w:hAnsi="Times New Roman" w:cs="Times New Roman"/>
                <w:sz w:val="24"/>
                <w:szCs w:val="24"/>
              </w:rPr>
              <w:t>m.</w:t>
            </w:r>
          </w:p>
        </w:tc>
      </w:tr>
      <w:tr w:rsidR="00EC1138" w:rsidRPr="000523E7" w:rsidTr="001D60EE">
        <w:trPr>
          <w:trHeight w:val="333"/>
        </w:trPr>
        <w:tc>
          <w:tcPr>
            <w:tcW w:w="9214" w:type="dxa"/>
            <w:gridSpan w:val="4"/>
          </w:tcPr>
          <w:p w:rsidR="00EC1138" w:rsidRPr="000523E7" w:rsidRDefault="00EC1138" w:rsidP="00EC1138">
            <w:pPr>
              <w:jc w:val="center"/>
              <w:rPr>
                <w:rFonts w:ascii="Times New Roman" w:hAnsi="Times New Roman" w:cs="Times New Roman"/>
                <w:sz w:val="24"/>
                <w:szCs w:val="24"/>
              </w:rPr>
            </w:pPr>
            <w:r w:rsidRPr="000523E7">
              <w:rPr>
                <w:rFonts w:ascii="Times New Roman" w:hAnsi="Times New Roman" w:cs="Times New Roman"/>
                <w:sz w:val="24"/>
                <w:szCs w:val="24"/>
              </w:rPr>
              <w:t>Lietuvos agrarinės ekonomikos institutas</w:t>
            </w:r>
          </w:p>
        </w:tc>
      </w:tr>
      <w:tr w:rsidR="00804311" w:rsidRPr="000523E7" w:rsidTr="00804311">
        <w:trPr>
          <w:trHeight w:val="333"/>
        </w:trPr>
        <w:tc>
          <w:tcPr>
            <w:tcW w:w="4678" w:type="dxa"/>
          </w:tcPr>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Išeitinės išmokos darbuotojų atleidimui</w:t>
            </w:r>
          </w:p>
        </w:tc>
        <w:tc>
          <w:tcPr>
            <w:tcW w:w="1559" w:type="dxa"/>
          </w:tcPr>
          <w:p w:rsidR="00804311" w:rsidRPr="000523E7" w:rsidRDefault="00804311" w:rsidP="00A361C1">
            <w:pPr>
              <w:jc w:val="center"/>
              <w:rPr>
                <w:rFonts w:ascii="Times New Roman" w:hAnsi="Times New Roman" w:cs="Times New Roman"/>
                <w:sz w:val="24"/>
                <w:szCs w:val="24"/>
              </w:rPr>
            </w:pPr>
            <w:r w:rsidRPr="000523E7">
              <w:rPr>
                <w:rFonts w:ascii="Times New Roman" w:hAnsi="Times New Roman" w:cs="Times New Roman"/>
                <w:sz w:val="24"/>
                <w:szCs w:val="24"/>
              </w:rPr>
              <w:t>83,8 (10 darbuotojų)</w:t>
            </w:r>
          </w:p>
        </w:tc>
        <w:tc>
          <w:tcPr>
            <w:tcW w:w="1418" w:type="dxa"/>
          </w:tcPr>
          <w:p w:rsidR="00804311" w:rsidRPr="000523E7" w:rsidRDefault="00360025" w:rsidP="00A361C1">
            <w:pPr>
              <w:rPr>
                <w:rFonts w:ascii="Times New Roman" w:hAnsi="Times New Roman" w:cs="Times New Roman"/>
                <w:sz w:val="24"/>
                <w:szCs w:val="24"/>
              </w:rPr>
            </w:pPr>
            <w:r w:rsidRPr="000523E7">
              <w:rPr>
                <w:rFonts w:ascii="Times New Roman" w:hAnsi="Times New Roman" w:cs="Times New Roman"/>
                <w:sz w:val="24"/>
                <w:szCs w:val="24"/>
              </w:rPr>
              <w:t>41,9 (5 darbuotojai)</w:t>
            </w:r>
          </w:p>
        </w:tc>
        <w:tc>
          <w:tcPr>
            <w:tcW w:w="1559" w:type="dxa"/>
          </w:tcPr>
          <w:p w:rsidR="00804311" w:rsidRPr="000523E7" w:rsidRDefault="00804311" w:rsidP="00A361C1">
            <w:pPr>
              <w:rPr>
                <w:rFonts w:ascii="Times New Roman" w:hAnsi="Times New Roman" w:cs="Times New Roman"/>
                <w:sz w:val="24"/>
                <w:szCs w:val="24"/>
              </w:rPr>
            </w:pPr>
          </w:p>
        </w:tc>
      </w:tr>
      <w:tr w:rsidR="00804311" w:rsidRPr="000523E7" w:rsidTr="00804311">
        <w:trPr>
          <w:trHeight w:val="1662"/>
        </w:trPr>
        <w:tc>
          <w:tcPr>
            <w:tcW w:w="4678" w:type="dxa"/>
          </w:tcPr>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 xml:space="preserve">Infrastruktūros atnaujinimo išlaidos: </w:t>
            </w:r>
          </w:p>
          <w:p w:rsidR="00804311" w:rsidRPr="000523E7" w:rsidRDefault="00804311"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patalpų remontas ir įrengimas;</w:t>
            </w:r>
          </w:p>
          <w:p w:rsidR="00804311" w:rsidRPr="000523E7" w:rsidRDefault="00804311"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kompiuterių įsigijimui;</w:t>
            </w:r>
          </w:p>
          <w:p w:rsidR="00804311" w:rsidRPr="000523E7" w:rsidRDefault="00804311"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darbinės stotys ir tinklinė įranga</w:t>
            </w:r>
            <w:r w:rsidR="002C69BF">
              <w:rPr>
                <w:rFonts w:ascii="Times New Roman" w:hAnsi="Times New Roman" w:cs="Times New Roman"/>
                <w:sz w:val="24"/>
                <w:szCs w:val="24"/>
              </w:rPr>
              <w:t>;</w:t>
            </w:r>
          </w:p>
          <w:p w:rsidR="00804311" w:rsidRPr="000523E7" w:rsidRDefault="00804311" w:rsidP="002C69BF">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standartinės programinės įrangos įsigijimui</w:t>
            </w:r>
            <w:r w:rsidR="002C69BF">
              <w:rPr>
                <w:rFonts w:ascii="Times New Roman" w:hAnsi="Times New Roman" w:cs="Times New Roman"/>
                <w:sz w:val="24"/>
                <w:szCs w:val="24"/>
              </w:rPr>
              <w:t>.</w:t>
            </w:r>
          </w:p>
        </w:tc>
        <w:tc>
          <w:tcPr>
            <w:tcW w:w="1559" w:type="dxa"/>
          </w:tcPr>
          <w:p w:rsidR="00804311" w:rsidRPr="000523E7" w:rsidRDefault="00804311" w:rsidP="00A361C1">
            <w:pPr>
              <w:ind w:left="360"/>
              <w:rPr>
                <w:rFonts w:ascii="Times New Roman" w:hAnsi="Times New Roman" w:cs="Times New Roman"/>
                <w:sz w:val="24"/>
                <w:szCs w:val="24"/>
              </w:rPr>
            </w:pPr>
          </w:p>
          <w:p w:rsidR="00804311" w:rsidRPr="000523E7" w:rsidRDefault="00804311" w:rsidP="00A361C1">
            <w:pPr>
              <w:ind w:left="360"/>
              <w:rPr>
                <w:rFonts w:ascii="Times New Roman" w:hAnsi="Times New Roman" w:cs="Times New Roman"/>
                <w:sz w:val="24"/>
                <w:szCs w:val="24"/>
              </w:rPr>
            </w:pPr>
          </w:p>
          <w:p w:rsidR="00804311" w:rsidRPr="000523E7" w:rsidRDefault="00804311" w:rsidP="00A361C1">
            <w:pPr>
              <w:ind w:left="360"/>
              <w:rPr>
                <w:rFonts w:ascii="Times New Roman" w:hAnsi="Times New Roman" w:cs="Times New Roman"/>
                <w:sz w:val="24"/>
                <w:szCs w:val="24"/>
              </w:rPr>
            </w:pPr>
            <w:r w:rsidRPr="000523E7">
              <w:rPr>
                <w:rFonts w:ascii="Times New Roman" w:hAnsi="Times New Roman" w:cs="Times New Roman"/>
                <w:sz w:val="24"/>
                <w:szCs w:val="24"/>
              </w:rPr>
              <w:t>15</w:t>
            </w:r>
          </w:p>
          <w:p w:rsidR="00804311" w:rsidRPr="000523E7" w:rsidRDefault="00804311" w:rsidP="00A361C1">
            <w:pPr>
              <w:ind w:left="360"/>
              <w:rPr>
                <w:rFonts w:ascii="Times New Roman" w:hAnsi="Times New Roman" w:cs="Times New Roman"/>
                <w:sz w:val="24"/>
                <w:szCs w:val="24"/>
              </w:rPr>
            </w:pPr>
          </w:p>
          <w:p w:rsidR="00804311" w:rsidRPr="000523E7" w:rsidRDefault="00804311" w:rsidP="00A361C1">
            <w:pPr>
              <w:ind w:left="360"/>
              <w:rPr>
                <w:rFonts w:ascii="Times New Roman" w:hAnsi="Times New Roman" w:cs="Times New Roman"/>
                <w:sz w:val="24"/>
                <w:szCs w:val="24"/>
              </w:rPr>
            </w:pPr>
            <w:r w:rsidRPr="000523E7">
              <w:rPr>
                <w:rFonts w:ascii="Times New Roman" w:hAnsi="Times New Roman" w:cs="Times New Roman"/>
                <w:sz w:val="24"/>
                <w:szCs w:val="24"/>
              </w:rPr>
              <w:t>14,5</w:t>
            </w:r>
          </w:p>
          <w:p w:rsidR="00804311" w:rsidRPr="000523E7" w:rsidRDefault="00804311" w:rsidP="00A361C1">
            <w:pPr>
              <w:ind w:left="360"/>
              <w:rPr>
                <w:rFonts w:ascii="Times New Roman" w:hAnsi="Times New Roman" w:cs="Times New Roman"/>
                <w:sz w:val="24"/>
                <w:szCs w:val="24"/>
              </w:rPr>
            </w:pPr>
          </w:p>
        </w:tc>
        <w:tc>
          <w:tcPr>
            <w:tcW w:w="1418" w:type="dxa"/>
          </w:tcPr>
          <w:p w:rsidR="00804311" w:rsidRPr="000523E7" w:rsidRDefault="00804311" w:rsidP="00A361C1">
            <w:pPr>
              <w:ind w:left="360"/>
              <w:rPr>
                <w:rFonts w:ascii="Times New Roman" w:hAnsi="Times New Roman" w:cs="Times New Roman"/>
                <w:sz w:val="24"/>
                <w:szCs w:val="24"/>
              </w:rPr>
            </w:pPr>
          </w:p>
          <w:p w:rsidR="00804311" w:rsidRPr="000523E7" w:rsidRDefault="00804311" w:rsidP="00A361C1">
            <w:pPr>
              <w:ind w:left="360"/>
              <w:rPr>
                <w:rFonts w:ascii="Times New Roman" w:hAnsi="Times New Roman" w:cs="Times New Roman"/>
                <w:sz w:val="24"/>
                <w:szCs w:val="24"/>
              </w:rPr>
            </w:pPr>
          </w:p>
          <w:p w:rsidR="00804311" w:rsidRPr="000523E7" w:rsidRDefault="00804311" w:rsidP="00A361C1">
            <w:pPr>
              <w:ind w:left="360"/>
              <w:rPr>
                <w:rFonts w:ascii="Times New Roman" w:hAnsi="Times New Roman" w:cs="Times New Roman"/>
                <w:sz w:val="24"/>
                <w:szCs w:val="24"/>
              </w:rPr>
            </w:pPr>
            <w:r w:rsidRPr="000523E7">
              <w:rPr>
                <w:rFonts w:ascii="Times New Roman" w:hAnsi="Times New Roman" w:cs="Times New Roman"/>
                <w:sz w:val="24"/>
                <w:szCs w:val="24"/>
              </w:rPr>
              <w:t>15</w:t>
            </w:r>
          </w:p>
          <w:p w:rsidR="00804311" w:rsidRPr="000523E7" w:rsidRDefault="00360025" w:rsidP="00360025">
            <w:pPr>
              <w:ind w:left="318" w:hanging="426"/>
              <w:jc w:val="center"/>
              <w:rPr>
                <w:rFonts w:ascii="Times New Roman" w:hAnsi="Times New Roman" w:cs="Times New Roman"/>
                <w:sz w:val="24"/>
                <w:szCs w:val="24"/>
              </w:rPr>
            </w:pPr>
            <w:r w:rsidRPr="000523E7">
              <w:rPr>
                <w:rFonts w:ascii="Times New Roman" w:hAnsi="Times New Roman" w:cs="Times New Roman"/>
                <w:sz w:val="24"/>
                <w:szCs w:val="24"/>
              </w:rPr>
              <w:t>35</w:t>
            </w:r>
          </w:p>
          <w:p w:rsidR="00804311" w:rsidRPr="000523E7" w:rsidRDefault="00804311" w:rsidP="00A361C1">
            <w:pPr>
              <w:ind w:left="360"/>
              <w:rPr>
                <w:rFonts w:ascii="Times New Roman" w:hAnsi="Times New Roman" w:cs="Times New Roman"/>
                <w:sz w:val="24"/>
                <w:szCs w:val="24"/>
              </w:rPr>
            </w:pPr>
            <w:r w:rsidRPr="000523E7">
              <w:rPr>
                <w:rFonts w:ascii="Times New Roman" w:hAnsi="Times New Roman" w:cs="Times New Roman"/>
                <w:sz w:val="24"/>
                <w:szCs w:val="24"/>
              </w:rPr>
              <w:t>2</w:t>
            </w:r>
          </w:p>
          <w:p w:rsidR="00804311" w:rsidRPr="000523E7" w:rsidRDefault="00804311" w:rsidP="00A361C1">
            <w:pPr>
              <w:ind w:left="360"/>
              <w:rPr>
                <w:rFonts w:ascii="Times New Roman" w:hAnsi="Times New Roman" w:cs="Times New Roman"/>
                <w:sz w:val="24"/>
                <w:szCs w:val="24"/>
              </w:rPr>
            </w:pPr>
          </w:p>
        </w:tc>
        <w:tc>
          <w:tcPr>
            <w:tcW w:w="1559" w:type="dxa"/>
          </w:tcPr>
          <w:p w:rsidR="00804311" w:rsidRPr="000523E7" w:rsidRDefault="00804311" w:rsidP="00A361C1">
            <w:pPr>
              <w:ind w:left="360"/>
              <w:rPr>
                <w:rFonts w:ascii="Times New Roman" w:hAnsi="Times New Roman" w:cs="Times New Roman"/>
                <w:sz w:val="24"/>
                <w:szCs w:val="24"/>
              </w:rPr>
            </w:pPr>
          </w:p>
          <w:p w:rsidR="00804311" w:rsidRPr="000523E7" w:rsidRDefault="00804311" w:rsidP="00A361C1">
            <w:pPr>
              <w:ind w:left="360"/>
              <w:rPr>
                <w:rFonts w:ascii="Times New Roman" w:hAnsi="Times New Roman" w:cs="Times New Roman"/>
                <w:sz w:val="24"/>
                <w:szCs w:val="24"/>
              </w:rPr>
            </w:pPr>
          </w:p>
          <w:p w:rsidR="00804311" w:rsidRPr="000523E7" w:rsidRDefault="00804311" w:rsidP="00A361C1">
            <w:pPr>
              <w:ind w:left="360"/>
              <w:rPr>
                <w:rFonts w:ascii="Times New Roman" w:hAnsi="Times New Roman" w:cs="Times New Roman"/>
                <w:sz w:val="24"/>
                <w:szCs w:val="24"/>
              </w:rPr>
            </w:pPr>
            <w:r w:rsidRPr="000523E7">
              <w:rPr>
                <w:rFonts w:ascii="Times New Roman" w:hAnsi="Times New Roman" w:cs="Times New Roman"/>
                <w:sz w:val="24"/>
                <w:szCs w:val="24"/>
              </w:rPr>
              <w:t>15</w:t>
            </w:r>
          </w:p>
          <w:p w:rsidR="00804311" w:rsidRPr="000523E7" w:rsidRDefault="00804311" w:rsidP="00A361C1">
            <w:pPr>
              <w:ind w:left="360"/>
              <w:rPr>
                <w:rFonts w:ascii="Times New Roman" w:hAnsi="Times New Roman" w:cs="Times New Roman"/>
                <w:sz w:val="24"/>
                <w:szCs w:val="24"/>
              </w:rPr>
            </w:pPr>
          </w:p>
          <w:p w:rsidR="00804311" w:rsidRPr="000523E7" w:rsidRDefault="00804311" w:rsidP="00A361C1">
            <w:pPr>
              <w:ind w:left="360"/>
              <w:rPr>
                <w:rFonts w:ascii="Times New Roman" w:hAnsi="Times New Roman" w:cs="Times New Roman"/>
                <w:sz w:val="24"/>
                <w:szCs w:val="24"/>
              </w:rPr>
            </w:pPr>
            <w:r w:rsidRPr="000523E7">
              <w:rPr>
                <w:rFonts w:ascii="Times New Roman" w:hAnsi="Times New Roman" w:cs="Times New Roman"/>
                <w:sz w:val="24"/>
                <w:szCs w:val="24"/>
              </w:rPr>
              <w:t>2</w:t>
            </w:r>
          </w:p>
          <w:p w:rsidR="00804311" w:rsidRPr="000523E7" w:rsidRDefault="00804311" w:rsidP="00A361C1">
            <w:pPr>
              <w:ind w:left="360"/>
              <w:rPr>
                <w:rFonts w:ascii="Times New Roman" w:hAnsi="Times New Roman" w:cs="Times New Roman"/>
                <w:sz w:val="24"/>
                <w:szCs w:val="24"/>
              </w:rPr>
            </w:pPr>
          </w:p>
        </w:tc>
      </w:tr>
      <w:tr w:rsidR="00B114A5" w:rsidRPr="000523E7" w:rsidTr="005A4DAF">
        <w:trPr>
          <w:trHeight w:val="3070"/>
        </w:trPr>
        <w:tc>
          <w:tcPr>
            <w:tcW w:w="4678" w:type="dxa"/>
          </w:tcPr>
          <w:p w:rsidR="00B114A5" w:rsidRPr="000523E7" w:rsidRDefault="00B114A5" w:rsidP="00A361C1">
            <w:pPr>
              <w:ind w:left="33"/>
              <w:rPr>
                <w:rFonts w:ascii="Times New Roman" w:hAnsi="Times New Roman" w:cs="Times New Roman"/>
                <w:sz w:val="24"/>
                <w:szCs w:val="24"/>
              </w:rPr>
            </w:pPr>
            <w:r w:rsidRPr="000523E7">
              <w:rPr>
                <w:rFonts w:ascii="Times New Roman" w:hAnsi="Times New Roman" w:cs="Times New Roman"/>
                <w:sz w:val="24"/>
                <w:szCs w:val="24"/>
              </w:rPr>
              <w:t>Išlaidos, skirtos tarptautiškumui didinti ir mokslo kokyb</w:t>
            </w:r>
            <w:r w:rsidR="002C69BF">
              <w:rPr>
                <w:rFonts w:ascii="Times New Roman" w:hAnsi="Times New Roman" w:cs="Times New Roman"/>
                <w:sz w:val="24"/>
                <w:szCs w:val="24"/>
              </w:rPr>
              <w:t>ei</w:t>
            </w:r>
            <w:r w:rsidRPr="000523E7">
              <w:rPr>
                <w:rFonts w:ascii="Times New Roman" w:hAnsi="Times New Roman" w:cs="Times New Roman"/>
                <w:sz w:val="24"/>
                <w:szCs w:val="24"/>
              </w:rPr>
              <w:t xml:space="preserve"> gerin</w:t>
            </w:r>
            <w:r w:rsidR="002C69BF">
              <w:rPr>
                <w:rFonts w:ascii="Times New Roman" w:hAnsi="Times New Roman" w:cs="Times New Roman"/>
                <w:sz w:val="24"/>
                <w:szCs w:val="24"/>
              </w:rPr>
              <w:t>ti:</w:t>
            </w:r>
          </w:p>
          <w:p w:rsidR="00B114A5" w:rsidRPr="000523E7" w:rsidRDefault="00B114A5"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naujų matematinių modelių įsigijimui;</w:t>
            </w:r>
          </w:p>
          <w:p w:rsidR="00B114A5" w:rsidRPr="000523E7" w:rsidRDefault="00B114A5"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straipsnių, skelbiamų ISI ir SCOPUS duomenų basėje, publikavimui ir anglakalbio redaktoriaus peržiūrai (kai reikalauja redakcija);</w:t>
            </w:r>
          </w:p>
          <w:p w:rsidR="00B114A5" w:rsidRPr="000523E7" w:rsidRDefault="00B114A5"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mokslinio personalo darbo užmokesčio ir kitų išlaidų atotrūkio nuo vidutinio finansavimo sumažinimui.</w:t>
            </w:r>
          </w:p>
          <w:p w:rsidR="00B114A5" w:rsidRPr="000523E7" w:rsidRDefault="00B114A5" w:rsidP="00A361C1">
            <w:pPr>
              <w:rPr>
                <w:rFonts w:ascii="Times New Roman" w:hAnsi="Times New Roman" w:cs="Times New Roman"/>
                <w:sz w:val="24"/>
                <w:szCs w:val="24"/>
              </w:rPr>
            </w:pPr>
          </w:p>
        </w:tc>
        <w:tc>
          <w:tcPr>
            <w:tcW w:w="1559" w:type="dxa"/>
          </w:tcPr>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r w:rsidRPr="000523E7">
              <w:rPr>
                <w:rFonts w:ascii="Times New Roman" w:hAnsi="Times New Roman" w:cs="Times New Roman"/>
                <w:sz w:val="24"/>
                <w:szCs w:val="24"/>
              </w:rPr>
              <w:t>42</w:t>
            </w: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360025" w:rsidP="00B114A5">
            <w:pPr>
              <w:ind w:left="360"/>
              <w:rPr>
                <w:rFonts w:ascii="Times New Roman" w:hAnsi="Times New Roman" w:cs="Times New Roman"/>
                <w:sz w:val="24"/>
                <w:szCs w:val="24"/>
              </w:rPr>
            </w:pPr>
            <w:r w:rsidRPr="000523E7">
              <w:rPr>
                <w:rFonts w:ascii="Times New Roman" w:hAnsi="Times New Roman" w:cs="Times New Roman"/>
                <w:sz w:val="24"/>
                <w:szCs w:val="24"/>
              </w:rPr>
              <w:t>203,5</w:t>
            </w:r>
          </w:p>
        </w:tc>
        <w:tc>
          <w:tcPr>
            <w:tcW w:w="1418" w:type="dxa"/>
          </w:tcPr>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r w:rsidRPr="000523E7">
              <w:rPr>
                <w:rFonts w:ascii="Times New Roman" w:hAnsi="Times New Roman" w:cs="Times New Roman"/>
                <w:sz w:val="24"/>
                <w:szCs w:val="24"/>
              </w:rPr>
              <w:t>10</w:t>
            </w:r>
          </w:p>
          <w:p w:rsidR="00B114A5" w:rsidRPr="000523E7" w:rsidRDefault="00B114A5" w:rsidP="00B114A5">
            <w:pPr>
              <w:ind w:left="360"/>
              <w:rPr>
                <w:rFonts w:ascii="Times New Roman" w:hAnsi="Times New Roman" w:cs="Times New Roman"/>
                <w:sz w:val="24"/>
                <w:szCs w:val="24"/>
              </w:rPr>
            </w:pPr>
            <w:r w:rsidRPr="000523E7">
              <w:rPr>
                <w:rFonts w:ascii="Times New Roman" w:hAnsi="Times New Roman" w:cs="Times New Roman"/>
                <w:sz w:val="24"/>
                <w:szCs w:val="24"/>
              </w:rPr>
              <w:t>42</w:t>
            </w: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highlight w:val="yellow"/>
              </w:rPr>
            </w:pPr>
          </w:p>
          <w:p w:rsidR="00B114A5" w:rsidRPr="000523E7" w:rsidRDefault="00B114A5" w:rsidP="00B114A5">
            <w:pPr>
              <w:ind w:left="360"/>
              <w:rPr>
                <w:rFonts w:ascii="Times New Roman" w:hAnsi="Times New Roman" w:cs="Times New Roman"/>
                <w:sz w:val="24"/>
                <w:szCs w:val="24"/>
                <w:highlight w:val="yellow"/>
              </w:rPr>
            </w:pPr>
          </w:p>
          <w:p w:rsidR="00B114A5" w:rsidRPr="000523E7" w:rsidRDefault="00360025" w:rsidP="00B114A5">
            <w:pPr>
              <w:ind w:left="360"/>
              <w:rPr>
                <w:rFonts w:ascii="Times New Roman" w:hAnsi="Times New Roman" w:cs="Times New Roman"/>
                <w:sz w:val="24"/>
                <w:szCs w:val="24"/>
              </w:rPr>
            </w:pPr>
            <w:r w:rsidRPr="000523E7">
              <w:rPr>
                <w:rFonts w:ascii="Times New Roman" w:hAnsi="Times New Roman" w:cs="Times New Roman"/>
                <w:sz w:val="24"/>
                <w:szCs w:val="24"/>
              </w:rPr>
              <w:t>223,9</w:t>
            </w:r>
          </w:p>
        </w:tc>
        <w:tc>
          <w:tcPr>
            <w:tcW w:w="1559" w:type="dxa"/>
          </w:tcPr>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r w:rsidRPr="000523E7">
              <w:rPr>
                <w:rFonts w:ascii="Times New Roman" w:hAnsi="Times New Roman" w:cs="Times New Roman"/>
                <w:sz w:val="24"/>
                <w:szCs w:val="24"/>
              </w:rPr>
              <w:t>5</w:t>
            </w:r>
          </w:p>
          <w:p w:rsidR="00B114A5" w:rsidRPr="000523E7" w:rsidRDefault="00B114A5" w:rsidP="00B114A5">
            <w:pPr>
              <w:ind w:left="360"/>
              <w:rPr>
                <w:rFonts w:ascii="Times New Roman" w:hAnsi="Times New Roman" w:cs="Times New Roman"/>
                <w:sz w:val="24"/>
                <w:szCs w:val="24"/>
              </w:rPr>
            </w:pPr>
            <w:r w:rsidRPr="000523E7">
              <w:rPr>
                <w:rFonts w:ascii="Times New Roman" w:hAnsi="Times New Roman" w:cs="Times New Roman"/>
                <w:sz w:val="24"/>
                <w:szCs w:val="24"/>
              </w:rPr>
              <w:t>42</w:t>
            </w: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rPr>
            </w:pPr>
          </w:p>
          <w:p w:rsidR="00B114A5" w:rsidRPr="000523E7" w:rsidRDefault="00B114A5" w:rsidP="00B114A5">
            <w:pPr>
              <w:ind w:left="360"/>
              <w:rPr>
                <w:rFonts w:ascii="Times New Roman" w:hAnsi="Times New Roman" w:cs="Times New Roman"/>
                <w:sz w:val="24"/>
                <w:szCs w:val="24"/>
                <w:highlight w:val="yellow"/>
              </w:rPr>
            </w:pPr>
          </w:p>
          <w:p w:rsidR="00B114A5" w:rsidRPr="000523E7" w:rsidRDefault="00B114A5" w:rsidP="00B114A5">
            <w:pPr>
              <w:ind w:left="360"/>
              <w:rPr>
                <w:rFonts w:ascii="Times New Roman" w:hAnsi="Times New Roman" w:cs="Times New Roman"/>
                <w:sz w:val="24"/>
                <w:szCs w:val="24"/>
                <w:highlight w:val="yellow"/>
              </w:rPr>
            </w:pPr>
          </w:p>
          <w:p w:rsidR="00B114A5" w:rsidRPr="000523E7" w:rsidRDefault="00360025" w:rsidP="00B114A5">
            <w:pPr>
              <w:ind w:left="360"/>
              <w:rPr>
                <w:rFonts w:ascii="Times New Roman" w:hAnsi="Times New Roman" w:cs="Times New Roman"/>
                <w:sz w:val="24"/>
                <w:szCs w:val="24"/>
              </w:rPr>
            </w:pPr>
            <w:r w:rsidRPr="000523E7">
              <w:rPr>
                <w:rFonts w:ascii="Times New Roman" w:hAnsi="Times New Roman" w:cs="Times New Roman"/>
                <w:sz w:val="24"/>
                <w:szCs w:val="24"/>
              </w:rPr>
              <w:t>246,2</w:t>
            </w:r>
          </w:p>
        </w:tc>
      </w:tr>
      <w:tr w:rsidR="00804311" w:rsidRPr="000523E7" w:rsidTr="00804311">
        <w:tc>
          <w:tcPr>
            <w:tcW w:w="4678" w:type="dxa"/>
          </w:tcPr>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Su reorganizacija susijusios teisinės administracinės išlaidos</w:t>
            </w:r>
          </w:p>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(iškabų keitimas, anspaudų keitimas, peržiūra dokumentų ir naujų dokumentų rengimas)</w:t>
            </w:r>
            <w:r w:rsidR="002C69BF">
              <w:rPr>
                <w:rFonts w:ascii="Times New Roman" w:hAnsi="Times New Roman" w:cs="Times New Roman"/>
                <w:sz w:val="24"/>
                <w:szCs w:val="24"/>
              </w:rPr>
              <w:t>.</w:t>
            </w:r>
            <w:r w:rsidRPr="000523E7">
              <w:rPr>
                <w:rFonts w:ascii="Times New Roman" w:hAnsi="Times New Roman" w:cs="Times New Roman"/>
                <w:sz w:val="24"/>
                <w:szCs w:val="24"/>
              </w:rPr>
              <w:t xml:space="preserve"> </w:t>
            </w:r>
          </w:p>
        </w:tc>
        <w:tc>
          <w:tcPr>
            <w:tcW w:w="1559" w:type="dxa"/>
          </w:tcPr>
          <w:p w:rsidR="00804311" w:rsidRPr="000523E7" w:rsidRDefault="00804311" w:rsidP="00A361C1">
            <w:pPr>
              <w:ind w:left="360"/>
              <w:rPr>
                <w:rFonts w:ascii="Times New Roman" w:hAnsi="Times New Roman" w:cs="Times New Roman"/>
                <w:sz w:val="24"/>
                <w:szCs w:val="24"/>
              </w:rPr>
            </w:pPr>
            <w:r w:rsidRPr="000523E7">
              <w:rPr>
                <w:rFonts w:ascii="Times New Roman" w:hAnsi="Times New Roman" w:cs="Times New Roman"/>
                <w:sz w:val="24"/>
                <w:szCs w:val="24"/>
              </w:rPr>
              <w:t>5,5</w:t>
            </w:r>
          </w:p>
        </w:tc>
        <w:tc>
          <w:tcPr>
            <w:tcW w:w="1418" w:type="dxa"/>
          </w:tcPr>
          <w:p w:rsidR="00804311" w:rsidRPr="000523E7" w:rsidRDefault="00804311" w:rsidP="00A361C1">
            <w:pPr>
              <w:rPr>
                <w:rFonts w:ascii="Times New Roman" w:hAnsi="Times New Roman" w:cs="Times New Roman"/>
                <w:sz w:val="24"/>
                <w:szCs w:val="24"/>
              </w:rPr>
            </w:pPr>
          </w:p>
        </w:tc>
        <w:tc>
          <w:tcPr>
            <w:tcW w:w="1559" w:type="dxa"/>
          </w:tcPr>
          <w:p w:rsidR="00804311" w:rsidRPr="000523E7" w:rsidRDefault="00804311" w:rsidP="00A361C1">
            <w:pPr>
              <w:rPr>
                <w:rFonts w:ascii="Times New Roman" w:hAnsi="Times New Roman" w:cs="Times New Roman"/>
                <w:sz w:val="24"/>
                <w:szCs w:val="24"/>
              </w:rPr>
            </w:pPr>
          </w:p>
        </w:tc>
      </w:tr>
      <w:tr w:rsidR="00804311" w:rsidRPr="000523E7" w:rsidTr="00804311">
        <w:tc>
          <w:tcPr>
            <w:tcW w:w="4678" w:type="dxa"/>
          </w:tcPr>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 xml:space="preserve">Naujos svetainės sukūrimas </w:t>
            </w:r>
          </w:p>
        </w:tc>
        <w:tc>
          <w:tcPr>
            <w:tcW w:w="1559" w:type="dxa"/>
          </w:tcPr>
          <w:p w:rsidR="00804311" w:rsidRPr="000523E7" w:rsidRDefault="00804311" w:rsidP="00A361C1">
            <w:pPr>
              <w:ind w:left="360"/>
              <w:rPr>
                <w:rFonts w:ascii="Times New Roman" w:hAnsi="Times New Roman" w:cs="Times New Roman"/>
                <w:sz w:val="24"/>
                <w:szCs w:val="24"/>
              </w:rPr>
            </w:pPr>
          </w:p>
        </w:tc>
        <w:tc>
          <w:tcPr>
            <w:tcW w:w="1418" w:type="dxa"/>
          </w:tcPr>
          <w:p w:rsidR="00804311" w:rsidRPr="000523E7" w:rsidRDefault="00804311" w:rsidP="00A361C1">
            <w:pPr>
              <w:ind w:left="360"/>
              <w:rPr>
                <w:rFonts w:ascii="Times New Roman" w:hAnsi="Times New Roman" w:cs="Times New Roman"/>
                <w:sz w:val="24"/>
                <w:szCs w:val="24"/>
              </w:rPr>
            </w:pPr>
            <w:r w:rsidRPr="000523E7">
              <w:rPr>
                <w:rFonts w:ascii="Times New Roman" w:hAnsi="Times New Roman" w:cs="Times New Roman"/>
                <w:sz w:val="24"/>
                <w:szCs w:val="24"/>
              </w:rPr>
              <w:t>5</w:t>
            </w:r>
          </w:p>
        </w:tc>
        <w:tc>
          <w:tcPr>
            <w:tcW w:w="1559" w:type="dxa"/>
          </w:tcPr>
          <w:p w:rsidR="00804311" w:rsidRPr="000523E7" w:rsidRDefault="00804311" w:rsidP="00A361C1">
            <w:pPr>
              <w:rPr>
                <w:rFonts w:ascii="Times New Roman" w:hAnsi="Times New Roman" w:cs="Times New Roman"/>
                <w:sz w:val="24"/>
                <w:szCs w:val="24"/>
              </w:rPr>
            </w:pPr>
          </w:p>
        </w:tc>
      </w:tr>
      <w:tr w:rsidR="00804311" w:rsidRPr="000523E7" w:rsidTr="00804311">
        <w:tc>
          <w:tcPr>
            <w:tcW w:w="4678" w:type="dxa"/>
          </w:tcPr>
          <w:p w:rsidR="00804311" w:rsidRPr="000523E7" w:rsidRDefault="002C69BF" w:rsidP="002C69BF">
            <w:pPr>
              <w:rPr>
                <w:rFonts w:ascii="Times New Roman" w:hAnsi="Times New Roman" w:cs="Times New Roman"/>
                <w:sz w:val="24"/>
                <w:szCs w:val="24"/>
              </w:rPr>
            </w:pPr>
            <w:r>
              <w:rPr>
                <w:rFonts w:ascii="Times New Roman" w:hAnsi="Times New Roman" w:cs="Times New Roman"/>
                <w:b/>
                <w:sz w:val="24"/>
                <w:szCs w:val="24"/>
              </w:rPr>
              <w:t>Iš v</w:t>
            </w:r>
            <w:r w:rsidR="00804311" w:rsidRPr="000523E7">
              <w:rPr>
                <w:rFonts w:ascii="Times New Roman" w:hAnsi="Times New Roman" w:cs="Times New Roman"/>
                <w:b/>
                <w:sz w:val="24"/>
                <w:szCs w:val="24"/>
              </w:rPr>
              <w:t>iso</w:t>
            </w:r>
          </w:p>
        </w:tc>
        <w:tc>
          <w:tcPr>
            <w:tcW w:w="1559" w:type="dxa"/>
          </w:tcPr>
          <w:p w:rsidR="00804311" w:rsidRPr="000523E7" w:rsidRDefault="00804311" w:rsidP="00360025">
            <w:pPr>
              <w:ind w:left="360"/>
              <w:rPr>
                <w:rFonts w:ascii="Times New Roman" w:hAnsi="Times New Roman" w:cs="Times New Roman"/>
                <w:sz w:val="24"/>
                <w:szCs w:val="24"/>
              </w:rPr>
            </w:pPr>
            <w:r w:rsidRPr="000523E7">
              <w:rPr>
                <w:rFonts w:ascii="Times New Roman" w:hAnsi="Times New Roman" w:cs="Times New Roman"/>
                <w:b/>
                <w:sz w:val="24"/>
                <w:szCs w:val="24"/>
              </w:rPr>
              <w:t>3</w:t>
            </w:r>
            <w:r w:rsidR="00360025" w:rsidRPr="000523E7">
              <w:rPr>
                <w:rFonts w:ascii="Times New Roman" w:hAnsi="Times New Roman" w:cs="Times New Roman"/>
                <w:b/>
                <w:sz w:val="24"/>
                <w:szCs w:val="24"/>
              </w:rPr>
              <w:t>64,3</w:t>
            </w:r>
          </w:p>
        </w:tc>
        <w:tc>
          <w:tcPr>
            <w:tcW w:w="1418" w:type="dxa"/>
          </w:tcPr>
          <w:p w:rsidR="00804311" w:rsidRPr="000523E7" w:rsidRDefault="00360025" w:rsidP="00360025">
            <w:pPr>
              <w:ind w:left="360"/>
              <w:rPr>
                <w:rFonts w:ascii="Times New Roman" w:hAnsi="Times New Roman" w:cs="Times New Roman"/>
                <w:sz w:val="24"/>
                <w:szCs w:val="24"/>
              </w:rPr>
            </w:pPr>
            <w:r w:rsidRPr="000523E7">
              <w:rPr>
                <w:rFonts w:ascii="Times New Roman" w:hAnsi="Times New Roman" w:cs="Times New Roman"/>
                <w:b/>
                <w:sz w:val="24"/>
                <w:szCs w:val="24"/>
              </w:rPr>
              <w:t>374,8</w:t>
            </w:r>
          </w:p>
        </w:tc>
        <w:tc>
          <w:tcPr>
            <w:tcW w:w="1559" w:type="dxa"/>
          </w:tcPr>
          <w:p w:rsidR="00767127" w:rsidRPr="000523E7" w:rsidRDefault="00360025" w:rsidP="00360025">
            <w:pPr>
              <w:jc w:val="center"/>
              <w:rPr>
                <w:rFonts w:ascii="Times New Roman" w:hAnsi="Times New Roman" w:cs="Times New Roman"/>
                <w:b/>
                <w:sz w:val="24"/>
                <w:szCs w:val="24"/>
              </w:rPr>
            </w:pPr>
            <w:r w:rsidRPr="000523E7">
              <w:rPr>
                <w:rFonts w:ascii="Times New Roman" w:hAnsi="Times New Roman" w:cs="Times New Roman"/>
                <w:b/>
                <w:sz w:val="24"/>
                <w:szCs w:val="24"/>
              </w:rPr>
              <w:t>310,2</w:t>
            </w:r>
          </w:p>
        </w:tc>
      </w:tr>
      <w:tr w:rsidR="00EC1138" w:rsidRPr="000523E7" w:rsidTr="009E2E9D">
        <w:tc>
          <w:tcPr>
            <w:tcW w:w="9214" w:type="dxa"/>
            <w:gridSpan w:val="4"/>
          </w:tcPr>
          <w:p w:rsidR="00EC1138" w:rsidRPr="000523E7" w:rsidRDefault="00EC1138" w:rsidP="00EC1138">
            <w:pPr>
              <w:jc w:val="center"/>
              <w:rPr>
                <w:rFonts w:ascii="Times New Roman" w:hAnsi="Times New Roman" w:cs="Times New Roman"/>
                <w:sz w:val="24"/>
                <w:szCs w:val="24"/>
              </w:rPr>
            </w:pPr>
            <w:r w:rsidRPr="000523E7">
              <w:rPr>
                <w:rFonts w:ascii="Times New Roman" w:hAnsi="Times New Roman" w:cs="Times New Roman"/>
                <w:sz w:val="24"/>
                <w:szCs w:val="24"/>
              </w:rPr>
              <w:t xml:space="preserve">Lietuvos socialinių tyrimų centras </w:t>
            </w:r>
          </w:p>
        </w:tc>
      </w:tr>
    </w:tbl>
    <w:tbl>
      <w:tblPr>
        <w:tblStyle w:val="Lentelstinklelis1"/>
        <w:tblW w:w="9214" w:type="dxa"/>
        <w:tblInd w:w="108" w:type="dxa"/>
        <w:tblLayout w:type="fixed"/>
        <w:tblLook w:val="04A0" w:firstRow="1" w:lastRow="0" w:firstColumn="1" w:lastColumn="0" w:noHBand="0" w:noVBand="1"/>
      </w:tblPr>
      <w:tblGrid>
        <w:gridCol w:w="4678"/>
        <w:gridCol w:w="1559"/>
        <w:gridCol w:w="1418"/>
        <w:gridCol w:w="1559"/>
      </w:tblGrid>
      <w:tr w:rsidR="00804311" w:rsidRPr="000523E7" w:rsidTr="00804311">
        <w:tc>
          <w:tcPr>
            <w:tcW w:w="4678" w:type="dxa"/>
          </w:tcPr>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 xml:space="preserve">Išeitinės išmokos darbuotojų atleidimui </w:t>
            </w:r>
          </w:p>
        </w:tc>
        <w:tc>
          <w:tcPr>
            <w:tcW w:w="1559" w:type="dxa"/>
          </w:tcPr>
          <w:p w:rsidR="00804311" w:rsidRPr="000523E7" w:rsidRDefault="00804311" w:rsidP="00E53BE8">
            <w:pPr>
              <w:ind w:left="34"/>
              <w:rPr>
                <w:rFonts w:ascii="Times New Roman" w:hAnsi="Times New Roman" w:cs="Times New Roman"/>
                <w:sz w:val="24"/>
                <w:szCs w:val="24"/>
              </w:rPr>
            </w:pPr>
            <w:r w:rsidRPr="000523E7">
              <w:rPr>
                <w:rFonts w:ascii="Times New Roman" w:hAnsi="Times New Roman" w:cs="Times New Roman"/>
                <w:sz w:val="24"/>
                <w:szCs w:val="24"/>
              </w:rPr>
              <w:t>1</w:t>
            </w:r>
            <w:r w:rsidR="00965DF8" w:rsidRPr="000523E7">
              <w:rPr>
                <w:rFonts w:ascii="Times New Roman" w:hAnsi="Times New Roman" w:cs="Times New Roman"/>
                <w:sz w:val="24"/>
                <w:szCs w:val="24"/>
              </w:rPr>
              <w:t>2</w:t>
            </w:r>
            <w:r w:rsidRPr="000523E7">
              <w:rPr>
                <w:rFonts w:ascii="Times New Roman" w:hAnsi="Times New Roman" w:cs="Times New Roman"/>
                <w:sz w:val="24"/>
                <w:szCs w:val="24"/>
              </w:rPr>
              <w:t>,</w:t>
            </w:r>
            <w:r w:rsidR="00965DF8" w:rsidRPr="000523E7">
              <w:rPr>
                <w:rFonts w:ascii="Times New Roman" w:hAnsi="Times New Roman" w:cs="Times New Roman"/>
                <w:sz w:val="24"/>
                <w:szCs w:val="24"/>
              </w:rPr>
              <w:t xml:space="preserve">1 </w:t>
            </w:r>
            <w:r w:rsidR="00171C77" w:rsidRPr="000523E7">
              <w:rPr>
                <w:rFonts w:ascii="Times New Roman" w:hAnsi="Times New Roman" w:cs="Times New Roman"/>
                <w:sz w:val="24"/>
                <w:szCs w:val="24"/>
              </w:rPr>
              <w:t>(3 darbuotojai)</w:t>
            </w:r>
          </w:p>
        </w:tc>
        <w:tc>
          <w:tcPr>
            <w:tcW w:w="1418" w:type="dxa"/>
          </w:tcPr>
          <w:p w:rsidR="00965DF8" w:rsidRPr="000523E7" w:rsidRDefault="00965DF8" w:rsidP="00E53BE8">
            <w:pPr>
              <w:rPr>
                <w:rFonts w:ascii="Times New Roman" w:hAnsi="Times New Roman" w:cs="Times New Roman"/>
                <w:sz w:val="24"/>
                <w:szCs w:val="24"/>
              </w:rPr>
            </w:pPr>
            <w:r w:rsidRPr="000523E7">
              <w:rPr>
                <w:rFonts w:ascii="Times New Roman" w:hAnsi="Times New Roman" w:cs="Times New Roman"/>
                <w:sz w:val="24"/>
                <w:szCs w:val="24"/>
              </w:rPr>
              <w:t>7</w:t>
            </w:r>
            <w:r w:rsidR="00804311" w:rsidRPr="000523E7">
              <w:rPr>
                <w:rFonts w:ascii="Times New Roman" w:hAnsi="Times New Roman" w:cs="Times New Roman"/>
                <w:sz w:val="24"/>
                <w:szCs w:val="24"/>
              </w:rPr>
              <w:t>,</w:t>
            </w:r>
            <w:r w:rsidRPr="000523E7">
              <w:rPr>
                <w:rFonts w:ascii="Times New Roman" w:hAnsi="Times New Roman" w:cs="Times New Roman"/>
                <w:sz w:val="24"/>
                <w:szCs w:val="24"/>
              </w:rPr>
              <w:t>5</w:t>
            </w:r>
            <w:r w:rsidR="00E53BE8" w:rsidRPr="000523E7">
              <w:rPr>
                <w:rFonts w:ascii="Times New Roman" w:hAnsi="Times New Roman" w:cs="Times New Roman"/>
                <w:sz w:val="24"/>
                <w:szCs w:val="24"/>
              </w:rPr>
              <w:t xml:space="preserve"> </w:t>
            </w:r>
            <w:r w:rsidR="00171C77" w:rsidRPr="000523E7">
              <w:rPr>
                <w:rFonts w:ascii="Times New Roman" w:hAnsi="Times New Roman" w:cs="Times New Roman"/>
                <w:sz w:val="24"/>
                <w:szCs w:val="24"/>
              </w:rPr>
              <w:t>(2 darbuotojai</w:t>
            </w:r>
            <w:r w:rsidR="00E53BE8" w:rsidRPr="000523E7">
              <w:rPr>
                <w:rFonts w:ascii="Times New Roman" w:hAnsi="Times New Roman" w:cs="Times New Roman"/>
                <w:sz w:val="24"/>
                <w:szCs w:val="24"/>
              </w:rPr>
              <w:t>)</w:t>
            </w:r>
          </w:p>
        </w:tc>
        <w:tc>
          <w:tcPr>
            <w:tcW w:w="1559" w:type="dxa"/>
          </w:tcPr>
          <w:p w:rsidR="00804311" w:rsidRPr="000523E7" w:rsidRDefault="00804311" w:rsidP="00A361C1">
            <w:pPr>
              <w:jc w:val="center"/>
              <w:rPr>
                <w:rFonts w:ascii="Times New Roman" w:hAnsi="Times New Roman" w:cs="Times New Roman"/>
                <w:sz w:val="24"/>
                <w:szCs w:val="24"/>
              </w:rPr>
            </w:pPr>
          </w:p>
        </w:tc>
      </w:tr>
      <w:tr w:rsidR="00804311" w:rsidRPr="000523E7" w:rsidTr="00804311">
        <w:trPr>
          <w:trHeight w:val="1389"/>
        </w:trPr>
        <w:tc>
          <w:tcPr>
            <w:tcW w:w="4678" w:type="dxa"/>
          </w:tcPr>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lastRenderedPageBreak/>
              <w:t xml:space="preserve">Infrastruktūros atnaujinimo išlaidos: </w:t>
            </w:r>
          </w:p>
          <w:p w:rsidR="00804311" w:rsidRPr="000523E7" w:rsidRDefault="00804311"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patalpų remontas ir įrengimas;</w:t>
            </w:r>
          </w:p>
          <w:p w:rsidR="00804311" w:rsidRPr="000523E7" w:rsidRDefault="00804311"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kompiuterių įsigijimui;</w:t>
            </w:r>
          </w:p>
          <w:p w:rsidR="00804311" w:rsidRPr="000523E7" w:rsidRDefault="00804311"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standartinės programinės įrangos įsigijimui</w:t>
            </w:r>
            <w:r w:rsidR="002C69BF">
              <w:rPr>
                <w:rFonts w:ascii="Times New Roman" w:hAnsi="Times New Roman" w:cs="Times New Roman"/>
                <w:sz w:val="24"/>
                <w:szCs w:val="24"/>
              </w:rPr>
              <w:t>.</w:t>
            </w:r>
          </w:p>
        </w:tc>
        <w:tc>
          <w:tcPr>
            <w:tcW w:w="1559" w:type="dxa"/>
          </w:tcPr>
          <w:p w:rsidR="00804311" w:rsidRPr="000523E7" w:rsidRDefault="00804311" w:rsidP="00A361C1">
            <w:pPr>
              <w:ind w:left="360"/>
              <w:rPr>
                <w:rFonts w:ascii="Times New Roman" w:hAnsi="Times New Roman" w:cs="Times New Roman"/>
                <w:sz w:val="24"/>
                <w:szCs w:val="24"/>
              </w:rPr>
            </w:pPr>
          </w:p>
          <w:p w:rsidR="00804311" w:rsidRPr="000523E7" w:rsidRDefault="00965DF8" w:rsidP="00A361C1">
            <w:pPr>
              <w:ind w:left="360"/>
              <w:rPr>
                <w:rFonts w:ascii="Times New Roman" w:hAnsi="Times New Roman" w:cs="Times New Roman"/>
                <w:sz w:val="24"/>
                <w:szCs w:val="24"/>
              </w:rPr>
            </w:pPr>
            <w:r w:rsidRPr="000523E7">
              <w:rPr>
                <w:rFonts w:ascii="Times New Roman" w:hAnsi="Times New Roman" w:cs="Times New Roman"/>
                <w:sz w:val="24"/>
                <w:szCs w:val="24"/>
              </w:rPr>
              <w:t>25,0</w:t>
            </w:r>
          </w:p>
          <w:p w:rsidR="00804311" w:rsidRPr="000523E7" w:rsidRDefault="00965DF8" w:rsidP="00A361C1">
            <w:pPr>
              <w:ind w:left="360"/>
              <w:rPr>
                <w:rFonts w:ascii="Times New Roman" w:hAnsi="Times New Roman" w:cs="Times New Roman"/>
                <w:sz w:val="24"/>
                <w:szCs w:val="24"/>
              </w:rPr>
            </w:pPr>
            <w:r w:rsidRPr="000523E7">
              <w:rPr>
                <w:rFonts w:ascii="Times New Roman" w:hAnsi="Times New Roman" w:cs="Times New Roman"/>
                <w:sz w:val="24"/>
                <w:szCs w:val="24"/>
              </w:rPr>
              <w:t>11,0</w:t>
            </w:r>
          </w:p>
          <w:p w:rsidR="00804311" w:rsidRPr="000523E7" w:rsidRDefault="00965DF8" w:rsidP="00A361C1">
            <w:pPr>
              <w:ind w:left="360"/>
              <w:rPr>
                <w:rFonts w:ascii="Times New Roman" w:hAnsi="Times New Roman" w:cs="Times New Roman"/>
                <w:sz w:val="24"/>
                <w:szCs w:val="24"/>
              </w:rPr>
            </w:pPr>
            <w:r w:rsidRPr="000523E7">
              <w:rPr>
                <w:rFonts w:ascii="Times New Roman" w:hAnsi="Times New Roman" w:cs="Times New Roman"/>
                <w:sz w:val="24"/>
                <w:szCs w:val="24"/>
              </w:rPr>
              <w:t>21,0</w:t>
            </w:r>
          </w:p>
        </w:tc>
        <w:tc>
          <w:tcPr>
            <w:tcW w:w="1418" w:type="dxa"/>
          </w:tcPr>
          <w:p w:rsidR="00804311" w:rsidRPr="000523E7" w:rsidRDefault="00804311" w:rsidP="00A361C1">
            <w:pPr>
              <w:ind w:left="360"/>
              <w:rPr>
                <w:rFonts w:ascii="Times New Roman" w:hAnsi="Times New Roman" w:cs="Times New Roman"/>
                <w:sz w:val="24"/>
                <w:szCs w:val="24"/>
              </w:rPr>
            </w:pPr>
          </w:p>
          <w:p w:rsidR="00804311" w:rsidRPr="000523E7" w:rsidRDefault="00965DF8" w:rsidP="00A361C1">
            <w:pPr>
              <w:ind w:left="360"/>
              <w:rPr>
                <w:rFonts w:ascii="Times New Roman" w:hAnsi="Times New Roman" w:cs="Times New Roman"/>
                <w:sz w:val="24"/>
                <w:szCs w:val="24"/>
              </w:rPr>
            </w:pPr>
            <w:r w:rsidRPr="000523E7">
              <w:rPr>
                <w:rFonts w:ascii="Times New Roman" w:hAnsi="Times New Roman" w:cs="Times New Roman"/>
                <w:sz w:val="24"/>
                <w:szCs w:val="24"/>
              </w:rPr>
              <w:t>46,0</w:t>
            </w:r>
          </w:p>
          <w:p w:rsidR="00804311" w:rsidRPr="000523E7" w:rsidRDefault="00965DF8" w:rsidP="00A361C1">
            <w:pPr>
              <w:ind w:left="360"/>
              <w:rPr>
                <w:rFonts w:ascii="Times New Roman" w:hAnsi="Times New Roman" w:cs="Times New Roman"/>
                <w:sz w:val="24"/>
                <w:szCs w:val="24"/>
              </w:rPr>
            </w:pPr>
            <w:r w:rsidRPr="000523E7">
              <w:rPr>
                <w:rFonts w:ascii="Times New Roman" w:hAnsi="Times New Roman" w:cs="Times New Roman"/>
                <w:sz w:val="24"/>
                <w:szCs w:val="24"/>
              </w:rPr>
              <w:t>9,0</w:t>
            </w:r>
          </w:p>
          <w:p w:rsidR="00804311" w:rsidRPr="000523E7" w:rsidRDefault="00965DF8" w:rsidP="00A361C1">
            <w:pPr>
              <w:ind w:left="360"/>
              <w:rPr>
                <w:rFonts w:ascii="Times New Roman" w:hAnsi="Times New Roman" w:cs="Times New Roman"/>
                <w:sz w:val="24"/>
                <w:szCs w:val="24"/>
              </w:rPr>
            </w:pPr>
            <w:r w:rsidRPr="000523E7">
              <w:rPr>
                <w:rFonts w:ascii="Times New Roman" w:hAnsi="Times New Roman" w:cs="Times New Roman"/>
                <w:sz w:val="24"/>
                <w:szCs w:val="24"/>
              </w:rPr>
              <w:t>5,0</w:t>
            </w:r>
          </w:p>
        </w:tc>
        <w:tc>
          <w:tcPr>
            <w:tcW w:w="1559" w:type="dxa"/>
          </w:tcPr>
          <w:p w:rsidR="00804311" w:rsidRPr="000523E7" w:rsidRDefault="00804311" w:rsidP="00A361C1">
            <w:pPr>
              <w:ind w:left="360"/>
              <w:rPr>
                <w:rFonts w:ascii="Times New Roman" w:hAnsi="Times New Roman" w:cs="Times New Roman"/>
                <w:sz w:val="24"/>
                <w:szCs w:val="24"/>
                <w:highlight w:val="magenta"/>
              </w:rPr>
            </w:pPr>
          </w:p>
          <w:p w:rsidR="00804311" w:rsidRPr="000523E7" w:rsidRDefault="00804311" w:rsidP="00A361C1">
            <w:pPr>
              <w:ind w:left="360"/>
              <w:rPr>
                <w:rFonts w:ascii="Times New Roman" w:hAnsi="Times New Roman" w:cs="Times New Roman"/>
                <w:sz w:val="24"/>
                <w:szCs w:val="24"/>
                <w:highlight w:val="magenta"/>
              </w:rPr>
            </w:pPr>
          </w:p>
          <w:p w:rsidR="00804311" w:rsidRPr="000523E7" w:rsidRDefault="00804311" w:rsidP="00A361C1">
            <w:pPr>
              <w:ind w:left="360"/>
              <w:rPr>
                <w:rFonts w:ascii="Times New Roman" w:hAnsi="Times New Roman" w:cs="Times New Roman"/>
                <w:sz w:val="24"/>
                <w:szCs w:val="24"/>
                <w:highlight w:val="magenta"/>
              </w:rPr>
            </w:pPr>
          </w:p>
          <w:p w:rsidR="00804311" w:rsidRPr="000523E7" w:rsidRDefault="00804311" w:rsidP="00A361C1">
            <w:pPr>
              <w:ind w:left="360"/>
              <w:rPr>
                <w:rFonts w:ascii="Times New Roman" w:hAnsi="Times New Roman" w:cs="Times New Roman"/>
                <w:sz w:val="24"/>
                <w:szCs w:val="24"/>
                <w:highlight w:val="magenta"/>
              </w:rPr>
            </w:pPr>
          </w:p>
        </w:tc>
      </w:tr>
      <w:tr w:rsidR="00B114A5" w:rsidRPr="000523E7" w:rsidTr="00694343">
        <w:trPr>
          <w:trHeight w:val="2794"/>
        </w:trPr>
        <w:tc>
          <w:tcPr>
            <w:tcW w:w="4678" w:type="dxa"/>
          </w:tcPr>
          <w:p w:rsidR="00B114A5" w:rsidRPr="000523E7" w:rsidRDefault="00B114A5" w:rsidP="00A361C1">
            <w:pPr>
              <w:rPr>
                <w:rFonts w:ascii="Times New Roman" w:hAnsi="Times New Roman" w:cs="Times New Roman"/>
                <w:sz w:val="24"/>
                <w:szCs w:val="24"/>
              </w:rPr>
            </w:pPr>
            <w:r w:rsidRPr="000523E7">
              <w:rPr>
                <w:rFonts w:ascii="Times New Roman" w:hAnsi="Times New Roman" w:cs="Times New Roman"/>
                <w:sz w:val="24"/>
                <w:szCs w:val="24"/>
              </w:rPr>
              <w:t>Mokslo kokyb</w:t>
            </w:r>
            <w:r w:rsidR="002C69BF">
              <w:rPr>
                <w:rFonts w:ascii="Times New Roman" w:hAnsi="Times New Roman" w:cs="Times New Roman"/>
                <w:sz w:val="24"/>
                <w:szCs w:val="24"/>
              </w:rPr>
              <w:t>ei</w:t>
            </w:r>
            <w:r w:rsidRPr="000523E7">
              <w:rPr>
                <w:rFonts w:ascii="Times New Roman" w:hAnsi="Times New Roman" w:cs="Times New Roman"/>
                <w:sz w:val="24"/>
                <w:szCs w:val="24"/>
              </w:rPr>
              <w:t xml:space="preserve"> gerin</w:t>
            </w:r>
            <w:r w:rsidR="002C69BF">
              <w:rPr>
                <w:rFonts w:ascii="Times New Roman" w:hAnsi="Times New Roman" w:cs="Times New Roman"/>
                <w:sz w:val="24"/>
                <w:szCs w:val="24"/>
              </w:rPr>
              <w:t>ti</w:t>
            </w:r>
            <w:r w:rsidRPr="000523E7">
              <w:rPr>
                <w:rFonts w:ascii="Times New Roman" w:hAnsi="Times New Roman" w:cs="Times New Roman"/>
                <w:sz w:val="24"/>
                <w:szCs w:val="24"/>
              </w:rPr>
              <w:t>:</w:t>
            </w:r>
          </w:p>
          <w:p w:rsidR="00B114A5" w:rsidRPr="000523E7" w:rsidRDefault="00B114A5" w:rsidP="00A361C1">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naujų matematinių įrankių įsigijimui ir tyrimai;</w:t>
            </w:r>
          </w:p>
          <w:p w:rsidR="00B114A5" w:rsidRPr="000523E7" w:rsidRDefault="00B114A5" w:rsidP="00EC1138">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straipsnių, skelbiamų ISI ir SCOPUS duomenų basėje, publikavimui ir anglakalbio redaktoriaus peržiūrai (kai reikalauja redakcija);</w:t>
            </w:r>
          </w:p>
          <w:p w:rsidR="00B114A5" w:rsidRPr="000523E7" w:rsidRDefault="00B114A5" w:rsidP="00EC1138">
            <w:pPr>
              <w:pStyle w:val="Sraopastraipa"/>
              <w:numPr>
                <w:ilvl w:val="0"/>
                <w:numId w:val="1"/>
              </w:numPr>
              <w:ind w:left="175" w:hanging="142"/>
              <w:rPr>
                <w:rFonts w:ascii="Times New Roman" w:hAnsi="Times New Roman" w:cs="Times New Roman"/>
                <w:sz w:val="24"/>
                <w:szCs w:val="24"/>
              </w:rPr>
            </w:pPr>
            <w:r w:rsidRPr="000523E7">
              <w:rPr>
                <w:rFonts w:ascii="Times New Roman" w:hAnsi="Times New Roman" w:cs="Times New Roman"/>
                <w:sz w:val="24"/>
                <w:szCs w:val="24"/>
              </w:rPr>
              <w:t>mokslinio personalo darbo užmokesčio ir kitų išlaidų atotrūkio nuo vidutinio finansavimo sumažinimui.</w:t>
            </w:r>
          </w:p>
        </w:tc>
        <w:tc>
          <w:tcPr>
            <w:tcW w:w="1559" w:type="dxa"/>
          </w:tcPr>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r w:rsidRPr="000523E7">
              <w:rPr>
                <w:rFonts w:ascii="Times New Roman" w:hAnsi="Times New Roman" w:cs="Times New Roman"/>
                <w:sz w:val="24"/>
                <w:szCs w:val="24"/>
              </w:rPr>
              <w:t>16,0</w:t>
            </w: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FE1962" w:rsidP="00363C13">
            <w:pPr>
              <w:jc w:val="center"/>
              <w:rPr>
                <w:rFonts w:ascii="Times New Roman" w:hAnsi="Times New Roman" w:cs="Times New Roman"/>
                <w:sz w:val="24"/>
                <w:szCs w:val="24"/>
              </w:rPr>
            </w:pPr>
            <w:r w:rsidRPr="000523E7">
              <w:rPr>
                <w:rFonts w:ascii="Times New Roman" w:hAnsi="Times New Roman" w:cs="Times New Roman"/>
                <w:sz w:val="24"/>
                <w:szCs w:val="24"/>
              </w:rPr>
              <w:t>19</w:t>
            </w:r>
            <w:r w:rsidR="00B114A5" w:rsidRPr="000523E7">
              <w:rPr>
                <w:rFonts w:ascii="Times New Roman" w:hAnsi="Times New Roman" w:cs="Times New Roman"/>
                <w:sz w:val="24"/>
                <w:szCs w:val="24"/>
              </w:rPr>
              <w:t>0,0</w:t>
            </w:r>
          </w:p>
        </w:tc>
        <w:tc>
          <w:tcPr>
            <w:tcW w:w="1418" w:type="dxa"/>
          </w:tcPr>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965DF8">
            <w:pPr>
              <w:jc w:val="center"/>
              <w:rPr>
                <w:rFonts w:ascii="Times New Roman" w:hAnsi="Times New Roman" w:cs="Times New Roman"/>
                <w:sz w:val="24"/>
                <w:szCs w:val="24"/>
              </w:rPr>
            </w:pPr>
            <w:r w:rsidRPr="000523E7">
              <w:rPr>
                <w:rFonts w:ascii="Times New Roman" w:hAnsi="Times New Roman" w:cs="Times New Roman"/>
                <w:sz w:val="24"/>
                <w:szCs w:val="24"/>
              </w:rPr>
              <w:t>18,0</w:t>
            </w: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r w:rsidRPr="000523E7">
              <w:rPr>
                <w:rFonts w:ascii="Times New Roman" w:hAnsi="Times New Roman" w:cs="Times New Roman"/>
                <w:sz w:val="24"/>
                <w:szCs w:val="24"/>
              </w:rPr>
              <w:t>260,0</w:t>
            </w:r>
          </w:p>
        </w:tc>
        <w:tc>
          <w:tcPr>
            <w:tcW w:w="1559" w:type="dxa"/>
          </w:tcPr>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r w:rsidRPr="000523E7">
              <w:rPr>
                <w:rFonts w:ascii="Times New Roman" w:hAnsi="Times New Roman" w:cs="Times New Roman"/>
                <w:sz w:val="24"/>
                <w:szCs w:val="24"/>
              </w:rPr>
              <w:t>70,0</w:t>
            </w:r>
          </w:p>
          <w:p w:rsidR="00B114A5" w:rsidRPr="000523E7" w:rsidRDefault="00B114A5" w:rsidP="00363C13">
            <w:pPr>
              <w:jc w:val="center"/>
              <w:rPr>
                <w:rFonts w:ascii="Times New Roman" w:hAnsi="Times New Roman" w:cs="Times New Roman"/>
                <w:sz w:val="24"/>
                <w:szCs w:val="24"/>
              </w:rPr>
            </w:pPr>
          </w:p>
          <w:p w:rsidR="00B114A5" w:rsidRPr="000523E7" w:rsidRDefault="00B114A5" w:rsidP="003854AE">
            <w:pPr>
              <w:jc w:val="center"/>
              <w:rPr>
                <w:rFonts w:ascii="Times New Roman" w:hAnsi="Times New Roman" w:cs="Times New Roman"/>
                <w:sz w:val="24"/>
                <w:szCs w:val="24"/>
              </w:rPr>
            </w:pPr>
            <w:r w:rsidRPr="000523E7">
              <w:rPr>
                <w:rFonts w:ascii="Times New Roman" w:hAnsi="Times New Roman" w:cs="Times New Roman"/>
                <w:sz w:val="24"/>
                <w:szCs w:val="24"/>
              </w:rPr>
              <w:t>22,0</w:t>
            </w: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p>
          <w:p w:rsidR="00B114A5" w:rsidRPr="000523E7" w:rsidRDefault="00B114A5" w:rsidP="00363C13">
            <w:pPr>
              <w:jc w:val="center"/>
              <w:rPr>
                <w:rFonts w:ascii="Times New Roman" w:hAnsi="Times New Roman" w:cs="Times New Roman"/>
                <w:sz w:val="24"/>
                <w:szCs w:val="24"/>
              </w:rPr>
            </w:pPr>
            <w:r w:rsidRPr="000523E7">
              <w:rPr>
                <w:rFonts w:ascii="Times New Roman" w:hAnsi="Times New Roman" w:cs="Times New Roman"/>
                <w:sz w:val="24"/>
                <w:szCs w:val="24"/>
              </w:rPr>
              <w:t>220,0</w:t>
            </w:r>
          </w:p>
        </w:tc>
      </w:tr>
      <w:tr w:rsidR="00804311" w:rsidRPr="000523E7" w:rsidTr="00804311">
        <w:tc>
          <w:tcPr>
            <w:tcW w:w="4678" w:type="dxa"/>
          </w:tcPr>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Su reorganizacija susijusios teisinės administracinės išlaidos</w:t>
            </w:r>
          </w:p>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(iškabų keitimas, anspaudų keitimas, peržiūra dokumentų ir naujų dokumentų rengimas)</w:t>
            </w:r>
            <w:r w:rsidR="002C69BF">
              <w:rPr>
                <w:rFonts w:ascii="Times New Roman" w:hAnsi="Times New Roman" w:cs="Times New Roman"/>
                <w:sz w:val="24"/>
                <w:szCs w:val="24"/>
              </w:rPr>
              <w:t>.</w:t>
            </w:r>
            <w:r w:rsidRPr="000523E7">
              <w:rPr>
                <w:rFonts w:ascii="Times New Roman" w:hAnsi="Times New Roman" w:cs="Times New Roman"/>
                <w:sz w:val="24"/>
                <w:szCs w:val="24"/>
              </w:rPr>
              <w:t xml:space="preserve"> </w:t>
            </w:r>
          </w:p>
        </w:tc>
        <w:tc>
          <w:tcPr>
            <w:tcW w:w="1559" w:type="dxa"/>
          </w:tcPr>
          <w:p w:rsidR="00804311" w:rsidRPr="000523E7" w:rsidRDefault="00965DF8" w:rsidP="00A361C1">
            <w:pPr>
              <w:ind w:left="360"/>
              <w:rPr>
                <w:rFonts w:ascii="Times New Roman" w:hAnsi="Times New Roman" w:cs="Times New Roman"/>
                <w:sz w:val="24"/>
                <w:szCs w:val="24"/>
              </w:rPr>
            </w:pPr>
            <w:r w:rsidRPr="000523E7">
              <w:rPr>
                <w:rFonts w:ascii="Times New Roman" w:hAnsi="Times New Roman" w:cs="Times New Roman"/>
                <w:sz w:val="24"/>
                <w:szCs w:val="24"/>
              </w:rPr>
              <w:t>4</w:t>
            </w:r>
            <w:r w:rsidR="00804311" w:rsidRPr="000523E7">
              <w:rPr>
                <w:rFonts w:ascii="Times New Roman" w:hAnsi="Times New Roman" w:cs="Times New Roman"/>
                <w:sz w:val="24"/>
                <w:szCs w:val="24"/>
              </w:rPr>
              <w:t>,0</w:t>
            </w:r>
          </w:p>
        </w:tc>
        <w:tc>
          <w:tcPr>
            <w:tcW w:w="1418" w:type="dxa"/>
          </w:tcPr>
          <w:p w:rsidR="00804311" w:rsidRPr="000523E7" w:rsidRDefault="00804311" w:rsidP="00A361C1">
            <w:pPr>
              <w:jc w:val="center"/>
              <w:rPr>
                <w:rFonts w:ascii="Times New Roman" w:hAnsi="Times New Roman" w:cs="Times New Roman"/>
                <w:sz w:val="24"/>
                <w:szCs w:val="24"/>
              </w:rPr>
            </w:pPr>
            <w:r w:rsidRPr="000523E7">
              <w:rPr>
                <w:rFonts w:ascii="Times New Roman" w:hAnsi="Times New Roman" w:cs="Times New Roman"/>
                <w:sz w:val="24"/>
                <w:szCs w:val="24"/>
              </w:rPr>
              <w:t>4,0</w:t>
            </w:r>
          </w:p>
        </w:tc>
        <w:tc>
          <w:tcPr>
            <w:tcW w:w="1559" w:type="dxa"/>
          </w:tcPr>
          <w:p w:rsidR="00804311" w:rsidRPr="000523E7" w:rsidRDefault="00804311" w:rsidP="00A361C1">
            <w:pPr>
              <w:jc w:val="center"/>
              <w:rPr>
                <w:rFonts w:ascii="Times New Roman" w:hAnsi="Times New Roman" w:cs="Times New Roman"/>
                <w:sz w:val="24"/>
                <w:szCs w:val="24"/>
                <w:highlight w:val="magenta"/>
              </w:rPr>
            </w:pPr>
          </w:p>
        </w:tc>
      </w:tr>
      <w:tr w:rsidR="00804311" w:rsidRPr="000523E7" w:rsidTr="00804311">
        <w:tc>
          <w:tcPr>
            <w:tcW w:w="4678" w:type="dxa"/>
          </w:tcPr>
          <w:p w:rsidR="00804311" w:rsidRPr="000523E7" w:rsidRDefault="00804311" w:rsidP="00A361C1">
            <w:pPr>
              <w:rPr>
                <w:rFonts w:ascii="Times New Roman" w:hAnsi="Times New Roman" w:cs="Times New Roman"/>
                <w:sz w:val="24"/>
                <w:szCs w:val="24"/>
              </w:rPr>
            </w:pPr>
            <w:r w:rsidRPr="000523E7">
              <w:rPr>
                <w:rFonts w:ascii="Times New Roman" w:hAnsi="Times New Roman" w:cs="Times New Roman"/>
                <w:sz w:val="24"/>
                <w:szCs w:val="24"/>
              </w:rPr>
              <w:t xml:space="preserve">Naujos svetainės sukūrimas </w:t>
            </w:r>
          </w:p>
        </w:tc>
        <w:tc>
          <w:tcPr>
            <w:tcW w:w="1559" w:type="dxa"/>
          </w:tcPr>
          <w:p w:rsidR="00804311" w:rsidRPr="000523E7" w:rsidRDefault="00965DF8" w:rsidP="00A361C1">
            <w:pPr>
              <w:ind w:left="360"/>
              <w:rPr>
                <w:rFonts w:ascii="Times New Roman" w:hAnsi="Times New Roman" w:cs="Times New Roman"/>
                <w:sz w:val="24"/>
                <w:szCs w:val="24"/>
              </w:rPr>
            </w:pPr>
            <w:r w:rsidRPr="000523E7">
              <w:rPr>
                <w:rFonts w:ascii="Times New Roman" w:hAnsi="Times New Roman" w:cs="Times New Roman"/>
                <w:sz w:val="24"/>
                <w:szCs w:val="24"/>
              </w:rPr>
              <w:t>3</w:t>
            </w:r>
            <w:r w:rsidR="00804311" w:rsidRPr="000523E7">
              <w:rPr>
                <w:rFonts w:ascii="Times New Roman" w:hAnsi="Times New Roman" w:cs="Times New Roman"/>
                <w:sz w:val="24"/>
                <w:szCs w:val="24"/>
              </w:rPr>
              <w:t>,0</w:t>
            </w:r>
          </w:p>
        </w:tc>
        <w:tc>
          <w:tcPr>
            <w:tcW w:w="1418" w:type="dxa"/>
          </w:tcPr>
          <w:p w:rsidR="00804311" w:rsidRPr="000523E7" w:rsidRDefault="00804311" w:rsidP="00A361C1">
            <w:pPr>
              <w:ind w:left="360"/>
              <w:rPr>
                <w:rFonts w:ascii="Times New Roman" w:hAnsi="Times New Roman" w:cs="Times New Roman"/>
                <w:sz w:val="24"/>
                <w:szCs w:val="24"/>
              </w:rPr>
            </w:pPr>
          </w:p>
        </w:tc>
        <w:tc>
          <w:tcPr>
            <w:tcW w:w="1559" w:type="dxa"/>
          </w:tcPr>
          <w:p w:rsidR="00804311" w:rsidRPr="000523E7" w:rsidRDefault="00804311" w:rsidP="00A361C1">
            <w:pPr>
              <w:rPr>
                <w:rFonts w:ascii="Times New Roman" w:hAnsi="Times New Roman" w:cs="Times New Roman"/>
                <w:sz w:val="24"/>
                <w:szCs w:val="24"/>
              </w:rPr>
            </w:pPr>
          </w:p>
        </w:tc>
      </w:tr>
      <w:tr w:rsidR="00804311" w:rsidRPr="000523E7" w:rsidTr="00804311">
        <w:tc>
          <w:tcPr>
            <w:tcW w:w="4678" w:type="dxa"/>
          </w:tcPr>
          <w:p w:rsidR="00804311" w:rsidRPr="000523E7" w:rsidRDefault="002C69BF" w:rsidP="002C69BF">
            <w:pPr>
              <w:rPr>
                <w:rFonts w:ascii="Times New Roman" w:hAnsi="Times New Roman" w:cs="Times New Roman"/>
                <w:b/>
                <w:sz w:val="24"/>
                <w:szCs w:val="24"/>
              </w:rPr>
            </w:pPr>
            <w:r>
              <w:rPr>
                <w:rFonts w:ascii="Times New Roman" w:hAnsi="Times New Roman" w:cs="Times New Roman"/>
                <w:b/>
                <w:sz w:val="24"/>
                <w:szCs w:val="24"/>
              </w:rPr>
              <w:t>Iš v</w:t>
            </w:r>
            <w:r w:rsidR="00804311" w:rsidRPr="000523E7">
              <w:rPr>
                <w:rFonts w:ascii="Times New Roman" w:hAnsi="Times New Roman" w:cs="Times New Roman"/>
                <w:b/>
                <w:sz w:val="24"/>
                <w:szCs w:val="24"/>
              </w:rPr>
              <w:t xml:space="preserve">iso </w:t>
            </w:r>
          </w:p>
        </w:tc>
        <w:tc>
          <w:tcPr>
            <w:tcW w:w="1559" w:type="dxa"/>
          </w:tcPr>
          <w:p w:rsidR="00804311" w:rsidRPr="000523E7" w:rsidRDefault="00804311" w:rsidP="00965DF8">
            <w:pPr>
              <w:ind w:left="360"/>
              <w:rPr>
                <w:rFonts w:ascii="Times New Roman" w:hAnsi="Times New Roman" w:cs="Times New Roman"/>
                <w:b/>
                <w:sz w:val="24"/>
                <w:szCs w:val="24"/>
              </w:rPr>
            </w:pPr>
            <w:r w:rsidRPr="000523E7">
              <w:rPr>
                <w:rFonts w:ascii="Times New Roman" w:hAnsi="Times New Roman" w:cs="Times New Roman"/>
                <w:b/>
                <w:sz w:val="24"/>
                <w:szCs w:val="24"/>
              </w:rPr>
              <w:t>2</w:t>
            </w:r>
            <w:r w:rsidR="00761A07" w:rsidRPr="000523E7">
              <w:rPr>
                <w:rFonts w:ascii="Times New Roman" w:hAnsi="Times New Roman" w:cs="Times New Roman"/>
                <w:b/>
                <w:sz w:val="24"/>
                <w:szCs w:val="24"/>
              </w:rPr>
              <w:t>82</w:t>
            </w:r>
            <w:r w:rsidRPr="000523E7">
              <w:rPr>
                <w:rFonts w:ascii="Times New Roman" w:hAnsi="Times New Roman" w:cs="Times New Roman"/>
                <w:b/>
                <w:sz w:val="24"/>
                <w:szCs w:val="24"/>
              </w:rPr>
              <w:t>,</w:t>
            </w:r>
            <w:r w:rsidR="00965DF8" w:rsidRPr="000523E7">
              <w:rPr>
                <w:rFonts w:ascii="Times New Roman" w:hAnsi="Times New Roman" w:cs="Times New Roman"/>
                <w:b/>
                <w:sz w:val="24"/>
                <w:szCs w:val="24"/>
              </w:rPr>
              <w:t>1</w:t>
            </w:r>
          </w:p>
        </w:tc>
        <w:tc>
          <w:tcPr>
            <w:tcW w:w="1418" w:type="dxa"/>
          </w:tcPr>
          <w:p w:rsidR="00804311" w:rsidRPr="000523E7" w:rsidRDefault="00804311" w:rsidP="003854AE">
            <w:pPr>
              <w:jc w:val="center"/>
              <w:rPr>
                <w:rFonts w:ascii="Times New Roman" w:hAnsi="Times New Roman" w:cs="Times New Roman"/>
                <w:b/>
                <w:sz w:val="24"/>
                <w:szCs w:val="24"/>
              </w:rPr>
            </w:pPr>
            <w:r w:rsidRPr="000523E7">
              <w:rPr>
                <w:rFonts w:ascii="Times New Roman" w:hAnsi="Times New Roman" w:cs="Times New Roman"/>
                <w:b/>
                <w:sz w:val="24"/>
                <w:szCs w:val="24"/>
              </w:rPr>
              <w:t>3</w:t>
            </w:r>
            <w:r w:rsidR="003854AE" w:rsidRPr="000523E7">
              <w:rPr>
                <w:rFonts w:ascii="Times New Roman" w:hAnsi="Times New Roman" w:cs="Times New Roman"/>
                <w:b/>
                <w:sz w:val="24"/>
                <w:szCs w:val="24"/>
              </w:rPr>
              <w:t>49</w:t>
            </w:r>
            <w:r w:rsidRPr="000523E7">
              <w:rPr>
                <w:rFonts w:ascii="Times New Roman" w:hAnsi="Times New Roman" w:cs="Times New Roman"/>
                <w:b/>
                <w:sz w:val="24"/>
                <w:szCs w:val="24"/>
              </w:rPr>
              <w:t>,</w:t>
            </w:r>
            <w:r w:rsidR="003854AE" w:rsidRPr="000523E7">
              <w:rPr>
                <w:rFonts w:ascii="Times New Roman" w:hAnsi="Times New Roman" w:cs="Times New Roman"/>
                <w:b/>
                <w:sz w:val="24"/>
                <w:szCs w:val="24"/>
              </w:rPr>
              <w:t>5</w:t>
            </w:r>
          </w:p>
        </w:tc>
        <w:tc>
          <w:tcPr>
            <w:tcW w:w="1559" w:type="dxa"/>
          </w:tcPr>
          <w:p w:rsidR="00804311" w:rsidRPr="000523E7" w:rsidRDefault="00804311" w:rsidP="00363C13">
            <w:pPr>
              <w:jc w:val="center"/>
              <w:rPr>
                <w:rFonts w:ascii="Times New Roman" w:hAnsi="Times New Roman" w:cs="Times New Roman"/>
                <w:b/>
                <w:sz w:val="24"/>
                <w:szCs w:val="24"/>
              </w:rPr>
            </w:pPr>
            <w:r w:rsidRPr="000523E7">
              <w:rPr>
                <w:rFonts w:ascii="Times New Roman" w:hAnsi="Times New Roman" w:cs="Times New Roman"/>
                <w:b/>
                <w:sz w:val="24"/>
                <w:szCs w:val="24"/>
              </w:rPr>
              <w:t>312,0</w:t>
            </w:r>
          </w:p>
        </w:tc>
      </w:tr>
    </w:tbl>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1559"/>
        <w:gridCol w:w="1418"/>
        <w:gridCol w:w="1559"/>
      </w:tblGrid>
      <w:tr w:rsidR="00360025" w:rsidRPr="000523E7" w:rsidTr="00360025">
        <w:tc>
          <w:tcPr>
            <w:tcW w:w="9214" w:type="dxa"/>
            <w:gridSpan w:val="4"/>
            <w:tcMar>
              <w:top w:w="0" w:type="dxa"/>
              <w:left w:w="108" w:type="dxa"/>
              <w:bottom w:w="0" w:type="dxa"/>
              <w:right w:w="108" w:type="dxa"/>
            </w:tcMar>
            <w:hideMark/>
          </w:tcPr>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 xml:space="preserve">Lietuvos teisės institutas </w:t>
            </w:r>
          </w:p>
        </w:tc>
      </w:tr>
      <w:tr w:rsidR="00360025" w:rsidRPr="000523E7" w:rsidTr="00360025">
        <w:tc>
          <w:tcPr>
            <w:tcW w:w="4678"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 xml:space="preserve">Išeitinės išmokos darbuotojų atleidimui </w:t>
            </w:r>
          </w:p>
        </w:tc>
        <w:tc>
          <w:tcPr>
            <w:tcW w:w="1559" w:type="dxa"/>
            <w:tcMar>
              <w:top w:w="0" w:type="dxa"/>
              <w:left w:w="108" w:type="dxa"/>
              <w:bottom w:w="0" w:type="dxa"/>
              <w:right w:w="108" w:type="dxa"/>
            </w:tcMar>
            <w:hideMark/>
          </w:tcPr>
          <w:p w:rsidR="00360025" w:rsidRPr="000523E7" w:rsidRDefault="00360025" w:rsidP="00360025">
            <w:pPr>
              <w:spacing w:after="0" w:line="240" w:lineRule="auto"/>
              <w:ind w:firstLine="34"/>
              <w:rPr>
                <w:rFonts w:ascii="Calibri" w:eastAsia="Calibri" w:hAnsi="Calibri" w:cs="Times New Roman"/>
              </w:rPr>
            </w:pPr>
            <w:r w:rsidRPr="000523E7">
              <w:rPr>
                <w:rFonts w:ascii="Times New Roman" w:eastAsia="Calibri" w:hAnsi="Times New Roman" w:cs="Times New Roman"/>
                <w:sz w:val="24"/>
                <w:szCs w:val="24"/>
              </w:rPr>
              <w:t>10,1 (3 darbuotojai)</w:t>
            </w:r>
          </w:p>
        </w:tc>
        <w:tc>
          <w:tcPr>
            <w:tcW w:w="1418"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7,4 (2 darbuotojai)</w:t>
            </w:r>
          </w:p>
        </w:tc>
        <w:tc>
          <w:tcPr>
            <w:tcW w:w="1559" w:type="dxa"/>
            <w:tcMar>
              <w:top w:w="0" w:type="dxa"/>
              <w:left w:w="108" w:type="dxa"/>
              <w:bottom w:w="0" w:type="dxa"/>
              <w:right w:w="108" w:type="dxa"/>
            </w:tcMar>
            <w:hideMark/>
          </w:tcPr>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 </w:t>
            </w:r>
          </w:p>
        </w:tc>
      </w:tr>
      <w:tr w:rsidR="00360025" w:rsidRPr="000523E7" w:rsidTr="00360025">
        <w:tc>
          <w:tcPr>
            <w:tcW w:w="4678"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 xml:space="preserve">Infrastruktūros atnaujinimo išlaidos: </w:t>
            </w:r>
          </w:p>
          <w:p w:rsidR="00360025" w:rsidRPr="000523E7" w:rsidRDefault="00360025" w:rsidP="00360025">
            <w:pPr>
              <w:spacing w:after="0" w:line="240" w:lineRule="auto"/>
              <w:ind w:left="175"/>
              <w:rPr>
                <w:rFonts w:ascii="Calibri" w:eastAsia="Calibri" w:hAnsi="Calibri" w:cs="Times New Roman"/>
              </w:rPr>
            </w:pPr>
            <w:r w:rsidRPr="000523E7">
              <w:rPr>
                <w:rFonts w:ascii="Symbol" w:eastAsia="Calibri" w:hAnsi="Symbol" w:cs="Times New Roman"/>
                <w:sz w:val="24"/>
                <w:szCs w:val="24"/>
              </w:rPr>
              <w:t></w:t>
            </w:r>
            <w:r w:rsidRPr="000523E7">
              <w:rPr>
                <w:rFonts w:ascii="Times New Roman" w:eastAsia="Calibri" w:hAnsi="Times New Roman" w:cs="Times New Roman"/>
                <w:sz w:val="14"/>
                <w:szCs w:val="14"/>
              </w:rPr>
              <w:t xml:space="preserve"> </w:t>
            </w:r>
            <w:r w:rsidRPr="000523E7">
              <w:rPr>
                <w:rFonts w:ascii="Times New Roman" w:eastAsia="Calibri" w:hAnsi="Times New Roman" w:cs="Times New Roman"/>
                <w:sz w:val="24"/>
                <w:szCs w:val="24"/>
              </w:rPr>
              <w:t>patalpų remontas ir įrengimas;</w:t>
            </w:r>
          </w:p>
          <w:p w:rsidR="00360025" w:rsidRPr="000523E7" w:rsidRDefault="00360025" w:rsidP="00360025">
            <w:pPr>
              <w:spacing w:after="0" w:line="240" w:lineRule="auto"/>
              <w:ind w:left="175"/>
              <w:rPr>
                <w:rFonts w:ascii="Calibri" w:eastAsia="Calibri" w:hAnsi="Calibri" w:cs="Times New Roman"/>
              </w:rPr>
            </w:pPr>
            <w:r w:rsidRPr="000523E7">
              <w:rPr>
                <w:rFonts w:ascii="Symbol" w:eastAsia="Calibri" w:hAnsi="Symbol" w:cs="Times New Roman"/>
                <w:sz w:val="24"/>
                <w:szCs w:val="24"/>
              </w:rPr>
              <w:t></w:t>
            </w:r>
            <w:r w:rsidRPr="000523E7">
              <w:rPr>
                <w:rFonts w:ascii="Times New Roman" w:eastAsia="Calibri" w:hAnsi="Times New Roman" w:cs="Times New Roman"/>
                <w:sz w:val="14"/>
                <w:szCs w:val="14"/>
              </w:rPr>
              <w:t xml:space="preserve"> </w:t>
            </w:r>
            <w:r w:rsidRPr="000523E7">
              <w:rPr>
                <w:rFonts w:ascii="Times New Roman" w:eastAsia="Calibri" w:hAnsi="Times New Roman" w:cs="Times New Roman"/>
                <w:sz w:val="24"/>
                <w:szCs w:val="24"/>
              </w:rPr>
              <w:t>kompiuterių įsigijimui;</w:t>
            </w:r>
          </w:p>
          <w:p w:rsidR="00360025" w:rsidRPr="000523E7" w:rsidRDefault="00360025" w:rsidP="00360025">
            <w:pPr>
              <w:spacing w:after="0" w:line="240" w:lineRule="auto"/>
              <w:ind w:left="175"/>
              <w:rPr>
                <w:rFonts w:ascii="Calibri" w:eastAsia="Calibri" w:hAnsi="Calibri" w:cs="Times New Roman"/>
              </w:rPr>
            </w:pPr>
            <w:r w:rsidRPr="000523E7">
              <w:rPr>
                <w:rFonts w:ascii="Symbol" w:eastAsia="Calibri" w:hAnsi="Symbol" w:cs="Times New Roman"/>
                <w:sz w:val="24"/>
                <w:szCs w:val="24"/>
              </w:rPr>
              <w:t></w:t>
            </w:r>
            <w:r w:rsidRPr="000523E7">
              <w:rPr>
                <w:rFonts w:ascii="Times New Roman" w:eastAsia="Calibri" w:hAnsi="Times New Roman" w:cs="Times New Roman"/>
                <w:sz w:val="14"/>
                <w:szCs w:val="14"/>
              </w:rPr>
              <w:t xml:space="preserve"> </w:t>
            </w:r>
            <w:r w:rsidRPr="000523E7">
              <w:rPr>
                <w:rFonts w:ascii="Times New Roman" w:eastAsia="Calibri" w:hAnsi="Times New Roman" w:cs="Times New Roman"/>
                <w:sz w:val="24"/>
                <w:szCs w:val="24"/>
              </w:rPr>
              <w:t>standartinės programinės įrangos įsigijimui;</w:t>
            </w:r>
          </w:p>
          <w:p w:rsidR="00360025" w:rsidRPr="000523E7" w:rsidRDefault="00360025" w:rsidP="00360025">
            <w:pPr>
              <w:spacing w:after="0" w:line="240" w:lineRule="auto"/>
              <w:ind w:left="175"/>
              <w:rPr>
                <w:rFonts w:ascii="Calibri" w:eastAsia="Calibri" w:hAnsi="Calibri" w:cs="Times New Roman"/>
              </w:rPr>
            </w:pPr>
            <w:r w:rsidRPr="000523E7">
              <w:rPr>
                <w:rFonts w:ascii="Symbol" w:eastAsia="Calibri" w:hAnsi="Symbol" w:cs="Times New Roman"/>
                <w:sz w:val="24"/>
                <w:szCs w:val="24"/>
              </w:rPr>
              <w:t></w:t>
            </w:r>
            <w:r w:rsidRPr="000523E7">
              <w:rPr>
                <w:rFonts w:ascii="Times New Roman" w:eastAsia="Calibri" w:hAnsi="Times New Roman" w:cs="Times New Roman"/>
                <w:sz w:val="14"/>
                <w:szCs w:val="14"/>
              </w:rPr>
              <w:t xml:space="preserve"> </w:t>
            </w:r>
            <w:r w:rsidRPr="000523E7">
              <w:rPr>
                <w:rFonts w:ascii="Times New Roman" w:eastAsia="Calibri" w:hAnsi="Times New Roman" w:cs="Times New Roman"/>
                <w:sz w:val="24"/>
                <w:szCs w:val="24"/>
              </w:rPr>
              <w:t>tinklinė įranga</w:t>
            </w:r>
            <w:r w:rsidR="002C69BF">
              <w:rPr>
                <w:rFonts w:ascii="Times New Roman" w:eastAsia="Calibri" w:hAnsi="Times New Roman" w:cs="Times New Roman"/>
                <w:sz w:val="24"/>
                <w:szCs w:val="24"/>
              </w:rPr>
              <w:t>.</w:t>
            </w:r>
          </w:p>
        </w:tc>
        <w:tc>
          <w:tcPr>
            <w:tcW w:w="1559"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 </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 </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4,5</w:t>
            </w:r>
          </w:p>
        </w:tc>
        <w:tc>
          <w:tcPr>
            <w:tcW w:w="1418"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30,0</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22,5</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4,0</w:t>
            </w:r>
          </w:p>
          <w:p w:rsidR="00360025" w:rsidRPr="000523E7" w:rsidRDefault="00360025" w:rsidP="00360025">
            <w:pPr>
              <w:spacing w:after="0" w:line="240" w:lineRule="auto"/>
              <w:jc w:val="center"/>
              <w:rPr>
                <w:rFonts w:ascii="Times New Roman" w:eastAsia="Calibri" w:hAnsi="Times New Roman" w:cs="Times New Roman"/>
                <w:b/>
                <w:sz w:val="24"/>
                <w:szCs w:val="24"/>
              </w:rPr>
            </w:pP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2,0</w:t>
            </w:r>
          </w:p>
        </w:tc>
        <w:tc>
          <w:tcPr>
            <w:tcW w:w="1559"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15,0</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15,5</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1,0</w:t>
            </w:r>
          </w:p>
        </w:tc>
      </w:tr>
      <w:tr w:rsidR="00360025" w:rsidRPr="000523E7" w:rsidTr="00360025">
        <w:tc>
          <w:tcPr>
            <w:tcW w:w="4678"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Mokslo kokyb</w:t>
            </w:r>
            <w:r w:rsidR="002C69BF">
              <w:rPr>
                <w:rFonts w:ascii="Times New Roman" w:eastAsia="Calibri" w:hAnsi="Times New Roman" w:cs="Times New Roman"/>
                <w:sz w:val="24"/>
                <w:szCs w:val="24"/>
              </w:rPr>
              <w:t>ei</w:t>
            </w:r>
            <w:r w:rsidRPr="000523E7">
              <w:rPr>
                <w:rFonts w:ascii="Times New Roman" w:eastAsia="Calibri" w:hAnsi="Times New Roman" w:cs="Times New Roman"/>
                <w:sz w:val="24"/>
                <w:szCs w:val="24"/>
              </w:rPr>
              <w:t xml:space="preserve"> gerin</w:t>
            </w:r>
            <w:r w:rsidR="002C69BF">
              <w:rPr>
                <w:rFonts w:ascii="Times New Roman" w:eastAsia="Calibri" w:hAnsi="Times New Roman" w:cs="Times New Roman"/>
                <w:sz w:val="24"/>
                <w:szCs w:val="24"/>
              </w:rPr>
              <w:t>ti</w:t>
            </w:r>
            <w:r w:rsidRPr="000523E7">
              <w:rPr>
                <w:rFonts w:ascii="Times New Roman" w:eastAsia="Calibri" w:hAnsi="Times New Roman" w:cs="Times New Roman"/>
                <w:sz w:val="24"/>
                <w:szCs w:val="24"/>
              </w:rPr>
              <w:t>:</w:t>
            </w:r>
          </w:p>
          <w:p w:rsidR="00360025" w:rsidRPr="000523E7" w:rsidRDefault="00360025" w:rsidP="00360025">
            <w:pPr>
              <w:spacing w:after="0" w:line="240" w:lineRule="auto"/>
              <w:ind w:left="175"/>
              <w:rPr>
                <w:rFonts w:ascii="Calibri" w:eastAsia="Calibri" w:hAnsi="Calibri" w:cs="Times New Roman"/>
              </w:rPr>
            </w:pPr>
            <w:r w:rsidRPr="000523E7">
              <w:rPr>
                <w:rFonts w:ascii="Symbol" w:eastAsia="Calibri" w:hAnsi="Symbol" w:cs="Times New Roman"/>
                <w:sz w:val="24"/>
                <w:szCs w:val="24"/>
              </w:rPr>
              <w:t></w:t>
            </w:r>
            <w:r w:rsidRPr="000523E7">
              <w:rPr>
                <w:rFonts w:ascii="Times New Roman" w:eastAsia="Calibri" w:hAnsi="Times New Roman" w:cs="Times New Roman"/>
                <w:sz w:val="14"/>
                <w:szCs w:val="14"/>
              </w:rPr>
              <w:t xml:space="preserve"> </w:t>
            </w:r>
            <w:r w:rsidRPr="000523E7">
              <w:rPr>
                <w:rFonts w:ascii="Times New Roman" w:eastAsia="Calibri" w:hAnsi="Times New Roman" w:cs="Times New Roman"/>
                <w:sz w:val="24"/>
                <w:szCs w:val="24"/>
              </w:rPr>
              <w:t>naujų matematinių įrankių įsigijimui;</w:t>
            </w:r>
          </w:p>
          <w:p w:rsidR="00360025" w:rsidRPr="000523E7" w:rsidRDefault="00360025" w:rsidP="00360025">
            <w:pPr>
              <w:spacing w:after="0" w:line="240" w:lineRule="auto"/>
              <w:ind w:left="175"/>
              <w:rPr>
                <w:rFonts w:ascii="Calibri" w:eastAsia="Calibri" w:hAnsi="Calibri" w:cs="Times New Roman"/>
              </w:rPr>
            </w:pPr>
            <w:r w:rsidRPr="000523E7">
              <w:rPr>
                <w:rFonts w:ascii="Symbol" w:eastAsia="Calibri" w:hAnsi="Symbol" w:cs="Times New Roman"/>
                <w:sz w:val="24"/>
                <w:szCs w:val="24"/>
              </w:rPr>
              <w:t></w:t>
            </w:r>
            <w:r w:rsidRPr="000523E7">
              <w:rPr>
                <w:rFonts w:ascii="Times New Roman" w:eastAsia="Calibri" w:hAnsi="Times New Roman" w:cs="Times New Roman"/>
                <w:sz w:val="14"/>
                <w:szCs w:val="14"/>
              </w:rPr>
              <w:t xml:space="preserve"> </w:t>
            </w:r>
            <w:r w:rsidRPr="000523E7">
              <w:rPr>
                <w:rFonts w:ascii="Times New Roman" w:eastAsia="Calibri" w:hAnsi="Times New Roman" w:cs="Times New Roman"/>
                <w:sz w:val="24"/>
                <w:szCs w:val="24"/>
              </w:rPr>
              <w:t>būtinų DB (pvz., LITEKO, SAGE) prenumerata</w:t>
            </w:r>
            <w:r w:rsidR="002C69BF">
              <w:rPr>
                <w:rFonts w:ascii="Times New Roman" w:eastAsia="Calibri" w:hAnsi="Times New Roman" w:cs="Times New Roman"/>
                <w:sz w:val="24"/>
                <w:szCs w:val="24"/>
              </w:rPr>
              <w:t>;</w:t>
            </w:r>
          </w:p>
          <w:p w:rsidR="00360025" w:rsidRPr="000523E7" w:rsidRDefault="00360025" w:rsidP="00360025">
            <w:pPr>
              <w:spacing w:after="0" w:line="240" w:lineRule="auto"/>
              <w:ind w:left="175"/>
              <w:rPr>
                <w:rFonts w:ascii="Calibri" w:eastAsia="Calibri" w:hAnsi="Calibri" w:cs="Times New Roman"/>
              </w:rPr>
            </w:pPr>
            <w:r w:rsidRPr="000523E7">
              <w:rPr>
                <w:rFonts w:ascii="Symbol" w:eastAsia="Calibri" w:hAnsi="Symbol" w:cs="Times New Roman"/>
                <w:sz w:val="24"/>
                <w:szCs w:val="24"/>
              </w:rPr>
              <w:t></w:t>
            </w:r>
            <w:r w:rsidRPr="000523E7">
              <w:rPr>
                <w:rFonts w:ascii="Times New Roman" w:eastAsia="Calibri" w:hAnsi="Times New Roman" w:cs="Times New Roman"/>
                <w:sz w:val="14"/>
                <w:szCs w:val="14"/>
              </w:rPr>
              <w:t xml:space="preserve"> </w:t>
            </w:r>
            <w:r w:rsidRPr="000523E7">
              <w:rPr>
                <w:rFonts w:ascii="Times New Roman" w:eastAsia="Calibri" w:hAnsi="Times New Roman" w:cs="Times New Roman"/>
                <w:sz w:val="24"/>
                <w:szCs w:val="24"/>
              </w:rPr>
              <w:t>straipsnių, skelbiamų ISI ir SCOPUS duomenų basėje, publikavimui ir anglakalbio redaktoriaus peržiūrai (kai reikalauja redakcija).</w:t>
            </w:r>
          </w:p>
        </w:tc>
        <w:tc>
          <w:tcPr>
            <w:tcW w:w="1559" w:type="dxa"/>
            <w:tcMar>
              <w:top w:w="0" w:type="dxa"/>
              <w:left w:w="108" w:type="dxa"/>
              <w:bottom w:w="0" w:type="dxa"/>
              <w:right w:w="108" w:type="dxa"/>
            </w:tcMar>
            <w:hideMark/>
          </w:tcPr>
          <w:p w:rsidR="00360025" w:rsidRPr="000523E7" w:rsidRDefault="00360025" w:rsidP="00360025">
            <w:pPr>
              <w:spacing w:after="0" w:line="240" w:lineRule="auto"/>
              <w:ind w:left="360"/>
              <w:jc w:val="center"/>
              <w:rPr>
                <w:rFonts w:ascii="Calibri" w:eastAsia="Calibri" w:hAnsi="Calibri" w:cs="Times New Roman"/>
              </w:rPr>
            </w:pPr>
            <w:r w:rsidRPr="000523E7">
              <w:rPr>
                <w:rFonts w:ascii="Times New Roman" w:eastAsia="Calibri" w:hAnsi="Times New Roman" w:cs="Times New Roman"/>
                <w:sz w:val="24"/>
                <w:szCs w:val="24"/>
              </w:rPr>
              <w:t> </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2,0</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 </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2,5</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 </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 </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 </w:t>
            </w:r>
          </w:p>
        </w:tc>
        <w:tc>
          <w:tcPr>
            <w:tcW w:w="1418" w:type="dxa"/>
            <w:tcMar>
              <w:top w:w="0" w:type="dxa"/>
              <w:left w:w="108" w:type="dxa"/>
              <w:bottom w:w="0" w:type="dxa"/>
              <w:right w:w="108" w:type="dxa"/>
            </w:tcMar>
            <w:hideMark/>
          </w:tcPr>
          <w:p w:rsidR="00360025" w:rsidRPr="000523E7" w:rsidRDefault="00360025" w:rsidP="00360025">
            <w:pPr>
              <w:spacing w:after="0" w:line="240" w:lineRule="auto"/>
              <w:ind w:left="360"/>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10,0</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2,5</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42</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tc>
        <w:tc>
          <w:tcPr>
            <w:tcW w:w="1559" w:type="dxa"/>
            <w:tcMar>
              <w:top w:w="0" w:type="dxa"/>
              <w:left w:w="108" w:type="dxa"/>
              <w:bottom w:w="0" w:type="dxa"/>
              <w:right w:w="108" w:type="dxa"/>
            </w:tcMar>
            <w:hideMark/>
          </w:tcPr>
          <w:p w:rsidR="00360025" w:rsidRPr="000523E7" w:rsidRDefault="00360025" w:rsidP="00360025">
            <w:pPr>
              <w:spacing w:after="0" w:line="240" w:lineRule="auto"/>
              <w:ind w:left="360"/>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5,0</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2,5</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42</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tc>
      </w:tr>
      <w:tr w:rsidR="00360025" w:rsidRPr="000523E7" w:rsidTr="00360025">
        <w:trPr>
          <w:trHeight w:val="665"/>
        </w:trPr>
        <w:tc>
          <w:tcPr>
            <w:tcW w:w="4678"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Išlaidos mokslinio personalo darbo užmokesčio ir kitų išlaidų atotrūkio nuo vidutinio finansavimo sumažinimui</w:t>
            </w:r>
            <w:r w:rsidR="002C69BF">
              <w:rPr>
                <w:rFonts w:ascii="Times New Roman" w:eastAsia="Calibri" w:hAnsi="Times New Roman" w:cs="Times New Roman"/>
                <w:sz w:val="24"/>
                <w:szCs w:val="24"/>
              </w:rPr>
              <w:t>.</w:t>
            </w:r>
          </w:p>
        </w:tc>
        <w:tc>
          <w:tcPr>
            <w:tcW w:w="1559" w:type="dxa"/>
            <w:tcMar>
              <w:top w:w="0" w:type="dxa"/>
              <w:left w:w="108" w:type="dxa"/>
              <w:bottom w:w="0" w:type="dxa"/>
              <w:right w:w="108" w:type="dxa"/>
            </w:tcMar>
            <w:hideMark/>
          </w:tcPr>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208,5</w:t>
            </w:r>
          </w:p>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color w:val="FF0000"/>
                <w:sz w:val="24"/>
                <w:szCs w:val="24"/>
              </w:rPr>
              <w:t> </w:t>
            </w:r>
          </w:p>
        </w:tc>
        <w:tc>
          <w:tcPr>
            <w:tcW w:w="1418" w:type="dxa"/>
            <w:tcMar>
              <w:top w:w="0" w:type="dxa"/>
              <w:left w:w="108" w:type="dxa"/>
              <w:bottom w:w="0" w:type="dxa"/>
              <w:right w:w="108" w:type="dxa"/>
            </w:tcMar>
            <w:hideMark/>
          </w:tcPr>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229,35</w:t>
            </w:r>
          </w:p>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 </w:t>
            </w:r>
          </w:p>
        </w:tc>
        <w:tc>
          <w:tcPr>
            <w:tcW w:w="1559" w:type="dxa"/>
            <w:tcMar>
              <w:top w:w="0" w:type="dxa"/>
              <w:left w:w="108" w:type="dxa"/>
              <w:bottom w:w="0" w:type="dxa"/>
              <w:right w:w="108" w:type="dxa"/>
            </w:tcMar>
            <w:hideMark/>
          </w:tcPr>
          <w:p w:rsidR="00360025" w:rsidRPr="000523E7" w:rsidRDefault="00360025" w:rsidP="00360025">
            <w:pPr>
              <w:spacing w:after="0" w:line="240" w:lineRule="auto"/>
              <w:jc w:val="center"/>
              <w:rPr>
                <w:rFonts w:ascii="Calibri" w:eastAsia="Calibri" w:hAnsi="Calibri" w:cs="Times New Roman"/>
                <w:b/>
              </w:rPr>
            </w:pPr>
            <w:r w:rsidRPr="000523E7">
              <w:rPr>
                <w:rFonts w:ascii="Times New Roman" w:eastAsia="Calibri" w:hAnsi="Times New Roman" w:cs="Times New Roman"/>
                <w:b/>
                <w:sz w:val="24"/>
                <w:szCs w:val="24"/>
              </w:rPr>
              <w:t>252,285</w:t>
            </w:r>
          </w:p>
        </w:tc>
      </w:tr>
      <w:tr w:rsidR="00360025" w:rsidRPr="000523E7" w:rsidTr="00360025">
        <w:tc>
          <w:tcPr>
            <w:tcW w:w="4678"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Su reorganizacija susijusios teisinės administracinės išlaidos</w:t>
            </w:r>
          </w:p>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(iškabų keitimas, anspaudų keitimas, peržiūra dokumentų ir naujų dokumentų rengimas)</w:t>
            </w:r>
            <w:r w:rsidR="002C69BF">
              <w:rPr>
                <w:rFonts w:ascii="Times New Roman" w:eastAsia="Calibri" w:hAnsi="Times New Roman" w:cs="Times New Roman"/>
                <w:sz w:val="24"/>
                <w:szCs w:val="24"/>
              </w:rPr>
              <w:t>.</w:t>
            </w:r>
            <w:r w:rsidRPr="000523E7">
              <w:rPr>
                <w:rFonts w:ascii="Times New Roman" w:eastAsia="Calibri" w:hAnsi="Times New Roman" w:cs="Times New Roman"/>
                <w:sz w:val="24"/>
                <w:szCs w:val="24"/>
              </w:rPr>
              <w:t xml:space="preserve"> </w:t>
            </w:r>
          </w:p>
        </w:tc>
        <w:tc>
          <w:tcPr>
            <w:tcW w:w="1559" w:type="dxa"/>
            <w:tcMar>
              <w:top w:w="0" w:type="dxa"/>
              <w:left w:w="108" w:type="dxa"/>
              <w:bottom w:w="0" w:type="dxa"/>
              <w:right w:w="108" w:type="dxa"/>
            </w:tcMar>
            <w:hideMark/>
          </w:tcPr>
          <w:p w:rsidR="00360025" w:rsidRPr="000523E7" w:rsidRDefault="00360025" w:rsidP="00360025">
            <w:pPr>
              <w:spacing w:after="0" w:line="240" w:lineRule="auto"/>
              <w:ind w:left="360"/>
              <w:jc w:val="center"/>
              <w:rPr>
                <w:rFonts w:ascii="Calibri" w:eastAsia="Calibri" w:hAnsi="Calibri" w:cs="Times New Roman"/>
              </w:rPr>
            </w:pPr>
            <w:r w:rsidRPr="000523E7">
              <w:rPr>
                <w:rFonts w:ascii="Times New Roman" w:eastAsia="Calibri" w:hAnsi="Times New Roman" w:cs="Times New Roman"/>
                <w:sz w:val="24"/>
                <w:szCs w:val="24"/>
              </w:rPr>
              <w:t>5,7</w:t>
            </w:r>
          </w:p>
        </w:tc>
        <w:tc>
          <w:tcPr>
            <w:tcW w:w="1418" w:type="dxa"/>
            <w:tcMar>
              <w:top w:w="0" w:type="dxa"/>
              <w:left w:w="108" w:type="dxa"/>
              <w:bottom w:w="0" w:type="dxa"/>
              <w:right w:w="108" w:type="dxa"/>
            </w:tcMar>
            <w:hideMark/>
          </w:tcPr>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2,0</w:t>
            </w:r>
          </w:p>
        </w:tc>
        <w:tc>
          <w:tcPr>
            <w:tcW w:w="1559" w:type="dxa"/>
            <w:tcMar>
              <w:top w:w="0" w:type="dxa"/>
              <w:left w:w="108" w:type="dxa"/>
              <w:bottom w:w="0" w:type="dxa"/>
              <w:right w:w="108" w:type="dxa"/>
            </w:tcMar>
            <w:hideMark/>
          </w:tcPr>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 </w:t>
            </w:r>
          </w:p>
        </w:tc>
      </w:tr>
      <w:tr w:rsidR="00360025" w:rsidRPr="000523E7" w:rsidTr="00360025">
        <w:tc>
          <w:tcPr>
            <w:tcW w:w="4678" w:type="dxa"/>
            <w:tcMar>
              <w:top w:w="0" w:type="dxa"/>
              <w:left w:w="108" w:type="dxa"/>
              <w:bottom w:w="0" w:type="dxa"/>
              <w:right w:w="108" w:type="dxa"/>
            </w:tcMar>
            <w:hideMark/>
          </w:tcPr>
          <w:p w:rsidR="00360025" w:rsidRPr="000523E7" w:rsidRDefault="00360025" w:rsidP="00360025">
            <w:pPr>
              <w:spacing w:after="0" w:line="240" w:lineRule="auto"/>
              <w:rPr>
                <w:rFonts w:ascii="Calibri" w:eastAsia="Calibri" w:hAnsi="Calibri" w:cs="Times New Roman"/>
              </w:rPr>
            </w:pPr>
            <w:r w:rsidRPr="000523E7">
              <w:rPr>
                <w:rFonts w:ascii="Times New Roman" w:eastAsia="Calibri" w:hAnsi="Times New Roman" w:cs="Times New Roman"/>
                <w:sz w:val="24"/>
                <w:szCs w:val="24"/>
              </w:rPr>
              <w:t xml:space="preserve">Naujos svetainės sukūrimas </w:t>
            </w:r>
          </w:p>
        </w:tc>
        <w:tc>
          <w:tcPr>
            <w:tcW w:w="1559" w:type="dxa"/>
            <w:tcMar>
              <w:top w:w="0" w:type="dxa"/>
              <w:left w:w="108" w:type="dxa"/>
              <w:bottom w:w="0" w:type="dxa"/>
              <w:right w:w="108" w:type="dxa"/>
            </w:tcMar>
            <w:hideMark/>
          </w:tcPr>
          <w:p w:rsidR="00360025" w:rsidRPr="000523E7" w:rsidRDefault="00360025" w:rsidP="00360025">
            <w:pPr>
              <w:spacing w:after="0" w:line="240" w:lineRule="auto"/>
              <w:ind w:left="360"/>
              <w:jc w:val="center"/>
              <w:rPr>
                <w:rFonts w:ascii="Calibri" w:eastAsia="Calibri" w:hAnsi="Calibri" w:cs="Times New Roman"/>
              </w:rPr>
            </w:pPr>
            <w:r w:rsidRPr="000523E7">
              <w:rPr>
                <w:rFonts w:ascii="Times New Roman" w:eastAsia="Calibri" w:hAnsi="Times New Roman" w:cs="Times New Roman"/>
                <w:sz w:val="24"/>
                <w:szCs w:val="24"/>
              </w:rPr>
              <w:t> </w:t>
            </w:r>
          </w:p>
        </w:tc>
        <w:tc>
          <w:tcPr>
            <w:tcW w:w="1418" w:type="dxa"/>
            <w:tcMar>
              <w:top w:w="0" w:type="dxa"/>
              <w:left w:w="108" w:type="dxa"/>
              <w:bottom w:w="0" w:type="dxa"/>
              <w:right w:w="108" w:type="dxa"/>
            </w:tcMar>
            <w:hideMark/>
          </w:tcPr>
          <w:p w:rsidR="00360025" w:rsidRPr="000523E7" w:rsidRDefault="00360025" w:rsidP="00360025">
            <w:pPr>
              <w:spacing w:after="0" w:line="240" w:lineRule="auto"/>
              <w:ind w:left="360"/>
              <w:rPr>
                <w:rFonts w:ascii="Calibri" w:eastAsia="Calibri" w:hAnsi="Calibri" w:cs="Times New Roman"/>
              </w:rPr>
            </w:pPr>
            <w:r w:rsidRPr="000523E7">
              <w:rPr>
                <w:rFonts w:ascii="Times New Roman" w:eastAsia="Calibri" w:hAnsi="Times New Roman" w:cs="Times New Roman"/>
                <w:sz w:val="24"/>
                <w:szCs w:val="24"/>
              </w:rPr>
              <w:t>8,0</w:t>
            </w:r>
          </w:p>
        </w:tc>
        <w:tc>
          <w:tcPr>
            <w:tcW w:w="1559" w:type="dxa"/>
            <w:tcMar>
              <w:top w:w="0" w:type="dxa"/>
              <w:left w:w="108" w:type="dxa"/>
              <w:bottom w:w="0" w:type="dxa"/>
              <w:right w:w="108" w:type="dxa"/>
            </w:tcMar>
            <w:hideMark/>
          </w:tcPr>
          <w:p w:rsidR="00360025" w:rsidRPr="000523E7" w:rsidRDefault="00360025" w:rsidP="00360025">
            <w:pPr>
              <w:spacing w:after="0" w:line="240" w:lineRule="auto"/>
              <w:jc w:val="center"/>
              <w:rPr>
                <w:rFonts w:ascii="Calibri" w:eastAsia="Calibri" w:hAnsi="Calibri" w:cs="Times New Roman"/>
              </w:rPr>
            </w:pPr>
            <w:r w:rsidRPr="000523E7">
              <w:rPr>
                <w:rFonts w:ascii="Times New Roman" w:eastAsia="Calibri" w:hAnsi="Times New Roman" w:cs="Times New Roman"/>
                <w:sz w:val="24"/>
                <w:szCs w:val="24"/>
              </w:rPr>
              <w:t>3,0</w:t>
            </w:r>
          </w:p>
        </w:tc>
      </w:tr>
      <w:tr w:rsidR="00360025" w:rsidRPr="000523E7" w:rsidTr="00360025">
        <w:tc>
          <w:tcPr>
            <w:tcW w:w="4678" w:type="dxa"/>
            <w:tcMar>
              <w:top w:w="0" w:type="dxa"/>
              <w:left w:w="108" w:type="dxa"/>
              <w:bottom w:w="0" w:type="dxa"/>
              <w:right w:w="108" w:type="dxa"/>
            </w:tcMar>
            <w:hideMark/>
          </w:tcPr>
          <w:p w:rsidR="00360025" w:rsidRPr="00767393" w:rsidRDefault="002C69BF" w:rsidP="002C69BF">
            <w:pPr>
              <w:spacing w:after="0" w:line="240" w:lineRule="auto"/>
              <w:rPr>
                <w:rFonts w:ascii="Times New Roman" w:eastAsia="Calibri" w:hAnsi="Times New Roman" w:cs="Times New Roman"/>
                <w:b/>
                <w:sz w:val="24"/>
                <w:szCs w:val="24"/>
              </w:rPr>
            </w:pPr>
            <w:r w:rsidRPr="00767393">
              <w:rPr>
                <w:rFonts w:ascii="Times New Roman" w:eastAsia="Calibri" w:hAnsi="Times New Roman" w:cs="Times New Roman"/>
                <w:b/>
                <w:sz w:val="24"/>
                <w:szCs w:val="24"/>
              </w:rPr>
              <w:t>Iš v</w:t>
            </w:r>
            <w:r w:rsidR="00360025" w:rsidRPr="00767393">
              <w:rPr>
                <w:rFonts w:ascii="Times New Roman" w:eastAsia="Calibri" w:hAnsi="Times New Roman" w:cs="Times New Roman"/>
                <w:b/>
                <w:sz w:val="24"/>
                <w:szCs w:val="24"/>
              </w:rPr>
              <w:t>iso</w:t>
            </w:r>
          </w:p>
        </w:tc>
        <w:tc>
          <w:tcPr>
            <w:tcW w:w="1559" w:type="dxa"/>
            <w:tcMar>
              <w:top w:w="0" w:type="dxa"/>
              <w:left w:w="108" w:type="dxa"/>
              <w:bottom w:w="0" w:type="dxa"/>
              <w:right w:w="108" w:type="dxa"/>
            </w:tcMar>
            <w:hideMark/>
          </w:tcPr>
          <w:p w:rsidR="00360025" w:rsidRPr="000523E7" w:rsidRDefault="00360025" w:rsidP="00360025">
            <w:pPr>
              <w:spacing w:after="0" w:line="240" w:lineRule="auto"/>
              <w:ind w:left="360"/>
              <w:jc w:val="center"/>
              <w:rPr>
                <w:rFonts w:ascii="Calibri" w:eastAsia="Calibri" w:hAnsi="Calibri" w:cs="Times New Roman"/>
              </w:rPr>
            </w:pPr>
            <w:r w:rsidRPr="000523E7">
              <w:rPr>
                <w:rFonts w:ascii="Times New Roman" w:eastAsia="Calibri" w:hAnsi="Times New Roman" w:cs="Times New Roman"/>
                <w:b/>
                <w:bCs/>
                <w:sz w:val="24"/>
                <w:szCs w:val="24"/>
              </w:rPr>
              <w:t>233,3</w:t>
            </w:r>
          </w:p>
        </w:tc>
        <w:tc>
          <w:tcPr>
            <w:tcW w:w="1418" w:type="dxa"/>
            <w:tcMar>
              <w:top w:w="0" w:type="dxa"/>
              <w:left w:w="108" w:type="dxa"/>
              <w:bottom w:w="0" w:type="dxa"/>
              <w:right w:w="108" w:type="dxa"/>
            </w:tcMar>
            <w:hideMark/>
          </w:tcPr>
          <w:p w:rsidR="00360025" w:rsidRPr="000523E7" w:rsidRDefault="00360025" w:rsidP="00302BA4">
            <w:pPr>
              <w:spacing w:after="0" w:line="240" w:lineRule="auto"/>
              <w:jc w:val="center"/>
              <w:rPr>
                <w:rFonts w:ascii="Calibri" w:eastAsia="Calibri" w:hAnsi="Calibri" w:cs="Times New Roman"/>
              </w:rPr>
            </w:pPr>
            <w:r w:rsidRPr="000523E7">
              <w:rPr>
                <w:rFonts w:ascii="Times New Roman" w:eastAsia="Calibri" w:hAnsi="Times New Roman" w:cs="Times New Roman"/>
                <w:b/>
                <w:bCs/>
                <w:sz w:val="24"/>
                <w:szCs w:val="24"/>
              </w:rPr>
              <w:t>359,</w:t>
            </w:r>
            <w:r w:rsidR="00302BA4" w:rsidRPr="000523E7">
              <w:rPr>
                <w:rFonts w:ascii="Times New Roman" w:eastAsia="Calibri" w:hAnsi="Times New Roman" w:cs="Times New Roman"/>
                <w:b/>
                <w:bCs/>
                <w:sz w:val="24"/>
                <w:szCs w:val="24"/>
              </w:rPr>
              <w:t>8</w:t>
            </w:r>
          </w:p>
        </w:tc>
        <w:tc>
          <w:tcPr>
            <w:tcW w:w="1559" w:type="dxa"/>
            <w:tcMar>
              <w:top w:w="0" w:type="dxa"/>
              <w:left w:w="108" w:type="dxa"/>
              <w:bottom w:w="0" w:type="dxa"/>
              <w:right w:w="108" w:type="dxa"/>
            </w:tcMar>
            <w:hideMark/>
          </w:tcPr>
          <w:p w:rsidR="00360025" w:rsidRPr="000523E7" w:rsidRDefault="00302BA4" w:rsidP="00302BA4">
            <w:pPr>
              <w:spacing w:after="0" w:line="240" w:lineRule="auto"/>
              <w:jc w:val="center"/>
              <w:rPr>
                <w:rFonts w:ascii="Calibri" w:eastAsia="Calibri" w:hAnsi="Calibri" w:cs="Times New Roman"/>
              </w:rPr>
            </w:pPr>
            <w:r w:rsidRPr="000523E7">
              <w:rPr>
                <w:rFonts w:ascii="Times New Roman" w:eastAsia="Calibri" w:hAnsi="Times New Roman" w:cs="Times New Roman"/>
                <w:b/>
                <w:bCs/>
                <w:sz w:val="24"/>
                <w:szCs w:val="24"/>
              </w:rPr>
              <w:t>336,3</w:t>
            </w:r>
          </w:p>
        </w:tc>
      </w:tr>
    </w:tbl>
    <w:p w:rsidR="00AD0CDE" w:rsidRPr="000523E7" w:rsidRDefault="00AD0CDE" w:rsidP="00A361C1">
      <w:pPr>
        <w:spacing w:after="0" w:line="240" w:lineRule="auto"/>
        <w:rPr>
          <w:rFonts w:ascii="Times New Roman" w:hAnsi="Times New Roman" w:cs="Times New Roman"/>
          <w:sz w:val="24"/>
          <w:szCs w:val="24"/>
        </w:rPr>
      </w:pPr>
    </w:p>
    <w:p w:rsidR="00AD0CDE" w:rsidRPr="000523E7" w:rsidRDefault="00AD0CDE" w:rsidP="00A361C1">
      <w:pPr>
        <w:spacing w:after="0" w:line="240" w:lineRule="auto"/>
        <w:rPr>
          <w:rFonts w:ascii="Times New Roman" w:hAnsi="Times New Roman" w:cs="Times New Roman"/>
          <w:sz w:val="24"/>
          <w:szCs w:val="24"/>
        </w:rPr>
      </w:pPr>
    </w:p>
    <w:p w:rsidR="007233D3" w:rsidRPr="000523E7" w:rsidRDefault="007233D3" w:rsidP="00F45D57">
      <w:pPr>
        <w:spacing w:after="0" w:line="240" w:lineRule="auto"/>
        <w:rPr>
          <w:rFonts w:ascii="Times New Roman" w:hAnsi="Times New Roman" w:cs="Times New Roman"/>
          <w:sz w:val="24"/>
          <w:szCs w:val="24"/>
        </w:rPr>
      </w:pPr>
    </w:p>
    <w:sectPr w:rsidR="007233D3" w:rsidRPr="000523E7" w:rsidSect="00767393">
      <w:headerReference w:type="default" r:id="rId8"/>
      <w:footerReference w:type="defaul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DC6" w:rsidRDefault="00A21DC6" w:rsidP="00EC1138">
      <w:pPr>
        <w:spacing w:after="0" w:line="240" w:lineRule="auto"/>
      </w:pPr>
      <w:r>
        <w:separator/>
      </w:r>
    </w:p>
  </w:endnote>
  <w:endnote w:type="continuationSeparator" w:id="0">
    <w:p w:rsidR="00A21DC6" w:rsidRDefault="00A21DC6" w:rsidP="00EC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38" w:rsidRDefault="00EC1138" w:rsidP="00EC1138">
    <w:pPr>
      <w:pStyle w:val="Porat"/>
      <w:tabs>
        <w:tab w:val="left" w:pos="935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DC6" w:rsidRDefault="00A21DC6" w:rsidP="00EC1138">
      <w:pPr>
        <w:spacing w:after="0" w:line="240" w:lineRule="auto"/>
      </w:pPr>
      <w:r>
        <w:separator/>
      </w:r>
    </w:p>
  </w:footnote>
  <w:footnote w:type="continuationSeparator" w:id="0">
    <w:p w:rsidR="00A21DC6" w:rsidRDefault="00A21DC6" w:rsidP="00EC1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50114"/>
      <w:docPartObj>
        <w:docPartGallery w:val="Page Numbers (Top of Page)"/>
        <w:docPartUnique/>
      </w:docPartObj>
    </w:sdtPr>
    <w:sdtEndPr/>
    <w:sdtContent>
      <w:p w:rsidR="000B4C8C" w:rsidRDefault="000B4C8C">
        <w:pPr>
          <w:pStyle w:val="Antrats"/>
          <w:jc w:val="center"/>
        </w:pPr>
        <w:r>
          <w:fldChar w:fldCharType="begin"/>
        </w:r>
        <w:r>
          <w:instrText>PAGE   \* MERGEFORMAT</w:instrText>
        </w:r>
        <w:r>
          <w:fldChar w:fldCharType="separate"/>
        </w:r>
        <w:r w:rsidR="00A4265F">
          <w:rPr>
            <w:noProof/>
          </w:rPr>
          <w:t>2</w:t>
        </w:r>
        <w:r>
          <w:fldChar w:fldCharType="end"/>
        </w:r>
      </w:p>
    </w:sdtContent>
  </w:sdt>
  <w:p w:rsidR="000B4C8C" w:rsidRDefault="000B4C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96083"/>
    <w:multiLevelType w:val="hybridMultilevel"/>
    <w:tmpl w:val="039A7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345C63"/>
    <w:multiLevelType w:val="hybridMultilevel"/>
    <w:tmpl w:val="4FAA9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0B4B87"/>
    <w:multiLevelType w:val="hybridMultilevel"/>
    <w:tmpl w:val="D640E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86"/>
    <w:rsid w:val="000523E7"/>
    <w:rsid w:val="000B4C8C"/>
    <w:rsid w:val="000E1BE5"/>
    <w:rsid w:val="0011155E"/>
    <w:rsid w:val="001276B3"/>
    <w:rsid w:val="00171C77"/>
    <w:rsid w:val="001E5F2A"/>
    <w:rsid w:val="00254C3A"/>
    <w:rsid w:val="00280843"/>
    <w:rsid w:val="002B2F57"/>
    <w:rsid w:val="002C4E64"/>
    <w:rsid w:val="002C69BF"/>
    <w:rsid w:val="002D4FA1"/>
    <w:rsid w:val="002F4C62"/>
    <w:rsid w:val="00302BA4"/>
    <w:rsid w:val="00345DA1"/>
    <w:rsid w:val="00360025"/>
    <w:rsid w:val="00363C13"/>
    <w:rsid w:val="003854AE"/>
    <w:rsid w:val="003F3EA6"/>
    <w:rsid w:val="004109BC"/>
    <w:rsid w:val="00421A99"/>
    <w:rsid w:val="004A683E"/>
    <w:rsid w:val="004C631C"/>
    <w:rsid w:val="004E755E"/>
    <w:rsid w:val="00580ED6"/>
    <w:rsid w:val="0059004D"/>
    <w:rsid w:val="005C3104"/>
    <w:rsid w:val="00622C21"/>
    <w:rsid w:val="00665284"/>
    <w:rsid w:val="006E26D9"/>
    <w:rsid w:val="006E7EFB"/>
    <w:rsid w:val="007233D3"/>
    <w:rsid w:val="007373E3"/>
    <w:rsid w:val="00753D7C"/>
    <w:rsid w:val="00757607"/>
    <w:rsid w:val="00761A07"/>
    <w:rsid w:val="00767127"/>
    <w:rsid w:val="00767393"/>
    <w:rsid w:val="00767554"/>
    <w:rsid w:val="00791AC3"/>
    <w:rsid w:val="007E232A"/>
    <w:rsid w:val="00804311"/>
    <w:rsid w:val="00834174"/>
    <w:rsid w:val="0087216C"/>
    <w:rsid w:val="0087712A"/>
    <w:rsid w:val="00884C10"/>
    <w:rsid w:val="00885FB9"/>
    <w:rsid w:val="008E2256"/>
    <w:rsid w:val="008E4DE3"/>
    <w:rsid w:val="008F2CC8"/>
    <w:rsid w:val="008F5B1E"/>
    <w:rsid w:val="009134C9"/>
    <w:rsid w:val="00965DF8"/>
    <w:rsid w:val="00996809"/>
    <w:rsid w:val="009E2276"/>
    <w:rsid w:val="009E7BE6"/>
    <w:rsid w:val="00A162FC"/>
    <w:rsid w:val="00A21DC6"/>
    <w:rsid w:val="00A225C6"/>
    <w:rsid w:val="00A34B2D"/>
    <w:rsid w:val="00A361C1"/>
    <w:rsid w:val="00A4265F"/>
    <w:rsid w:val="00AD0CDE"/>
    <w:rsid w:val="00AE7990"/>
    <w:rsid w:val="00B114A5"/>
    <w:rsid w:val="00B7149E"/>
    <w:rsid w:val="00B856B2"/>
    <w:rsid w:val="00B9001B"/>
    <w:rsid w:val="00BA1A04"/>
    <w:rsid w:val="00C17B8C"/>
    <w:rsid w:val="00CA6565"/>
    <w:rsid w:val="00CC60D8"/>
    <w:rsid w:val="00D059FC"/>
    <w:rsid w:val="00D106DF"/>
    <w:rsid w:val="00D745FD"/>
    <w:rsid w:val="00D75371"/>
    <w:rsid w:val="00DF7180"/>
    <w:rsid w:val="00E3288B"/>
    <w:rsid w:val="00E33C86"/>
    <w:rsid w:val="00E53BE8"/>
    <w:rsid w:val="00E7218C"/>
    <w:rsid w:val="00EC1138"/>
    <w:rsid w:val="00ED0DE2"/>
    <w:rsid w:val="00F45D57"/>
    <w:rsid w:val="00F75D26"/>
    <w:rsid w:val="00F87799"/>
    <w:rsid w:val="00FC2CE9"/>
    <w:rsid w:val="00FD3569"/>
    <w:rsid w:val="00FE1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6EB8F-8554-40FA-B96C-07AE9776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3C86"/>
  </w:style>
  <w:style w:type="paragraph" w:styleId="Antrat1">
    <w:name w:val="heading 1"/>
    <w:basedOn w:val="prastasis"/>
    <w:next w:val="prastasis"/>
    <w:link w:val="Antrat1Diagrama"/>
    <w:uiPriority w:val="9"/>
    <w:qFormat/>
    <w:rsid w:val="00ED0D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33C86"/>
    <w:pPr>
      <w:ind w:left="720"/>
      <w:contextualSpacing/>
    </w:pPr>
  </w:style>
  <w:style w:type="paragraph" w:styleId="Debesliotekstas">
    <w:name w:val="Balloon Text"/>
    <w:basedOn w:val="prastasis"/>
    <w:link w:val="DebesliotekstasDiagrama"/>
    <w:uiPriority w:val="99"/>
    <w:semiHidden/>
    <w:unhideWhenUsed/>
    <w:rsid w:val="00CA65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6565"/>
    <w:rPr>
      <w:rFonts w:ascii="Tahoma" w:hAnsi="Tahoma" w:cs="Tahoma"/>
      <w:sz w:val="16"/>
      <w:szCs w:val="16"/>
    </w:rPr>
  </w:style>
  <w:style w:type="table" w:customStyle="1" w:styleId="Lentelstinklelis1">
    <w:name w:val="Lentelės tinklelis1"/>
    <w:basedOn w:val="prastojilentel"/>
    <w:next w:val="Lentelstinklelis"/>
    <w:uiPriority w:val="59"/>
    <w:rsid w:val="002D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11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1138"/>
  </w:style>
  <w:style w:type="paragraph" w:styleId="Porat">
    <w:name w:val="footer"/>
    <w:basedOn w:val="prastasis"/>
    <w:link w:val="PoratDiagrama"/>
    <w:uiPriority w:val="99"/>
    <w:unhideWhenUsed/>
    <w:rsid w:val="00EC11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1138"/>
  </w:style>
  <w:style w:type="character" w:customStyle="1" w:styleId="Antrat1Diagrama">
    <w:name w:val="Antraštė 1 Diagrama"/>
    <w:basedOn w:val="Numatytasispastraiposriftas"/>
    <w:link w:val="Antrat1"/>
    <w:uiPriority w:val="9"/>
    <w:rsid w:val="00ED0D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020">
      <w:bodyDiv w:val="1"/>
      <w:marLeft w:val="0"/>
      <w:marRight w:val="0"/>
      <w:marTop w:val="0"/>
      <w:marBottom w:val="0"/>
      <w:divBdr>
        <w:top w:val="none" w:sz="0" w:space="0" w:color="auto"/>
        <w:left w:val="none" w:sz="0" w:space="0" w:color="auto"/>
        <w:bottom w:val="none" w:sz="0" w:space="0" w:color="auto"/>
        <w:right w:val="none" w:sz="0" w:space="0" w:color="auto"/>
      </w:divBdr>
    </w:div>
    <w:div w:id="150608975">
      <w:bodyDiv w:val="1"/>
      <w:marLeft w:val="0"/>
      <w:marRight w:val="0"/>
      <w:marTop w:val="0"/>
      <w:marBottom w:val="0"/>
      <w:divBdr>
        <w:top w:val="none" w:sz="0" w:space="0" w:color="auto"/>
        <w:left w:val="none" w:sz="0" w:space="0" w:color="auto"/>
        <w:bottom w:val="none" w:sz="0" w:space="0" w:color="auto"/>
        <w:right w:val="none" w:sz="0" w:space="0" w:color="auto"/>
      </w:divBdr>
    </w:div>
    <w:div w:id="165175969">
      <w:bodyDiv w:val="1"/>
      <w:marLeft w:val="0"/>
      <w:marRight w:val="0"/>
      <w:marTop w:val="0"/>
      <w:marBottom w:val="0"/>
      <w:divBdr>
        <w:top w:val="none" w:sz="0" w:space="0" w:color="auto"/>
        <w:left w:val="none" w:sz="0" w:space="0" w:color="auto"/>
        <w:bottom w:val="none" w:sz="0" w:space="0" w:color="auto"/>
        <w:right w:val="none" w:sz="0" w:space="0" w:color="auto"/>
      </w:divBdr>
    </w:div>
    <w:div w:id="13330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5BD00-8CEE-44C1-9ED9-F75DC473C140}">
  <ds:schemaRefs>
    <ds:schemaRef ds:uri="http://schemas.openxmlformats.org/officeDocument/2006/bibliography"/>
  </ds:schemaRefs>
</ds:datastoreItem>
</file>

<file path=customXml/itemProps2.xml><?xml version="1.0" encoding="utf-8"?>
<ds:datastoreItem xmlns:ds="http://schemas.openxmlformats.org/officeDocument/2006/customXml" ds:itemID="{7DD3153B-5A9C-4E70-B037-FB636F750B60}"/>
</file>

<file path=customXml/itemProps3.xml><?xml version="1.0" encoding="utf-8"?>
<ds:datastoreItem xmlns:ds="http://schemas.openxmlformats.org/officeDocument/2006/customXml" ds:itemID="{49FB42DD-6953-4D66-AA08-083A54A35A2E}"/>
</file>

<file path=customXml/itemProps4.xml><?xml version="1.0" encoding="utf-8"?>
<ds:datastoreItem xmlns:ds="http://schemas.openxmlformats.org/officeDocument/2006/customXml" ds:itemID="{7E1438F6-C8F6-4573-A484-7D43DFCF60F9}"/>
</file>

<file path=docProps/app.xml><?xml version="1.0" encoding="utf-8"?>
<Properties xmlns="http://schemas.openxmlformats.org/officeDocument/2006/extended-properties" xmlns:vt="http://schemas.openxmlformats.org/officeDocument/2006/docPropsVTypes">
  <Template>Normal</Template>
  <TotalTime>41</TotalTime>
  <Pages>3</Pages>
  <Words>4790</Words>
  <Characters>2731</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b14609f7-f8c7-4a60-a156-86eadadb845d</dc:title>
  <dc:creator>Rasa Melnikiene</dc:creator>
  <cp:lastModifiedBy>Jekentienė Ginvilė | ŠMSM</cp:lastModifiedBy>
  <cp:revision>11</cp:revision>
  <dcterms:created xsi:type="dcterms:W3CDTF">2020-07-21T10:30:00Z</dcterms:created>
  <dcterms:modified xsi:type="dcterms:W3CDTF">2020-07-30T08:53:00Z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