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917dd1c59564776a1eb1f0880cd4b77"/>
        <w:lock w:val="sdtLocked"/>
        <w:richText/>
      </w:sdtPr>
      <w:sdtContent>
        <w:p>
          <w:pPr>
            <w:tabs>
              <w:tab w:val="center" w:pos="4153"/>
              <w:tab w:val="right" w:pos="8306"/>
            </w:tabs>
            <w:spacing w:line="276" w:lineRule="auto"/>
            <w:rPr>
              <w:lang w:eastAsia="lt-LT"/>
            </w:rPr>
          </w:pPr>
        </w:p>
        <w:p>
          <w:pPr>
            <w:rPr>
              <w:sz w:val="18"/>
              <w:szCs w:val="18"/>
            </w:rPr>
          </w:pPr>
        </w:p>
        <w:p>
          <w:pPr>
            <w:ind w:firstLine="5670"/>
            <w:jc w:val="right"/>
            <w:rPr>
              <w:b/>
              <w:szCs w:val="24"/>
              <w:lang w:eastAsia="lt-LT"/>
            </w:rPr>
          </w:pPr>
          <w:r>
            <w:rPr>
              <w:b/>
              <w:szCs w:val="24"/>
              <w:lang w:eastAsia="lt-LT"/>
            </w:rPr>
            <w:t>Projektas</w:t>
          </w:r>
        </w:p>
        <w:p>
          <w:pPr>
            <w:jc w:val="center"/>
            <w:rPr>
              <w:lang w:eastAsia="lt-LT"/>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LĖŠŲ SKYRIMO</w:t>
          </w:r>
        </w:p>
        <w:p>
          <w:pPr>
            <w:jc w:val="center"/>
            <w:rPr>
              <w:lang w:eastAsia="lt-LT"/>
            </w:rPr>
          </w:pPr>
        </w:p>
        <w:p>
          <w:pPr>
            <w:jc w:val="center"/>
            <w:rPr>
              <w:lang w:eastAsia="lt-LT"/>
            </w:rPr>
          </w:pPr>
          <w:r>
            <w:rPr>
              <w:lang w:eastAsia="lt-LT"/>
            </w:rPr>
            <w:t xml:space="preserve">2020 m.                 d. Nr. </w:t>
          </w:r>
        </w:p>
        <w:p>
          <w:pPr>
            <w:jc w:val="center"/>
            <w:rPr>
              <w:lang w:eastAsia="lt-LT"/>
            </w:rPr>
          </w:pPr>
          <w:r>
            <w:rPr>
              <w:lang w:eastAsia="lt-LT"/>
            </w:rPr>
            <w:t>Vilnius</w:t>
          </w:r>
        </w:p>
        <w:p>
          <w:pPr>
            <w:jc w:val="center"/>
            <w:rPr>
              <w:lang w:eastAsia="lt-LT"/>
            </w:rPr>
          </w:pPr>
        </w:p>
        <w:sdt>
          <w:sdtPr>
            <w:alias w:val="preambule"/>
            <w:tag w:val="part_e4c9b9d2d46b4fbd9440b6a0c92e6900"/>
            <w:lock w:val="sdtLocked"/>
            <w:richText/>
          </w:sdtPr>
          <w:sdtContent>
            <w:p>
              <w:pPr>
                <w:spacing w:line="360" w:lineRule="atLeast"/>
                <w:ind w:firstLine="720"/>
                <w:jc w:val="both"/>
                <w:rPr>
                  <w:color w:val="000000"/>
                  <w:lang w:eastAsia="lt-LT"/>
                </w:rPr>
              </w:pPr>
              <w:r>
                <w:rPr>
                  <w:szCs w:val="24"/>
                </w:rPr>
                <w:t xml:space="preserve">Vadovaudamasi </w:t>
              </w:r>
              <w:r>
                <w:rPr>
                  <w:color w:val="000000"/>
                  <w:lang w:eastAsia="lt-LT"/>
                </w:rPr>
                <w:t xml:space="preserve">Lietuvos Respublikos 2020 metų valstybės biudžeto ir savivaldybių biudžetų finansinių rodiklių patvirtinimo įstatymo 13 straipsnio 1 dalies 5 punktu, Lietuvos Respublikos valstybės rezervo įstatymo 13 straipsnio 1 dalies 1 punktu, 2 ir 3 dalimis ir 14 straipsniu, Lietuvos Respublikos civilinės saugos įstatymo 31 straipsnio 3 dalimi, Valstybės paramos už žalą, patirtą dėl ekstremaliosios situacijos, teikimo tvarkos aprašu, patvirtintu Lietuvos Respublikos Vyriausybės 2010 m. liepos 21 d. nutarimu Nr. 1107 „Dėl Materialinių išteklių teikimo ir kompensavimo už jų teikimą tvarkos aprašo ir Valstybės paramos už žalą, patirtą dėl ekstremaliosios situacijos, teikimo tvarkos aprašo patvirtinimo“, ir atsižvelgdama į Lietuvos Respublikos Vyriausybės 2020 m. vasario 26 d. nutarimą Nr. 152 „Dėl valstybės lygio ekstremaliosios situacijos paskelbimo“, Lietuvos Respublikos Vyriausybė </w:t>
              </w:r>
              <w:r>
                <w:rPr>
                  <w:color w:val="000000"/>
                  <w:spacing w:val="50"/>
                  <w:lang w:eastAsia="lt-LT"/>
                </w:rPr>
                <w:t>nutari</w:t>
              </w:r>
              <w:r>
                <w:rPr>
                  <w:color w:val="000000"/>
                  <w:lang w:eastAsia="lt-LT"/>
                </w:rPr>
                <w:t>a:</w:t>
              </w:r>
            </w:p>
          </w:sdtContent>
        </w:sdt>
        <w:sdt>
          <w:sdtPr>
            <w:alias w:val="1 p."/>
            <w:tag w:val="part_b58d0c73b4e9439daa8d80e5f14acf02"/>
            <w:lock w:val="sdtLocked"/>
            <w:richText/>
          </w:sdtPr>
          <w:sdtContent>
            <w:p>
              <w:pPr>
                <w:spacing w:line="360" w:lineRule="atLeast"/>
                <w:ind w:left="1080" w:hanging="360"/>
                <w:jc w:val="both"/>
                <w:rPr>
                  <w:color w:val="000000"/>
                  <w:szCs w:val="24"/>
                  <w:lang w:eastAsia="lt-LT"/>
                </w:rPr>
              </w:pPr>
              <w:sdt>
                <w:sdtPr>
                  <w:alias w:val="Numeris"/>
                  <w:tag w:val="nr_b58d0c73b4e9439daa8d80e5f14acf02"/>
                  <w:lock w:val="sdtLocked"/>
                  <w:richText/>
                </w:sdtPr>
                <w:sdtContent>
                  <w:r>
                    <w:rPr>
                      <w:color w:val="000000"/>
                      <w:szCs w:val="24"/>
                      <w:lang w:eastAsia="lt-LT"/>
                    </w:rPr>
                    <w:t>1</w:t>
                  </w:r>
                </w:sdtContent>
              </w:sdt>
              <w:r>
                <w:rPr>
                  <w:color w:val="000000"/>
                  <w:szCs w:val="24"/>
                  <w:lang w:eastAsia="lt-LT"/>
                </w:rPr>
                <w:t>.</w:t>
                <w:tab/>
              </w:r>
              <w:r>
                <w:rPr>
                  <w:color w:val="000000"/>
                  <w:lang w:eastAsia="lt-LT"/>
                </w:rPr>
                <w:t xml:space="preserve">Skirti </w:t>
              </w:r>
              <w:r>
                <w:rPr>
                  <w:color w:val="000000"/>
                  <w:szCs w:val="24"/>
                  <w:lang w:eastAsia="lt-LT"/>
                </w:rPr>
                <w:t>iš valstybės vardu pasiskolintų lėšų:</w:t>
              </w:r>
            </w:p>
            <w:sdt>
              <w:sdtPr>
                <w:alias w:val="1.1 pp."/>
                <w:tag w:val="part_2f856c15041e4a6ebc2646ef98f030dd"/>
                <w:lock w:val="sdtLocked"/>
                <w:richText/>
              </w:sdtPr>
              <w:sdtContent>
                <w:p>
                  <w:pPr>
                    <w:spacing w:line="360" w:lineRule="atLeast"/>
                    <w:ind w:firstLine="720"/>
                    <w:jc w:val="both"/>
                    <w:rPr>
                      <w:szCs w:val="24"/>
                    </w:rPr>
                  </w:pPr>
                  <w:sdt>
                    <w:sdtPr>
                      <w:alias w:val="Numeris"/>
                      <w:tag w:val="nr_2f856c15041e4a6ebc2646ef98f030dd"/>
                      <w:lock w:val="sdtLocked"/>
                      <w:richText/>
                    </w:sdtPr>
                    <w:sdtContent>
                      <w:r>
                        <w:rPr>
                          <w:color w:val="000000"/>
                          <w:szCs w:val="24"/>
                          <w:lang w:eastAsia="lt-LT"/>
                        </w:rPr>
                        <w:t>1.1</w:t>
                      </w:r>
                    </w:sdtContent>
                  </w:sdt>
                  <w:r>
                    <w:rPr>
                      <w:color w:val="000000"/>
                      <w:szCs w:val="24"/>
                      <w:lang w:eastAsia="lt-LT"/>
                    </w:rPr>
                    <w:t xml:space="preserve">. Lietuvos Respublikos </w:t>
                  </w:r>
                  <w:r>
                    <w:t>socialinės apsaugos ir darbo ministerijai – 454</w:t>
                  </w:r>
                  <w:r>
                    <w:rPr>
                      <w:szCs w:val="24"/>
                    </w:rPr>
                    <w:t xml:space="preserve"> 606 000 </w:t>
                  </w:r>
                  <w:r>
                    <w:t xml:space="preserve">(keturi šimtai penkiasdešimt keturi milijonai šeši šimtai šeši tūkstančiai) eurų </w:t>
                  </w:r>
                  <w:r>
                    <w:rPr>
                      <w:szCs w:val="24"/>
                    </w:rPr>
                    <w:t xml:space="preserve">Ekonomikos skatinimo ir koronaviruso (COVID-19) plitimo sukeltų pasekmių mažinimo priemonių plano, kuriam pritarta Lietuvos Respublikos Vyriausybės 2020 m. kovo 16 d. pasitarime (pasitarimo protokolas Nr. 14) ir kurio naujai redakcijai pritarta Lietuvos Respublikos Vyriausybės 2020 m. birželio 22 d. pasitarime (pasitarimo protokolas Nr. 30, 6 klausimas), 2 tikslo </w:t>
                  </w:r>
                  <w:r>
                    <w:rPr>
                      <w:rFonts w:ascii="&amp;quot" w:hAnsi="&amp;quot"/>
                      <w:color w:val="000000"/>
                    </w:rPr>
                    <w:t xml:space="preserve">„Padėti išsaugoti darbo vietas ir gyventojų pajamas“ </w:t>
                  </w:r>
                  <w:r>
                    <w:rPr>
                      <w:szCs w:val="24"/>
                    </w:rPr>
                    <w:t>priemonėms įgyvendinti, iš jų:</w:t>
                  </w:r>
                </w:p>
                <w:sdt>
                  <w:sdtPr>
                    <w:alias w:val="1.1.1 pp."/>
                    <w:tag w:val="part_5a9a5228df5d438a8006d973fe645812"/>
                    <w:lock w:val="sdtLocked"/>
                    <w:richText/>
                  </w:sdtPr>
                  <w:sdtContent>
                    <w:p>
                      <w:pPr>
                        <w:spacing w:line="360" w:lineRule="atLeast"/>
                        <w:ind w:firstLine="720"/>
                        <w:jc w:val="both"/>
                        <w:rPr>
                          <w:szCs w:val="24"/>
                        </w:rPr>
                      </w:pPr>
                      <w:sdt>
                        <w:sdtPr>
                          <w:alias w:val="Numeris"/>
                          <w:tag w:val="nr_5a9a5228df5d438a8006d973fe645812"/>
                          <w:lock w:val="sdtLocked"/>
                          <w:richText/>
                        </w:sdtPr>
                        <w:sdtContent>
                          <w:r>
                            <w:rPr>
                              <w:szCs w:val="24"/>
                            </w:rPr>
                            <w:t>1.1.1</w:t>
                          </w:r>
                        </w:sdtContent>
                      </w:sdt>
                      <w:r>
                        <w:rPr>
                          <w:szCs w:val="24"/>
                        </w:rPr>
                        <w:t>. 100 000 000 (vienas šimtas milijonų) eurų – 1.1 priemonei „Valstybės lėšomis solidariai prisidėti prie darbdavių pastangų išsaugoti darbo vietas, kompensuojant darbdaviams už prastovos laiką jų darbuotojams mokamo darbo užmokesčio dalį“;</w:t>
                      </w:r>
                    </w:p>
                  </w:sdtContent>
                </w:sdt>
                <w:sdt>
                  <w:sdtPr>
                    <w:alias w:val="1.1.2 pp."/>
                    <w:tag w:val="part_9f5b38b91ce24517b251e8d7fd989666"/>
                    <w:lock w:val="sdtLocked"/>
                    <w:richText/>
                  </w:sdtPr>
                  <w:sdtContent>
                    <w:p>
                      <w:pPr>
                        <w:spacing w:line="360" w:lineRule="atLeast"/>
                        <w:ind w:firstLine="720"/>
                        <w:jc w:val="both"/>
                        <w:rPr>
                          <w:szCs w:val="24"/>
                        </w:rPr>
                      </w:pPr>
                      <w:sdt>
                        <w:sdtPr>
                          <w:alias w:val="Numeris"/>
                          <w:tag w:val="nr_9f5b38b91ce24517b251e8d7fd989666"/>
                          <w:lock w:val="sdtLocked"/>
                          <w:richText/>
                        </w:sdtPr>
                        <w:sdtContent>
                          <w:r>
                            <w:rPr>
                              <w:szCs w:val="24"/>
                            </w:rPr>
                            <w:t>1.1.2</w:t>
                          </w:r>
                        </w:sdtContent>
                      </w:sdt>
                      <w:r>
                        <w:rPr>
                          <w:szCs w:val="24"/>
                        </w:rPr>
                        <w:t>. 42 856 000 (keturiasdešimt du milijonai aštuoni šimtai penkiasdešimt šeši tūkstančiai) eurų – 1.2 priemonei „Pasibaigus prastovai ir (ar) karantinui, valstybės lėšomis padėti darbdaviams išlaikyti darbuotojus po prastovos ar priimti tikslinėms grupėms priklausančius bedarbius, iki 6 mėnesių mokant darbo užmokesčio subsidijas, kai intensyvesnė parama taikoma pirmuosius 2 mėnesius ir palaipsniui, kas 2 mėnesiai, mažinama iki 4 mėnesių pagal terminuoto ar sezoninio darbo sutartis“;</w:t>
                      </w:r>
                    </w:p>
                  </w:sdtContent>
                </w:sdt>
                <w:sdt>
                  <w:sdtPr>
                    <w:alias w:val="1.1.3 pp."/>
                    <w:tag w:val="part_dfccd8bd77ae4cdcaf1cd7b3dab84e6e"/>
                    <w:lock w:val="sdtLocked"/>
                    <w:richText/>
                  </w:sdtPr>
                  <w:sdtContent>
                    <w:p>
                      <w:pPr>
                        <w:spacing w:line="360" w:lineRule="atLeast"/>
                        <w:ind w:firstLine="720"/>
                        <w:jc w:val="both"/>
                        <w:rPr>
                          <w:szCs w:val="24"/>
                        </w:rPr>
                      </w:pPr>
                      <w:sdt>
                        <w:sdtPr>
                          <w:alias w:val="Numeris"/>
                          <w:tag w:val="nr_dfccd8bd77ae4cdcaf1cd7b3dab84e6e"/>
                          <w:lock w:val="sdtLocked"/>
                          <w:richText/>
                        </w:sdtPr>
                        <w:sdtContent>
                          <w:r>
                            <w:rPr>
                              <w:szCs w:val="24"/>
                            </w:rPr>
                            <w:t>1.1.3</w:t>
                          </w:r>
                        </w:sdtContent>
                      </w:sdt>
                      <w:r>
                        <w:rPr>
                          <w:szCs w:val="24"/>
                        </w:rPr>
                        <w:t>. 648 100 (šeši šimtai keturiasdešimt aštuoni tūkstančiai vienas šimtas) eurų – 1.3 priemonei „Skatinti darbdavius aktyviau dalyvauti įgyvendinant profesinį mokymą pameistrystės forma“;</w:t>
                      </w:r>
                    </w:p>
                  </w:sdtContent>
                </w:sdt>
                <w:sdt>
                  <w:sdtPr>
                    <w:alias w:val="1.1.4 pp."/>
                    <w:tag w:val="part_02e3188619d248b18cb20d47584d9761"/>
                    <w:lock w:val="sdtLocked"/>
                    <w:richText/>
                  </w:sdtPr>
                  <w:sdtContent>
                    <w:p>
                      <w:pPr>
                        <w:spacing w:line="360" w:lineRule="atLeast"/>
                        <w:ind w:firstLine="720"/>
                        <w:jc w:val="both"/>
                        <w:rPr>
                          <w:szCs w:val="24"/>
                        </w:rPr>
                      </w:pPr>
                      <w:sdt>
                        <w:sdtPr>
                          <w:alias w:val="Numeris"/>
                          <w:tag w:val="nr_02e3188619d248b18cb20d47584d9761"/>
                          <w:lock w:val="sdtLocked"/>
                          <w:richText/>
                        </w:sdtPr>
                        <w:sdtContent>
                          <w:r>
                            <w:rPr>
                              <w:szCs w:val="24"/>
                            </w:rPr>
                            <w:t>1.1.4</w:t>
                          </w:r>
                        </w:sdtContent>
                      </w:sdt>
                      <w:r>
                        <w:rPr>
                          <w:szCs w:val="24"/>
                        </w:rPr>
                        <w:t>. 311 900 (trys šimtai vienuolika tūkstančių devyni šimtai) eurų – 1.4 priemonei „Organizuoti profesinį mokymą užimtiems asmenims, be to, daugiau lėšų skirti bedarbiams ir užimtiems asmenims, įgyjantiems aukštą pridėtinę vertę kuriančias profesijas ir kompetencijas“;</w:t>
                      </w:r>
                    </w:p>
                  </w:sdtContent>
                </w:sdt>
                <w:sdt>
                  <w:sdtPr>
                    <w:alias w:val="1.1.5 pp."/>
                    <w:tag w:val="part_450dbab9e09b4045af31086b805b86f8"/>
                    <w:lock w:val="sdtLocked"/>
                    <w:richText/>
                  </w:sdtPr>
                  <w:sdtContent>
                    <w:p>
                      <w:pPr>
                        <w:spacing w:line="360" w:lineRule="atLeast"/>
                        <w:ind w:firstLine="720"/>
                        <w:jc w:val="both"/>
                        <w:rPr>
                          <w:szCs w:val="24"/>
                        </w:rPr>
                      </w:pPr>
                      <w:sdt>
                        <w:sdtPr>
                          <w:alias w:val="Numeris"/>
                          <w:tag w:val="nr_450dbab9e09b4045af31086b805b86f8"/>
                          <w:lock w:val="sdtLocked"/>
                          <w:richText/>
                        </w:sdtPr>
                        <w:sdtContent>
                          <w:r>
                            <w:rPr>
                              <w:szCs w:val="24"/>
                            </w:rPr>
                            <w:t>1.1.5</w:t>
                          </w:r>
                        </w:sdtContent>
                      </w:sdt>
                      <w:r>
                        <w:rPr>
                          <w:szCs w:val="24"/>
                        </w:rPr>
                        <w:t>. 1 500 000 (vienas milijonas penki šimtai tūkstančių) eurų – 1.5 priemonei „Paremti darbo vietų steigimą įmonėse ir nereikalauti pateikti sutarties galiojimo užtikrinimo“ ir 1.6 priemonei „Teikti paramą darbo vietoms, skirtoms bedarbiams, kuriems nustatytas 45–55 proc. darbingumas, steigti“;</w:t>
                      </w:r>
                    </w:p>
                  </w:sdtContent>
                </w:sdt>
                <w:sdt>
                  <w:sdtPr>
                    <w:alias w:val="1.1.6 pp."/>
                    <w:tag w:val="part_60f52a7f57a841a79601dfec189e696d"/>
                    <w:lock w:val="sdtLocked"/>
                    <w:richText/>
                  </w:sdtPr>
                  <w:sdtContent>
                    <w:p>
                      <w:pPr>
                        <w:spacing w:line="360" w:lineRule="atLeast"/>
                        <w:ind w:firstLine="720"/>
                        <w:jc w:val="both"/>
                        <w:rPr>
                          <w:szCs w:val="24"/>
                        </w:rPr>
                      </w:pPr>
                      <w:sdt>
                        <w:sdtPr>
                          <w:alias w:val="Numeris"/>
                          <w:tag w:val="nr_60f52a7f57a841a79601dfec189e696d"/>
                          <w:lock w:val="sdtLocked"/>
                          <w:richText/>
                        </w:sdtPr>
                        <w:sdtContent>
                          <w:r>
                            <w:rPr>
                              <w:szCs w:val="24"/>
                            </w:rPr>
                            <w:t>1.1.6</w:t>
                          </w:r>
                        </w:sdtContent>
                      </w:sdt>
                      <w:r>
                        <w:rPr>
                          <w:szCs w:val="24"/>
                        </w:rPr>
                        <w:t>. 33 000 000 (trisdešimt trys milijonai) eurų – 2.3 priemonei „Mokėti laikiną darbo paieškos išmoką bedarbiams, nedalyvaujantiems aktyvios darbo rinkos politikos priemonėse (iki 6 mėn.)“;</w:t>
                      </w:r>
                    </w:p>
                  </w:sdtContent>
                </w:sdt>
                <w:sdt>
                  <w:sdtPr>
                    <w:alias w:val="1.1.7 pp."/>
                    <w:tag w:val="part_4526ea03b4354205bcfdacc66d31b70e"/>
                    <w:lock w:val="sdtLocked"/>
                    <w:richText/>
                  </w:sdtPr>
                  <w:sdtContent>
                    <w:p>
                      <w:pPr>
                        <w:spacing w:line="360" w:lineRule="atLeast"/>
                        <w:ind w:firstLine="720"/>
                        <w:jc w:val="both"/>
                        <w:rPr>
                          <w:szCs w:val="24"/>
                        </w:rPr>
                      </w:pPr>
                      <w:sdt>
                        <w:sdtPr>
                          <w:alias w:val="Numeris"/>
                          <w:tag w:val="nr_4526ea03b4354205bcfdacc66d31b70e"/>
                          <w:lock w:val="sdtLocked"/>
                          <w:richText/>
                        </w:sdtPr>
                        <w:sdtContent>
                          <w:r>
                            <w:rPr>
                              <w:szCs w:val="24"/>
                            </w:rPr>
                            <w:t>1.1.7</w:t>
                          </w:r>
                        </w:sdtContent>
                      </w:sdt>
                      <w:r>
                        <w:rPr>
                          <w:szCs w:val="24"/>
                        </w:rPr>
                        <w:t>. 60 000 000 (šešiasdešimt milijonų) eurų – 3.1 priemonei „Užtikrinti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p>
                  </w:sdtContent>
                </w:sdt>
                <w:sdt>
                  <w:sdtPr>
                    <w:alias w:val="1.1.8 pp."/>
                    <w:tag w:val="part_2d88d45360d3465ca4820aec13c78635"/>
                    <w:lock w:val="sdtLocked"/>
                    <w:richText/>
                  </w:sdtPr>
                  <w:sdtContent>
                    <w:p>
                      <w:pPr>
                        <w:spacing w:line="360" w:lineRule="atLeast"/>
                        <w:ind w:firstLine="720"/>
                        <w:jc w:val="both"/>
                        <w:rPr>
                          <w:szCs w:val="24"/>
                        </w:rPr>
                      </w:pPr>
                      <w:sdt>
                        <w:sdtPr>
                          <w:alias w:val="Numeris"/>
                          <w:tag w:val="nr_2d88d45360d3465ca4820aec13c78635"/>
                          <w:lock w:val="sdtLocked"/>
                          <w:richText/>
                        </w:sdtPr>
                        <w:sdtContent>
                          <w:r>
                            <w:rPr>
                              <w:szCs w:val="24"/>
                            </w:rPr>
                            <w:t>1.1.8</w:t>
                          </w:r>
                        </w:sdtContent>
                      </w:sdt>
                      <w:r>
                        <w:rPr>
                          <w:szCs w:val="24"/>
                        </w:rPr>
                        <w:t>. 24 290 000 (dvidešimt keturi milijonai du šimtai devyniasdešimt tūkstančių) eurų – 3.2 priemonei „Savarankiškai dirbantiems asmenims ekstremaliosios situacijos ir karantino laikotarpiu ir 2 mėnesius karantinui pasibaigus mokėti fiksuoto dydžio išmoką, lygią 1 minimalaus vartojimo poreikio dydžiui per mėnesį“;</w:t>
                      </w:r>
                    </w:p>
                  </w:sdtContent>
                </w:sdt>
                <w:sdt>
                  <w:sdtPr>
                    <w:alias w:val="1.1.9 pp."/>
                    <w:tag w:val="part_3229063c5ec04ede85c920595f5b5826"/>
                    <w:lock w:val="sdtLocked"/>
                    <w:richText/>
                  </w:sdtPr>
                  <w:sdtContent>
                    <w:p>
                      <w:pPr>
                        <w:spacing w:line="360" w:lineRule="atLeast"/>
                        <w:ind w:firstLine="720"/>
                        <w:jc w:val="both"/>
                        <w:rPr>
                          <w:szCs w:val="24"/>
                        </w:rPr>
                      </w:pPr>
                      <w:sdt>
                        <w:sdtPr>
                          <w:alias w:val="Numeris"/>
                          <w:tag w:val="nr_3229063c5ec04ede85c920595f5b5826"/>
                          <w:lock w:val="sdtLocked"/>
                          <w:richText/>
                        </w:sdtPr>
                        <w:sdtContent>
                          <w:r>
                            <w:rPr>
                              <w:szCs w:val="24"/>
                            </w:rPr>
                            <w:t>1.1.9</w:t>
                          </w:r>
                        </w:sdtContent>
                      </w:sdt>
                      <w:r>
                        <w:rPr>
                          <w:szCs w:val="24"/>
                        </w:rPr>
                        <w:t>. 10 000 000 (dešimt milijonų) eurų – 3.3 priemonei „Remti tuos savarankiškai dirbančius asmenis, gavusius savarankiškai dirbančio asmens išmoką, kurie keis savo vykdytą veiklą“;</w:t>
                      </w:r>
                    </w:p>
                  </w:sdtContent>
                </w:sdt>
                <w:sdt>
                  <w:sdtPr>
                    <w:alias w:val="1.1.10 pp."/>
                    <w:tag w:val="part_6be2652bae40485cb5483df9ecb5e998"/>
                    <w:lock w:val="sdtLocked"/>
                    <w:richText/>
                  </w:sdtPr>
                  <w:sdtContent>
                    <w:p>
                      <w:pPr>
                        <w:spacing w:line="360" w:lineRule="atLeast"/>
                        <w:ind w:firstLine="720"/>
                        <w:jc w:val="both"/>
                        <w:rPr>
                          <w:szCs w:val="24"/>
                        </w:rPr>
                      </w:pPr>
                      <w:sdt>
                        <w:sdtPr>
                          <w:alias w:val="Numeris"/>
                          <w:tag w:val="nr_6be2652bae40485cb5483df9ecb5e998"/>
                          <w:lock w:val="sdtLocked"/>
                          <w:richText/>
                        </w:sdtPr>
                        <w:sdtContent>
                          <w:r>
                            <w:rPr>
                              <w:szCs w:val="24"/>
                            </w:rPr>
                            <w:t>1.1.10</w:t>
                          </w:r>
                        </w:sdtContent>
                      </w:sdt>
                      <w:r>
                        <w:rPr>
                          <w:szCs w:val="24"/>
                        </w:rPr>
                        <w:t>. 182 000 000 (vienas šimtas aštuoniasdešimt du milijonai) eurų – 3.4 priemonei „Išmokėti socialinio draudimo pensijų ir šalpos išmokų gavėjams vienkartines 200 eurų dydžio išmokas (2020 m. rugpjūtį)“;</w:t>
                      </w:r>
                    </w:p>
                  </w:sdtContent>
                </w:sdt>
              </w:sdtContent>
            </w:sdt>
            <w:sdt>
              <w:sdtPr>
                <w:alias w:val="1.2 pp."/>
                <w:tag w:val="part_bf83ca2b6c03415eaa2f9bbb52900a2c"/>
                <w:lock w:val="sdtLocked"/>
                <w:richText/>
              </w:sdtPr>
              <w:sdtContent>
                <w:p>
                  <w:pPr>
                    <w:spacing w:line="360" w:lineRule="atLeast"/>
                    <w:ind w:firstLine="720"/>
                    <w:jc w:val="both"/>
                    <w:rPr>
                      <w:szCs w:val="24"/>
                    </w:rPr>
                  </w:pPr>
                  <w:sdt>
                    <w:sdtPr>
                      <w:alias w:val="Numeris"/>
                      <w:tag w:val="nr_bf83ca2b6c03415eaa2f9bbb52900a2c"/>
                      <w:lock w:val="sdtLocked"/>
                      <w:richText/>
                    </w:sdtPr>
                    <w:sdtContent>
                      <w:r>
                        <w:rPr>
                          <w:szCs w:val="24"/>
                        </w:rPr>
                        <w:t>1.2</w:t>
                      </w:r>
                    </w:sdtContent>
                  </w:sdt>
                  <w:r>
                    <w:rPr>
                      <w:szCs w:val="24"/>
                    </w:rPr>
                    <w:t>. Lietuvos Respublikos susisiekimo ministerijai – 351 308 (trys šimtai penkiasdešimt vienas tūkstantis trys šimtai aštuoni) eurus kroviniams pristatyti į Lietuvos Respubliką, siekiant suvaldyti naujojo koronaviruso (COVID-19) plitimą.</w:t>
                  </w:r>
                </w:p>
              </w:sdtContent>
            </w:sdt>
          </w:sdtContent>
        </w:sdt>
        <w:sdt>
          <w:sdtPr>
            <w:alias w:val="2 p."/>
            <w:tag w:val="part_cdbd6b2abfbd4893b9cb1ef8dc1b4712"/>
            <w:lock w:val="sdtLocked"/>
            <w:richText/>
          </w:sdtPr>
          <w:sdtContent>
            <w:p>
              <w:pPr>
                <w:spacing w:line="360" w:lineRule="atLeast"/>
                <w:ind w:firstLine="720"/>
                <w:jc w:val="both"/>
                <w:rPr>
                  <w:szCs w:val="24"/>
                </w:rPr>
              </w:pPr>
              <w:sdt>
                <w:sdtPr>
                  <w:alias w:val="Numeris"/>
                  <w:tag w:val="nr_cdbd6b2abfbd4893b9cb1ef8dc1b4712"/>
                  <w:lock w:val="sdtLocked"/>
                  <w:richText/>
                </w:sdtPr>
                <w:sdtContent>
                  <w:r>
                    <w:rPr>
                      <w:szCs w:val="24"/>
                    </w:rPr>
                    <w:t>2</w:t>
                  </w:r>
                </w:sdtContent>
              </w:sdt>
              <w:r>
                <w:rPr>
                  <w:szCs w:val="24"/>
                </w:rPr>
                <w:t>. Panaudoti 668 (šeši šimtai šešiasdešimt aštuoni) eurus Lietuvos valstybės rezervo lėšų ir skirti šias lėšas Alytaus miesto savivaldybės administracijai uždarajai akcinei bendrovei „Rajana“ patirtoms išlaidoms (vidutiniam darbo užmokesčiui mokėti darbuotojams už nedirbtą laikotarpį), kaip valstybės paramą žalai, patirtai dėl ekstremaliosios situacijos, paskelbtos Alytaus miesto savivaldybės ir Alytaus rajono savivaldybės teritorijose, kilus gaisrui Alytaus miesto padangų perdirbimo įmonėje UAB „Ekologistika“, atlyginti.</w:t>
              </w:r>
            </w:p>
          </w:sdtContent>
        </w:sdt>
        <w:sdt>
          <w:sdtPr>
            <w:alias w:val="3 p."/>
            <w:tag w:val="part_4692a130d3cf43efa54ee2f51eadf441"/>
            <w:lock w:val="sdtLocked"/>
            <w:richText/>
          </w:sdtPr>
          <w:sdtContent>
            <w:p>
              <w:pPr>
                <w:spacing w:line="360" w:lineRule="atLeast"/>
                <w:ind w:firstLine="720"/>
                <w:jc w:val="both"/>
                <w:rPr>
                  <w:szCs w:val="24"/>
                  <w:lang w:eastAsia="lt-LT"/>
                </w:rPr>
              </w:pPr>
              <w:sdt>
                <w:sdtPr>
                  <w:alias w:val="Numeris"/>
                  <w:tag w:val="nr_4692a130d3cf43efa54ee2f51eadf441"/>
                  <w:lock w:val="sdtLocked"/>
                  <w:richText/>
                </w:sdtPr>
                <w:sdtContent>
                  <w:r>
                    <w:rPr>
                      <w:szCs w:val="24"/>
                      <w:lang w:eastAsia="lt-LT"/>
                    </w:rPr>
                    <w:t>3</w:t>
                  </w:r>
                </w:sdtContent>
              </w:sdt>
              <w:r>
                <w:rPr>
                  <w:szCs w:val="24"/>
                  <w:lang w:eastAsia="lt-LT"/>
                </w:rPr>
                <w:t>. Pavesti Lietuvos Respublikos finansų ministerijai, teikiant Vyriausybei Lietuvos Respublikos 2021 metų valstybės biudžeto ir savivaldybių biudžetų finansinių rodiklių patvirtinimo įstatymo projektą, atkurti šio nutarimo 2 punkte nurodytas valstybės rezervo lėšas.</w:t>
              </w: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
          <w:sdtPr>
            <w:alias w:val="signatura"/>
            <w:tag w:val="part_bc8650f7f1ce467aa656535e41e5fd89"/>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Finansų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430865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74906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60706c607a7f471198659fff38024730" PartId="b917dd1c59564776a1eb1f0880cd4b77">
    <Part Type="preambule" DocPartId="202bb097b4ea4ed6961122f3acc6ec2b" PartId="e4c9b9d2d46b4fbd9440b6a0c92e6900"/>
    <Part Type="punktas" Nr="1" Abbr="1 p." DocPartId="545faac6c52241ed9c0da5318ea7bb6a" PartId="b58d0c73b4e9439daa8d80e5f14acf02">
      <Part Type="papunktis" Nr="1.1" Abbr="1.1 pp." DocPartId="50f23d0585f74d9299e412c0dd7e6c55" PartId="2f856c15041e4a6ebc2646ef98f030dd">
        <Part Type="papunktis" Nr="1.1.1" Abbr="1.1.1 pp." DocPartId="24a6086d54c34094b393e4b286ec9344" PartId="5a9a5228df5d438a8006d973fe645812"/>
        <Part Type="papunktis" Nr="1.1.2" Abbr="1.1.2 pp." DocPartId="acc8dbceb8904ed9830f3e1f52ed6da8" PartId="9f5b38b91ce24517b251e8d7fd989666"/>
        <Part Type="papunktis" Nr="1.1.3" Abbr="1.1.3 pp." DocPartId="03292200fee84bd1892694c41810b3ae" PartId="dfccd8bd77ae4cdcaf1cd7b3dab84e6e"/>
        <Part Type="papunktis" Nr="1.1.4" Abbr="1.1.4 pp." DocPartId="f4f12ac3464149a2ac0d55d83abb4233" PartId="02e3188619d248b18cb20d47584d9761"/>
        <Part Type="papunktis" Nr="1.1.5" Abbr="1.1.5 pp." DocPartId="42cf5a39e6ac4471aad8edab96e1ec13" PartId="450dbab9e09b4045af31086b805b86f8"/>
        <Part Type="papunktis" Nr="1.1.6" Abbr="1.1.6 pp." DocPartId="dcca3d646eca4fb59cd0ce947b112a8c" PartId="60f52a7f57a841a79601dfec189e696d"/>
        <Part Type="papunktis" Nr="1.1.7" Abbr="1.1.7 pp." DocPartId="aae461fc36ce46d6a9e0ca23d46bb32d" PartId="4526ea03b4354205bcfdacc66d31b70e"/>
        <Part Type="papunktis" Nr="1.1.8" Abbr="1.1.8 pp." DocPartId="3cc05a19813f4d1b8e1bd3af81ebfc7b" PartId="2d88d45360d3465ca4820aec13c78635"/>
        <Part Type="papunktis" Nr="1.1.9" Abbr="1.1.9 pp." DocPartId="b64e18d01e114ee2afb6d453772b02c9" PartId="3229063c5ec04ede85c920595f5b5826"/>
        <Part Type="papunktis" Nr="1.1.10" Abbr="1.1.10 pp." DocPartId="206dd94c08834603ab0869ef1ae1c0b1" PartId="6be2652bae40485cb5483df9ecb5e998"/>
      </Part>
      <Part Type="papunktis" Nr="1.2" Abbr="1.2 pp." DocPartId="5506ad02ffa94dff905eb78406a9ce2b" PartId="bf83ca2b6c03415eaa2f9bbb52900a2c"/>
    </Part>
    <Part Type="punktas" Nr="2" Abbr="2 p." DocPartId="27aa3651304d4e83b171eb00e831074f" PartId="cdbd6b2abfbd4893b9cb1ef8dc1b4712"/>
    <Part Type="punktas" Nr="3" Abbr="3 p." DocPartId="0025ba7de33e46c2aedd5aad2860eb5d" PartId="4692a130d3cf43efa54ee2f51eadf441"/>
    <Part Type="signatura" DocPartId="cc613a1d36b345d48904a0b3e1d7faf1" PartId="bc8650f7f1ce467aa656535e41e5fd89"/>
  </Part>
</Parts>
</file>

<file path=customXml/itemProps1.xml><?xml version="1.0" encoding="utf-8"?>
<ds:datastoreItem xmlns:ds="http://schemas.openxmlformats.org/officeDocument/2006/customXml" ds:itemID="{EAB9239B-A02E-4A30-8852-994DFA8FA43F}">
  <ds:schemaRefs>
    <ds:schemaRef ds:uri="http://schemas.openxmlformats.org/officeDocument/2006/bibliography"/>
  </ds:schemaRefs>
</ds:datastoreItem>
</file>

<file path=customXml/itemProps2.xml><?xml version="1.0" encoding="utf-8"?>
<ds:datastoreItem xmlns:ds="http://schemas.openxmlformats.org/officeDocument/2006/customXml" ds:itemID="{8A981213-7401-48AC-9CAA-67FCE2AA760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4831</Characters>
  <Application>Microsoft Office Word</Application>
  <DocSecurity>4</DocSecurity>
  <Lines>81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2020-07-09T09:32:00Z</dcterms:created>
  <dc:creator>Gražina Sakalauskienė</dc:creator>
  <cp:lastModifiedBy>Asseco</cp:lastModifiedBy>
  <cp:lastPrinted>2020-06-15T12:45:00Z</cp:lastPrinted>
  <dcterms:modified xsi:type="dcterms:W3CDTF">2020-07-09T09:32:00Z</dcterms:modified>
  <cp:revision>2</cp:revision>
</cp:coreProperties>
</file>