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9E92C" w14:textId="77777777" w:rsidR="00420E75" w:rsidRDefault="00B548C5" w:rsidP="007310B0">
      <w:pPr>
        <w:ind w:left="7370" w:hanging="849"/>
        <w:jc w:val="both"/>
      </w:pPr>
      <w:bookmarkStart w:id="0" w:name="_GoBack"/>
      <w:r>
        <w:rPr>
          <w:b/>
          <w:szCs w:val="24"/>
          <w:lang w:eastAsia="lt-LT"/>
        </w:rPr>
        <w:t>Projekto</w:t>
      </w:r>
    </w:p>
    <w:bookmarkEnd w:id="0"/>
    <w:p w14:paraId="1E332968" w14:textId="77777777" w:rsidR="00420E75" w:rsidRDefault="00B548C5" w:rsidP="007310B0">
      <w:pPr>
        <w:ind w:left="7370" w:hanging="849"/>
        <w:jc w:val="both"/>
      </w:pPr>
      <w:r>
        <w:rPr>
          <w:b/>
          <w:szCs w:val="24"/>
          <w:lang w:eastAsia="lt-LT"/>
        </w:rPr>
        <w:t>lyginamasis variantas</w:t>
      </w:r>
    </w:p>
    <w:p w14:paraId="2BC84E41" w14:textId="77777777" w:rsidR="00420E75" w:rsidRDefault="00420E75">
      <w:pPr>
        <w:keepLines/>
        <w:jc w:val="center"/>
        <w:textAlignment w:val="center"/>
        <w:rPr>
          <w:b/>
          <w:color w:val="000000"/>
          <w:szCs w:val="24"/>
        </w:rPr>
      </w:pPr>
    </w:p>
    <w:p w14:paraId="3E6ED46D" w14:textId="77777777" w:rsidR="00420E75" w:rsidRDefault="00420E75">
      <w:pPr>
        <w:jc w:val="center"/>
        <w:textAlignment w:val="center"/>
        <w:rPr>
          <w:b/>
          <w:color w:val="000000"/>
          <w:szCs w:val="24"/>
        </w:rPr>
      </w:pPr>
    </w:p>
    <w:p w14:paraId="3CD83802" w14:textId="77777777" w:rsidR="00535B8A" w:rsidRDefault="00535B8A" w:rsidP="00535B8A">
      <w:pPr>
        <w:keepNext/>
        <w:spacing w:line="276" w:lineRule="auto"/>
        <w:jc w:val="center"/>
        <w:rPr>
          <w:rFonts w:eastAsia="MS Mincho"/>
          <w:b/>
          <w:bCs/>
          <w:kern w:val="32"/>
          <w:szCs w:val="24"/>
        </w:rPr>
      </w:pPr>
      <w:r>
        <w:rPr>
          <w:rFonts w:eastAsia="MS Mincho"/>
          <w:b/>
          <w:bCs/>
          <w:kern w:val="32"/>
          <w:szCs w:val="24"/>
        </w:rPr>
        <w:t>LIETUVOS RESPUBLIKOS VYRIAUSYBĖ</w:t>
      </w:r>
    </w:p>
    <w:p w14:paraId="4DE97978" w14:textId="77777777" w:rsidR="00420E75" w:rsidRDefault="00420E75">
      <w:pPr>
        <w:keepLines/>
        <w:spacing w:line="280" w:lineRule="auto"/>
        <w:jc w:val="center"/>
        <w:textAlignment w:val="center"/>
        <w:rPr>
          <w:b/>
          <w:color w:val="000000"/>
          <w:szCs w:val="24"/>
        </w:rPr>
      </w:pPr>
    </w:p>
    <w:p w14:paraId="10E5DB25" w14:textId="7BEA1EFA" w:rsidR="00535B8A" w:rsidRDefault="00535B8A" w:rsidP="00535B8A">
      <w:pPr>
        <w:tabs>
          <w:tab w:val="left" w:pos="-142"/>
        </w:tabs>
        <w:spacing w:line="276" w:lineRule="auto"/>
        <w:jc w:val="center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NUTARIMAS</w:t>
      </w:r>
    </w:p>
    <w:p w14:paraId="5D14D928" w14:textId="5FB34665" w:rsidR="00535B8A" w:rsidRDefault="001C643F" w:rsidP="00535B8A">
      <w:pPr>
        <w:tabs>
          <w:tab w:val="left" w:pos="6804"/>
        </w:tabs>
        <w:jc w:val="center"/>
        <w:rPr>
          <w:rFonts w:eastAsia="MS Mincho"/>
          <w:b/>
          <w:caps/>
          <w:szCs w:val="24"/>
        </w:rPr>
      </w:pPr>
      <w:r>
        <w:rPr>
          <w:b/>
          <w:bCs/>
          <w:iCs/>
          <w:szCs w:val="24"/>
        </w:rPr>
        <w:t xml:space="preserve">DĖL LIETUVOS RESPUBLIKOS VYRIAUSYBĖS 2014 M. BIRŽELIO 11 D. NUTARIMO NR. 526 </w:t>
      </w:r>
      <w:r>
        <w:rPr>
          <w:rFonts w:eastAsia="MS Mincho"/>
          <w:b/>
          <w:caps/>
          <w:szCs w:val="24"/>
        </w:rPr>
        <w:t>„</w:t>
      </w:r>
      <w:r w:rsidR="00535B8A">
        <w:rPr>
          <w:rFonts w:eastAsia="MS Mincho"/>
          <w:b/>
          <w:caps/>
          <w:szCs w:val="24"/>
        </w:rPr>
        <w:t xml:space="preserve">Dėl ĮGALIOJIMŲ SUTEIKIMO ĮGYVENDINANT LIETUVOS RESPUBLIKOS BAUDŽIAMOJO PROCESO KODEKSO </w:t>
      </w:r>
      <w:r w:rsidR="00535B8A">
        <w:rPr>
          <w:rFonts w:eastAsia="MS Mincho"/>
          <w:b/>
          <w:szCs w:val="24"/>
        </w:rPr>
        <w:t>131</w:t>
      </w:r>
      <w:r w:rsidR="00535B8A">
        <w:rPr>
          <w:rFonts w:eastAsia="MS Mincho"/>
          <w:b/>
          <w:szCs w:val="24"/>
          <w:vertAlign w:val="superscript"/>
        </w:rPr>
        <w:t>1</w:t>
      </w:r>
      <w:r w:rsidR="00DB152A">
        <w:rPr>
          <w:rFonts w:eastAsia="MS Mincho"/>
          <w:b/>
          <w:caps/>
          <w:szCs w:val="24"/>
        </w:rPr>
        <w:t> </w:t>
      </w:r>
      <w:r w:rsidR="00535B8A">
        <w:rPr>
          <w:rFonts w:eastAsia="MS Mincho"/>
          <w:b/>
          <w:caps/>
          <w:szCs w:val="24"/>
        </w:rPr>
        <w:t>straipsnIO 3 DALĮ</w:t>
      </w:r>
      <w:r>
        <w:rPr>
          <w:rFonts w:eastAsia="MS Mincho"/>
          <w:b/>
          <w:caps/>
          <w:szCs w:val="24"/>
        </w:rPr>
        <w:t>“ pakeitimo</w:t>
      </w:r>
    </w:p>
    <w:p w14:paraId="03DBAEA6" w14:textId="77777777" w:rsidR="00420E75" w:rsidRDefault="00420E75">
      <w:pPr>
        <w:ind w:right="-1"/>
        <w:rPr>
          <w:sz w:val="22"/>
          <w:szCs w:val="24"/>
        </w:rPr>
      </w:pPr>
    </w:p>
    <w:p w14:paraId="1DC7C4FD" w14:textId="77777777" w:rsidR="00420E75" w:rsidRDefault="00B548C5">
      <w:pPr>
        <w:ind w:right="-1"/>
        <w:jc w:val="center"/>
        <w:rPr>
          <w:szCs w:val="24"/>
        </w:rPr>
      </w:pPr>
      <w:r>
        <w:rPr>
          <w:szCs w:val="24"/>
        </w:rPr>
        <w:t>Nr.</w:t>
      </w:r>
    </w:p>
    <w:p w14:paraId="13DCD79C" w14:textId="77777777" w:rsidR="00420E75" w:rsidRDefault="00B548C5">
      <w:pPr>
        <w:ind w:right="-1"/>
        <w:jc w:val="center"/>
        <w:rPr>
          <w:szCs w:val="24"/>
        </w:rPr>
      </w:pPr>
      <w:r>
        <w:rPr>
          <w:szCs w:val="24"/>
        </w:rPr>
        <w:t>Vilnius</w:t>
      </w:r>
    </w:p>
    <w:p w14:paraId="1A4829E8" w14:textId="77777777" w:rsidR="00420E75" w:rsidRDefault="00420E75">
      <w:pPr>
        <w:ind w:right="-1" w:firstLine="720"/>
        <w:rPr>
          <w:szCs w:val="24"/>
        </w:rPr>
      </w:pPr>
    </w:p>
    <w:p w14:paraId="0769AB5E" w14:textId="53C1F979" w:rsidR="00741EF5" w:rsidRPr="00741EF5" w:rsidRDefault="00741EF5" w:rsidP="00741EF5">
      <w:pPr>
        <w:tabs>
          <w:tab w:val="left" w:pos="851"/>
          <w:tab w:val="left" w:pos="6237"/>
        </w:tabs>
        <w:suppressAutoHyphens w:val="0"/>
        <w:autoSpaceDN/>
        <w:spacing w:line="360" w:lineRule="auto"/>
        <w:ind w:firstLine="567"/>
        <w:jc w:val="both"/>
        <w:textAlignment w:val="auto"/>
        <w:rPr>
          <w:color w:val="00000A"/>
          <w:szCs w:val="24"/>
        </w:rPr>
      </w:pPr>
      <w:r w:rsidRPr="00741EF5">
        <w:rPr>
          <w:color w:val="00000A"/>
          <w:szCs w:val="24"/>
        </w:rPr>
        <w:t>Lietuvos Respublikos Vyriausybė</w:t>
      </w:r>
      <w:r w:rsidRPr="00741EF5">
        <w:rPr>
          <w:color w:val="00000A"/>
          <w:spacing w:val="100"/>
          <w:szCs w:val="24"/>
        </w:rPr>
        <w:t xml:space="preserve"> </w:t>
      </w:r>
      <w:r w:rsidR="00DB152A" w:rsidRPr="006D72A5">
        <w:rPr>
          <w:spacing w:val="100"/>
          <w:szCs w:val="24"/>
        </w:rPr>
        <w:t>nutari</w:t>
      </w:r>
      <w:r w:rsidR="00DB152A" w:rsidRPr="00504D58">
        <w:rPr>
          <w:szCs w:val="24"/>
        </w:rPr>
        <w:t>a</w:t>
      </w:r>
      <w:r w:rsidR="00DB152A" w:rsidRPr="006275F2">
        <w:rPr>
          <w:szCs w:val="24"/>
        </w:rPr>
        <w:t>:</w:t>
      </w:r>
    </w:p>
    <w:p w14:paraId="7BDFE925" w14:textId="381FE675" w:rsidR="00741EF5" w:rsidRDefault="00741EF5" w:rsidP="00741EF5">
      <w:pPr>
        <w:tabs>
          <w:tab w:val="left" w:pos="851"/>
          <w:tab w:val="left" w:pos="1080"/>
        </w:tabs>
        <w:suppressAutoHyphens w:val="0"/>
        <w:autoSpaceDN/>
        <w:spacing w:line="360" w:lineRule="auto"/>
        <w:ind w:firstLine="567"/>
        <w:jc w:val="both"/>
        <w:textAlignment w:val="auto"/>
        <w:rPr>
          <w:color w:val="00000A"/>
          <w:szCs w:val="24"/>
        </w:rPr>
      </w:pPr>
      <w:r w:rsidRPr="00741EF5">
        <w:rPr>
          <w:color w:val="00000A"/>
          <w:szCs w:val="24"/>
        </w:rPr>
        <w:t>Pakeisti Lietuvos Respublikos Vyriausybės 201</w:t>
      </w:r>
      <w:r>
        <w:rPr>
          <w:color w:val="00000A"/>
          <w:szCs w:val="24"/>
        </w:rPr>
        <w:t>4</w:t>
      </w:r>
      <w:r w:rsidRPr="00741EF5">
        <w:rPr>
          <w:color w:val="00000A"/>
          <w:szCs w:val="24"/>
        </w:rPr>
        <w:t> m. birželio 1</w:t>
      </w:r>
      <w:r>
        <w:rPr>
          <w:color w:val="00000A"/>
          <w:szCs w:val="24"/>
        </w:rPr>
        <w:t>1</w:t>
      </w:r>
      <w:r w:rsidR="00DB152A">
        <w:rPr>
          <w:color w:val="00000A"/>
          <w:szCs w:val="24"/>
        </w:rPr>
        <w:t> </w:t>
      </w:r>
      <w:r w:rsidRPr="00741EF5">
        <w:rPr>
          <w:color w:val="00000A"/>
          <w:szCs w:val="24"/>
        </w:rPr>
        <w:t xml:space="preserve">d. nutarimą Nr. </w:t>
      </w:r>
      <w:r>
        <w:rPr>
          <w:color w:val="00000A"/>
          <w:szCs w:val="24"/>
        </w:rPr>
        <w:t>526</w:t>
      </w:r>
      <w:r w:rsidRPr="00741EF5">
        <w:rPr>
          <w:color w:val="00000A"/>
          <w:szCs w:val="24"/>
        </w:rPr>
        <w:t xml:space="preserve"> „</w:t>
      </w:r>
      <w:r>
        <w:t>Dėl įgaliojimų suteikimo įgyvendinant Lietuvos Respublikos baudžiamojo proceso kodekso 131</w:t>
      </w:r>
      <w:r>
        <w:rPr>
          <w:vertAlign w:val="superscript"/>
        </w:rPr>
        <w:t>1</w:t>
      </w:r>
      <w:r w:rsidR="00DB152A">
        <w:t> </w:t>
      </w:r>
      <w:r>
        <w:t>straipsnio 3</w:t>
      </w:r>
      <w:r w:rsidR="00DB152A">
        <w:t> </w:t>
      </w:r>
      <w:r>
        <w:t>dalį</w:t>
      </w:r>
      <w:r w:rsidRPr="00741EF5">
        <w:rPr>
          <w:bCs/>
          <w:color w:val="00000A"/>
          <w:szCs w:val="24"/>
        </w:rPr>
        <w:t>“</w:t>
      </w:r>
      <w:r w:rsidR="002B5594">
        <w:rPr>
          <w:bCs/>
          <w:color w:val="00000A"/>
          <w:szCs w:val="24"/>
        </w:rPr>
        <w:t xml:space="preserve"> ir jį </w:t>
      </w:r>
      <w:r w:rsidR="002B5594">
        <w:rPr>
          <w:color w:val="000000"/>
          <w:szCs w:val="24"/>
        </w:rPr>
        <w:t>išdėstyti nauja redakcija</w:t>
      </w:r>
      <w:r w:rsidRPr="00741EF5">
        <w:rPr>
          <w:color w:val="00000A"/>
          <w:szCs w:val="24"/>
        </w:rPr>
        <w:t>:</w:t>
      </w:r>
    </w:p>
    <w:p w14:paraId="1AAD37D0" w14:textId="5CCC7D82" w:rsidR="00741EF5" w:rsidRPr="00741EF5" w:rsidRDefault="00741EF5" w:rsidP="00741EF5">
      <w:pPr>
        <w:tabs>
          <w:tab w:val="left" w:pos="851"/>
          <w:tab w:val="left" w:pos="1080"/>
        </w:tabs>
        <w:suppressAutoHyphens w:val="0"/>
        <w:autoSpaceDN/>
        <w:spacing w:after="30" w:line="360" w:lineRule="auto"/>
        <w:ind w:firstLine="567"/>
        <w:jc w:val="center"/>
        <w:textAlignment w:val="auto"/>
        <w:rPr>
          <w:color w:val="00000A"/>
          <w:szCs w:val="24"/>
        </w:rPr>
      </w:pPr>
      <w:r w:rsidRPr="00741EF5">
        <w:rPr>
          <w:color w:val="00000A"/>
          <w:szCs w:val="24"/>
        </w:rPr>
        <w:t>„LIETUVOS RESPUBLIKOS VYRIAUSYBĖ</w:t>
      </w:r>
    </w:p>
    <w:p w14:paraId="0242D805" w14:textId="77777777" w:rsidR="00741EF5" w:rsidRDefault="00741EF5" w:rsidP="00741EF5">
      <w:pPr>
        <w:tabs>
          <w:tab w:val="left" w:pos="851"/>
          <w:tab w:val="left" w:pos="1080"/>
        </w:tabs>
        <w:suppressAutoHyphens w:val="0"/>
        <w:autoSpaceDN/>
        <w:ind w:firstLine="567"/>
        <w:jc w:val="center"/>
        <w:textAlignment w:val="auto"/>
        <w:rPr>
          <w:color w:val="00000A"/>
          <w:szCs w:val="24"/>
        </w:rPr>
      </w:pPr>
      <w:r w:rsidRPr="00741EF5">
        <w:rPr>
          <w:color w:val="00000A"/>
          <w:szCs w:val="24"/>
        </w:rPr>
        <w:t>NUTARIMAS</w:t>
      </w:r>
    </w:p>
    <w:p w14:paraId="5965E6CC" w14:textId="0A069A74" w:rsidR="00CA0BB5" w:rsidRPr="00CA0BB5" w:rsidRDefault="00CA1154" w:rsidP="00CA0BB5">
      <w:pPr>
        <w:jc w:val="center"/>
        <w:rPr>
          <w:b/>
          <w:caps/>
          <w:lang w:eastAsia="lt-LT"/>
        </w:rPr>
      </w:pPr>
      <w:r w:rsidRPr="00CA1154">
        <w:rPr>
          <w:caps/>
          <w:lang w:eastAsia="lt-LT"/>
        </w:rPr>
        <w:t>dĖL ĮGALIOJIMŲ SUTEIKIMO ĮGYVENDINANT lietuvos respublikos</w:t>
      </w:r>
      <w:r w:rsidRPr="00CA1154">
        <w:rPr>
          <w:rFonts w:eastAsia="MS Mincho"/>
          <w:caps/>
          <w:szCs w:val="24"/>
        </w:rPr>
        <w:t xml:space="preserve"> BAUDŽIAMOJO PROCESO KODEKSO </w:t>
      </w:r>
      <w:r w:rsidRPr="00CA1154">
        <w:rPr>
          <w:rFonts w:eastAsia="MS Mincho"/>
          <w:szCs w:val="24"/>
        </w:rPr>
        <w:t>131</w:t>
      </w:r>
      <w:r w:rsidRPr="00CA1154">
        <w:rPr>
          <w:rFonts w:eastAsia="MS Mincho"/>
          <w:szCs w:val="24"/>
          <w:vertAlign w:val="superscript"/>
        </w:rPr>
        <w:t>1</w:t>
      </w:r>
      <w:r w:rsidRPr="00CA1154">
        <w:rPr>
          <w:rFonts w:eastAsia="MS Mincho"/>
          <w:caps/>
          <w:szCs w:val="24"/>
        </w:rPr>
        <w:t xml:space="preserve"> straipsnIO 3 DALĮ</w:t>
      </w:r>
      <w:r>
        <w:rPr>
          <w:rFonts w:eastAsia="MS Mincho"/>
          <w:b/>
          <w:caps/>
          <w:szCs w:val="24"/>
        </w:rPr>
        <w:t xml:space="preserve"> ir lietuvos respublikos organizuoto nusikalstamumo prevencijos įstatymo 17 straipsnio 5 dalį</w:t>
      </w:r>
    </w:p>
    <w:p w14:paraId="3553F5AE" w14:textId="77777777" w:rsidR="00CA1154" w:rsidRDefault="00CA1154" w:rsidP="00CA1154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655E1832" w14:textId="2BF7D4EC" w:rsidR="005B4087" w:rsidRDefault="00AF0BB4" w:rsidP="00CA1154">
      <w:pPr>
        <w:spacing w:line="360" w:lineRule="atLeast"/>
        <w:ind w:firstLine="720"/>
        <w:jc w:val="both"/>
        <w:rPr>
          <w:szCs w:val="24"/>
          <w:lang w:eastAsia="lt-LT"/>
        </w:rPr>
      </w:pPr>
      <w:r w:rsidRPr="00345504">
        <w:rPr>
          <w:szCs w:val="24"/>
          <w:lang w:eastAsia="lt-LT"/>
        </w:rPr>
        <w:t xml:space="preserve">Vadovaudamasi </w:t>
      </w:r>
      <w:r>
        <w:rPr>
          <w:szCs w:val="24"/>
          <w:lang w:eastAsia="lt-LT"/>
        </w:rPr>
        <w:t xml:space="preserve">Lietuvos Respublikos baudžiamojo proceso kodekso </w:t>
      </w:r>
      <w:r w:rsidRPr="00345504">
        <w:rPr>
          <w:strike/>
          <w:szCs w:val="24"/>
          <w:lang w:eastAsia="lt-LT"/>
        </w:rPr>
        <w:t>(2013 m. liepos 2 d</w:t>
      </w:r>
      <w:r w:rsidR="005B4087" w:rsidRPr="00345504">
        <w:rPr>
          <w:strike/>
          <w:szCs w:val="24"/>
          <w:lang w:eastAsia="lt-LT"/>
        </w:rPr>
        <w:t>.</w:t>
      </w:r>
      <w:r w:rsidRPr="00345504">
        <w:rPr>
          <w:strike/>
          <w:szCs w:val="24"/>
          <w:lang w:eastAsia="lt-LT"/>
        </w:rPr>
        <w:t xml:space="preserve"> įstatymo Nr. XII-498 redakcija)</w:t>
      </w:r>
      <w:r>
        <w:rPr>
          <w:szCs w:val="24"/>
          <w:lang w:eastAsia="lt-LT"/>
        </w:rPr>
        <w:t xml:space="preserve"> 131</w:t>
      </w:r>
      <w:r>
        <w:rPr>
          <w:szCs w:val="24"/>
          <w:vertAlign w:val="superscript"/>
          <w:lang w:eastAsia="lt-LT"/>
        </w:rPr>
        <w:t>1</w:t>
      </w:r>
      <w:r>
        <w:rPr>
          <w:szCs w:val="24"/>
          <w:lang w:eastAsia="lt-LT"/>
        </w:rPr>
        <w:t> straipsnio 3</w:t>
      </w:r>
      <w:r w:rsidR="00DB152A">
        <w:rPr>
          <w:szCs w:val="24"/>
          <w:lang w:eastAsia="lt-LT"/>
        </w:rPr>
        <w:t> </w:t>
      </w:r>
      <w:r w:rsidRPr="00345504">
        <w:rPr>
          <w:szCs w:val="24"/>
          <w:lang w:eastAsia="lt-LT"/>
        </w:rPr>
        <w:t>dalimi</w:t>
      </w:r>
      <w:r w:rsidR="005B4087" w:rsidRPr="005B4087">
        <w:rPr>
          <w:szCs w:val="24"/>
          <w:lang w:eastAsia="lt-LT"/>
        </w:rPr>
        <w:t xml:space="preserve"> </w:t>
      </w:r>
      <w:r w:rsidR="005B4087" w:rsidRPr="005B4087">
        <w:rPr>
          <w:b/>
          <w:szCs w:val="24"/>
          <w:lang w:eastAsia="lt-LT"/>
        </w:rPr>
        <w:t xml:space="preserve">ir </w:t>
      </w:r>
      <w:r w:rsidR="005B4087">
        <w:rPr>
          <w:b/>
          <w:szCs w:val="24"/>
          <w:lang w:eastAsia="lt-LT"/>
        </w:rPr>
        <w:t>Lietuvos Respublikos organizuoto nusikalstamumo prevencijos įstatymo 17</w:t>
      </w:r>
      <w:r w:rsidR="00DB152A">
        <w:rPr>
          <w:b/>
          <w:szCs w:val="24"/>
          <w:lang w:eastAsia="lt-LT"/>
        </w:rPr>
        <w:t> </w:t>
      </w:r>
      <w:r w:rsidR="005B4087">
        <w:rPr>
          <w:b/>
          <w:szCs w:val="24"/>
          <w:lang w:eastAsia="lt-LT"/>
        </w:rPr>
        <w:t>straipsnio 5</w:t>
      </w:r>
      <w:r w:rsidR="00DB152A">
        <w:rPr>
          <w:b/>
          <w:szCs w:val="24"/>
          <w:lang w:eastAsia="lt-LT"/>
        </w:rPr>
        <w:t> </w:t>
      </w:r>
      <w:r w:rsidR="00BB5EE5">
        <w:rPr>
          <w:b/>
          <w:szCs w:val="24"/>
          <w:lang w:eastAsia="lt-LT"/>
        </w:rPr>
        <w:t>dalimi</w:t>
      </w:r>
      <w:r w:rsidR="00DB152A" w:rsidRPr="007310B0">
        <w:rPr>
          <w:szCs w:val="24"/>
          <w:lang w:eastAsia="lt-LT"/>
        </w:rPr>
        <w:t>,</w:t>
      </w:r>
      <w:r w:rsidR="00BB5EE5" w:rsidRPr="005B4087">
        <w:rPr>
          <w:b/>
          <w:szCs w:val="24"/>
          <w:lang w:eastAsia="lt-LT"/>
        </w:rPr>
        <w:t xml:space="preserve"> </w:t>
      </w:r>
      <w:r w:rsidRPr="005B4087">
        <w:rPr>
          <w:szCs w:val="24"/>
          <w:lang w:eastAsia="lt-LT"/>
        </w:rPr>
        <w:t>L</w:t>
      </w:r>
      <w:r>
        <w:rPr>
          <w:szCs w:val="24"/>
          <w:lang w:eastAsia="lt-LT"/>
        </w:rPr>
        <w:t>ietuvos Respublikos Vyriausybė</w:t>
      </w:r>
      <w:r>
        <w:rPr>
          <w:spacing w:val="100"/>
          <w:szCs w:val="24"/>
          <w:lang w:eastAsia="lt-LT"/>
        </w:rPr>
        <w:t xml:space="preserve"> </w:t>
      </w:r>
      <w:r w:rsidR="00DB152A" w:rsidRPr="006D72A5">
        <w:rPr>
          <w:spacing w:val="100"/>
          <w:szCs w:val="24"/>
        </w:rPr>
        <w:t>nutari</w:t>
      </w:r>
      <w:r w:rsidR="00DB152A" w:rsidRPr="00504D58">
        <w:rPr>
          <w:szCs w:val="24"/>
        </w:rPr>
        <w:t>a</w:t>
      </w:r>
      <w:r w:rsidR="00DB152A" w:rsidRPr="006275F2">
        <w:rPr>
          <w:szCs w:val="24"/>
        </w:rPr>
        <w:t>:</w:t>
      </w:r>
    </w:p>
    <w:p w14:paraId="57D23B52" w14:textId="2F0F9906" w:rsidR="002B5594" w:rsidRPr="002B5594" w:rsidRDefault="002B5594" w:rsidP="002B5594">
      <w:pPr>
        <w:suppressAutoHyphens w:val="0"/>
        <w:autoSpaceDN/>
        <w:spacing w:line="360" w:lineRule="atLeast"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2B5594">
        <w:rPr>
          <w:strike/>
          <w:color w:val="000000"/>
          <w:szCs w:val="24"/>
          <w:lang w:eastAsia="lt-LT"/>
        </w:rPr>
        <w:t>1.</w:t>
      </w:r>
      <w:r w:rsidRPr="002B5594">
        <w:rPr>
          <w:color w:val="000000"/>
          <w:szCs w:val="24"/>
          <w:lang w:eastAsia="lt-LT"/>
        </w:rPr>
        <w:t> Įgalioti Lietuvos Respublikos vidaus reikalų ministeriją patvirtinti Intensyvios priežiūros vykdymo ir kontrolės taisykles.</w:t>
      </w:r>
    </w:p>
    <w:p w14:paraId="373A9028" w14:textId="26BC8A0E" w:rsidR="002B5594" w:rsidRPr="002B5594" w:rsidRDefault="002B5594" w:rsidP="002B5594">
      <w:pPr>
        <w:suppressAutoHyphens w:val="0"/>
        <w:autoSpaceDN/>
        <w:spacing w:line="360" w:lineRule="atLeast"/>
        <w:ind w:firstLine="720"/>
        <w:jc w:val="both"/>
        <w:textAlignment w:val="auto"/>
        <w:rPr>
          <w:color w:val="000000"/>
          <w:szCs w:val="24"/>
          <w:lang w:eastAsia="lt-LT"/>
        </w:rPr>
      </w:pPr>
      <w:bookmarkStart w:id="1" w:name="part_81ee540539ff4f10b666a6a7926b81ea"/>
      <w:bookmarkEnd w:id="1"/>
      <w:r w:rsidRPr="002B5594">
        <w:rPr>
          <w:strike/>
          <w:color w:val="000000"/>
          <w:szCs w:val="24"/>
          <w:lang w:eastAsia="lt-LT"/>
        </w:rPr>
        <w:t>2. Pasiūlyti Lietuvos Respublikos generalinei prokuratūrai nustatyti intensyvios priežiūros nustatytų sąlygų laikymosi kontrolės tvarką.</w:t>
      </w:r>
      <w:r>
        <w:rPr>
          <w:color w:val="000000"/>
          <w:szCs w:val="24"/>
          <w:lang w:eastAsia="lt-LT"/>
        </w:rPr>
        <w:t>“</w:t>
      </w:r>
    </w:p>
    <w:p w14:paraId="65D3164C" w14:textId="77777777" w:rsidR="00813E1D" w:rsidRDefault="00813E1D" w:rsidP="007310B0">
      <w:pPr>
        <w:ind w:firstLine="720"/>
        <w:jc w:val="both"/>
        <w:rPr>
          <w:szCs w:val="24"/>
          <w:lang w:eastAsia="lt-LT"/>
        </w:rPr>
      </w:pPr>
    </w:p>
    <w:p w14:paraId="6E0B3D2B" w14:textId="77777777" w:rsidR="00813E1D" w:rsidRDefault="00813E1D" w:rsidP="007310B0">
      <w:pPr>
        <w:jc w:val="both"/>
        <w:rPr>
          <w:rFonts w:eastAsia="MS Mincho"/>
          <w:szCs w:val="24"/>
          <w:lang w:eastAsia="lt-LT"/>
        </w:rPr>
      </w:pPr>
    </w:p>
    <w:p w14:paraId="4036997A" w14:textId="77777777" w:rsidR="00813E1D" w:rsidRDefault="00813E1D" w:rsidP="007310B0">
      <w:pPr>
        <w:jc w:val="both"/>
        <w:rPr>
          <w:rFonts w:eastAsia="MS Mincho"/>
          <w:szCs w:val="24"/>
          <w:lang w:eastAsia="lt-LT"/>
        </w:rPr>
      </w:pPr>
    </w:p>
    <w:p w14:paraId="09AAA4BB" w14:textId="77777777" w:rsidR="00535B8A" w:rsidRDefault="005B4087" w:rsidP="00535B8A">
      <w:pPr>
        <w:spacing w:line="276" w:lineRule="auto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Ministras Pirmininkas</w:t>
      </w:r>
    </w:p>
    <w:p w14:paraId="727E5161" w14:textId="77777777" w:rsidR="00420E75" w:rsidRDefault="00420E75"/>
    <w:p w14:paraId="7304DFF6" w14:textId="77777777" w:rsidR="005B4087" w:rsidRDefault="005B4087"/>
    <w:p w14:paraId="35435AFC" w14:textId="77777777" w:rsidR="00DB152A" w:rsidRDefault="00DB152A"/>
    <w:p w14:paraId="1D10C599" w14:textId="77777777" w:rsidR="005B4087" w:rsidRDefault="005B4087">
      <w:r>
        <w:t>Vidaus reikalų ministras</w:t>
      </w:r>
    </w:p>
    <w:sectPr w:rsidR="005B4087" w:rsidSect="00624EB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5E38F" w14:textId="77777777" w:rsidR="00AE2FFF" w:rsidRDefault="00AE2FFF">
      <w:r>
        <w:separator/>
      </w:r>
    </w:p>
  </w:endnote>
  <w:endnote w:type="continuationSeparator" w:id="0">
    <w:p w14:paraId="70A3EA30" w14:textId="77777777" w:rsidR="00AE2FFF" w:rsidRDefault="00AE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2D944" w14:textId="77777777" w:rsidR="005E7A45" w:rsidRDefault="00AE2FFF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E6C45" w14:textId="77777777" w:rsidR="005E7A45" w:rsidRDefault="00AE2FFF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9E938" w14:textId="77777777" w:rsidR="00AE2FFF" w:rsidRDefault="00AE2FFF">
      <w:r>
        <w:rPr>
          <w:color w:val="000000"/>
        </w:rPr>
        <w:separator/>
      </w:r>
    </w:p>
  </w:footnote>
  <w:footnote w:type="continuationSeparator" w:id="0">
    <w:p w14:paraId="7B96282D" w14:textId="77777777" w:rsidR="00AE2FFF" w:rsidRDefault="00AE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FAA3E" w14:textId="77777777" w:rsidR="005E7A45" w:rsidRDefault="00B548C5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A0BB5">
      <w:rPr>
        <w:noProof/>
      </w:rPr>
      <w:t>2</w:t>
    </w:r>
    <w:r>
      <w:fldChar w:fldCharType="end"/>
    </w:r>
  </w:p>
  <w:p w14:paraId="00F2CEEA" w14:textId="77777777" w:rsidR="005E7A45" w:rsidRDefault="00AE2FFF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8AC45" w14:textId="77777777" w:rsidR="005E7A45" w:rsidRDefault="00AE2FFF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75"/>
    <w:rsid w:val="000D5D46"/>
    <w:rsid w:val="00101F25"/>
    <w:rsid w:val="0012275D"/>
    <w:rsid w:val="001C643F"/>
    <w:rsid w:val="001E6E70"/>
    <w:rsid w:val="002438E3"/>
    <w:rsid w:val="00276FB9"/>
    <w:rsid w:val="002B5594"/>
    <w:rsid w:val="002D163D"/>
    <w:rsid w:val="00340CE2"/>
    <w:rsid w:val="00345504"/>
    <w:rsid w:val="00410D67"/>
    <w:rsid w:val="00420E75"/>
    <w:rsid w:val="00474316"/>
    <w:rsid w:val="00486918"/>
    <w:rsid w:val="004967D0"/>
    <w:rsid w:val="004A2CDA"/>
    <w:rsid w:val="00535B8A"/>
    <w:rsid w:val="005B4087"/>
    <w:rsid w:val="00624EB7"/>
    <w:rsid w:val="00642B57"/>
    <w:rsid w:val="007310B0"/>
    <w:rsid w:val="00741EF5"/>
    <w:rsid w:val="0078065A"/>
    <w:rsid w:val="007A19E6"/>
    <w:rsid w:val="007D4395"/>
    <w:rsid w:val="00813E1D"/>
    <w:rsid w:val="00826400"/>
    <w:rsid w:val="00875B52"/>
    <w:rsid w:val="008A5B35"/>
    <w:rsid w:val="00904A36"/>
    <w:rsid w:val="00942FE6"/>
    <w:rsid w:val="00A5373F"/>
    <w:rsid w:val="00AE2FFF"/>
    <w:rsid w:val="00AF0BB4"/>
    <w:rsid w:val="00B34C3A"/>
    <w:rsid w:val="00B453B1"/>
    <w:rsid w:val="00B548C5"/>
    <w:rsid w:val="00BB5EE5"/>
    <w:rsid w:val="00C41610"/>
    <w:rsid w:val="00CA0BB5"/>
    <w:rsid w:val="00CA1154"/>
    <w:rsid w:val="00CB6E1D"/>
    <w:rsid w:val="00CE7D0F"/>
    <w:rsid w:val="00D231FD"/>
    <w:rsid w:val="00D45723"/>
    <w:rsid w:val="00DB152A"/>
    <w:rsid w:val="00DF38E6"/>
    <w:rsid w:val="00E179D4"/>
    <w:rsid w:val="00E21420"/>
    <w:rsid w:val="00E3670E"/>
    <w:rsid w:val="00E42F70"/>
    <w:rsid w:val="00E661F4"/>
    <w:rsid w:val="00E71AF1"/>
    <w:rsid w:val="00E77B26"/>
    <w:rsid w:val="00EA3CE0"/>
    <w:rsid w:val="00F37DEC"/>
    <w:rsid w:val="00FC222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8FD7"/>
  <w15:docId w15:val="{72CC3331-F277-4B76-996E-900088CA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537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37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37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37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373F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37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373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1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header2.xml"
                 Type="http://schemas.openxmlformats.org/officeDocument/2006/relationships/head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VIDAUS REIKALŲ MINISTRO</vt:lpstr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2020-08-06T08:26:00Z</dcterms:created>
  <dc:creator>irlauk</dc:creator>
  <cp:lastModifiedBy>Alvydas Tumasonis</cp:lastModifiedBy>
  <cp:lastPrinted>2018-11-16T12:25:00Z</cp:lastPrinted>
  <dcterms:modified xsi:type="dcterms:W3CDTF">2020-08-06T08:27:00Z</dcterms:modified>
  <cp:revision>3</cp:revision>
  <dc:title>LIETUVOS RESPUBLIKOS VIDAUS REIKALŲ MINISTRO</dc:title>
</cp:coreProperties>
</file>