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478" w:rsidRDefault="00056478" w:rsidP="00056478">
      <w:bookmarkStart w:id="0" w:name="_GoBack"/>
    </w:p>
    <w:tbl>
      <w:tblPr>
        <w:tblW w:w="13860" w:type="dxa"/>
        <w:tblInd w:w="180" w:type="dxa"/>
        <w:tblCellMar>
          <w:left w:w="0" w:type="dxa"/>
          <w:right w:w="0" w:type="dxa"/>
        </w:tblCellMar>
        <w:tblLook w:val="04A0" w:firstRow="1" w:lastRow="0" w:firstColumn="1" w:lastColumn="0" w:noHBand="0" w:noVBand="1"/>
      </w:tblPr>
      <w:tblGrid>
        <w:gridCol w:w="13860"/>
      </w:tblGrid>
      <w:tr w:rsidR="00056478" w:rsidTr="00FB2C97">
        <w:trPr>
          <w:trHeight w:val="851"/>
        </w:trPr>
        <w:tc>
          <w:tcPr>
            <w:tcW w:w="13860" w:type="dxa"/>
            <w:shd w:val="clear" w:color="auto" w:fill="auto"/>
          </w:tcPr>
          <w:p w:rsidR="00056478" w:rsidRDefault="00056478" w:rsidP="00FB2C97">
            <w:pPr>
              <w:jc w:val="center"/>
            </w:pPr>
            <w:r>
              <w:rPr>
                <w:b/>
                <w:bCs/>
              </w:rPr>
              <w:t>DERINIMO PAŽYMA</w:t>
            </w:r>
          </w:p>
          <w:p w:rsidR="00906EDB" w:rsidRPr="0059717D" w:rsidRDefault="00611AD7" w:rsidP="00611AD7">
            <w:pPr>
              <w:jc w:val="center"/>
              <w:rPr>
                <w:b/>
              </w:rPr>
            </w:pPr>
            <w:r>
              <w:rPr>
                <w:b/>
                <w:bCs/>
                <w:caps/>
              </w:rPr>
              <w:t xml:space="preserve">Dėl </w:t>
            </w:r>
            <w:r w:rsidR="00906EDB" w:rsidRPr="0059717D">
              <w:rPr>
                <w:b/>
                <w:bCs/>
                <w:caps/>
              </w:rPr>
              <w:t xml:space="preserve">VyriausybėS </w:t>
            </w:r>
            <w:r>
              <w:rPr>
                <w:b/>
                <w:bCs/>
                <w:caps/>
              </w:rPr>
              <w:t>NUTARIMO „</w:t>
            </w:r>
            <w:r>
              <w:rPr>
                <w:b/>
              </w:rPr>
              <w:t xml:space="preserve">DĖL GINKLŲ REGISTRO REORGANIZAVIMO IR GINKLŲ REGISTRO NUOSTATŲ PATVIRTINIMO“ </w:t>
            </w:r>
            <w:r w:rsidR="00906EDB">
              <w:rPr>
                <w:b/>
              </w:rPr>
              <w:t>PROJEKTO</w:t>
            </w:r>
            <w:r w:rsidR="00546749">
              <w:rPr>
                <w:b/>
              </w:rPr>
              <w:t xml:space="preserve"> IR SUSIJUSIŲ VYRIAUSYBĖS NUTARIMŲ PROJEKTŲ</w:t>
            </w:r>
          </w:p>
          <w:p w:rsidR="00A01B79" w:rsidRDefault="00A01B79" w:rsidP="00A01B79">
            <w:pPr>
              <w:spacing w:line="276" w:lineRule="auto"/>
              <w:jc w:val="center"/>
            </w:pPr>
          </w:p>
          <w:p w:rsidR="00056478" w:rsidRDefault="00056478" w:rsidP="00FB2C97">
            <w:pPr>
              <w:jc w:val="center"/>
            </w:pPr>
          </w:p>
        </w:tc>
      </w:tr>
    </w:tbl>
    <w:p w:rsidR="00056478" w:rsidRDefault="00056478" w:rsidP="00056478">
      <w:pPr>
        <w:jc w:val="both"/>
      </w:pPr>
      <w:r>
        <w:rPr>
          <w:sz w:val="16"/>
          <w:szCs w:val="16"/>
        </w:rPr>
        <w:t xml:space="preserve"> </w:t>
      </w:r>
    </w:p>
    <w:tbl>
      <w:tblPr>
        <w:tblW w:w="13870" w:type="dxa"/>
        <w:tblInd w:w="203" w:type="dxa"/>
        <w:tblBorders>
          <w:top w:val="single" w:sz="4" w:space="0" w:color="000001"/>
          <w:left w:val="single" w:sz="4" w:space="0" w:color="000001"/>
          <w:bottom w:val="single" w:sz="4" w:space="0" w:color="000001"/>
          <w:insideH w:val="single" w:sz="4" w:space="0" w:color="000001"/>
        </w:tblBorders>
        <w:tblCellMar>
          <w:left w:w="23" w:type="dxa"/>
        </w:tblCellMar>
        <w:tblLook w:val="04A0" w:firstRow="1" w:lastRow="0" w:firstColumn="1" w:lastColumn="0" w:noHBand="0" w:noVBand="1"/>
      </w:tblPr>
      <w:tblGrid>
        <w:gridCol w:w="1599"/>
        <w:gridCol w:w="6410"/>
        <w:gridCol w:w="5861"/>
      </w:tblGrid>
      <w:tr w:rsidR="00056478" w:rsidTr="00FB2C97">
        <w:trPr>
          <w:trHeight w:val="432"/>
        </w:trPr>
        <w:tc>
          <w:tcPr>
            <w:tcW w:w="1599" w:type="dxa"/>
            <w:tcBorders>
              <w:top w:val="single" w:sz="4" w:space="0" w:color="000001"/>
              <w:left w:val="single" w:sz="4" w:space="0" w:color="000001"/>
              <w:bottom w:val="single" w:sz="4" w:space="0" w:color="000001"/>
            </w:tcBorders>
            <w:shd w:val="clear" w:color="auto" w:fill="auto"/>
            <w:tcMar>
              <w:left w:w="23" w:type="dxa"/>
            </w:tcMar>
          </w:tcPr>
          <w:p w:rsidR="00056478" w:rsidRDefault="00056478" w:rsidP="00FB2C97">
            <w:pPr>
              <w:jc w:val="center"/>
              <w:rPr>
                <w:b/>
                <w:sz w:val="20"/>
                <w:szCs w:val="20"/>
              </w:rPr>
            </w:pPr>
            <w:r>
              <w:rPr>
                <w:b/>
              </w:rPr>
              <w:t>Institucija</w:t>
            </w:r>
          </w:p>
        </w:tc>
        <w:tc>
          <w:tcPr>
            <w:tcW w:w="6410" w:type="dxa"/>
            <w:tcBorders>
              <w:top w:val="single" w:sz="4" w:space="0" w:color="000001"/>
              <w:left w:val="single" w:sz="4" w:space="0" w:color="000001"/>
              <w:bottom w:val="single" w:sz="4" w:space="0" w:color="000001"/>
            </w:tcBorders>
            <w:shd w:val="clear" w:color="auto" w:fill="auto"/>
            <w:tcMar>
              <w:left w:w="23" w:type="dxa"/>
            </w:tcMar>
          </w:tcPr>
          <w:p w:rsidR="00056478" w:rsidRDefault="00056478" w:rsidP="00FB2C97">
            <w:pPr>
              <w:jc w:val="center"/>
              <w:rPr>
                <w:b/>
                <w:sz w:val="20"/>
                <w:szCs w:val="20"/>
              </w:rPr>
            </w:pPr>
            <w:r>
              <w:rPr>
                <w:b/>
              </w:rPr>
              <w:t>Pastabos ir pasiūlymai</w:t>
            </w:r>
          </w:p>
        </w:tc>
        <w:tc>
          <w:tcPr>
            <w:tcW w:w="586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056478" w:rsidRDefault="00056478" w:rsidP="00FB2C97">
            <w:pPr>
              <w:jc w:val="center"/>
              <w:rPr>
                <w:sz w:val="20"/>
                <w:szCs w:val="20"/>
              </w:rPr>
            </w:pPr>
            <w:r>
              <w:rPr>
                <w:b/>
              </w:rPr>
              <w:t>Pastabų ir pasiūlymų įvertinimas</w:t>
            </w:r>
            <w:r>
              <w:t xml:space="preserve"> </w:t>
            </w:r>
          </w:p>
        </w:tc>
      </w:tr>
      <w:tr w:rsidR="00056478" w:rsidTr="00AF5869">
        <w:trPr>
          <w:trHeight w:val="1550"/>
        </w:trPr>
        <w:tc>
          <w:tcPr>
            <w:tcW w:w="1599" w:type="dxa"/>
            <w:tcBorders>
              <w:top w:val="single" w:sz="4" w:space="0" w:color="000001"/>
              <w:left w:val="single" w:sz="4" w:space="0" w:color="000001"/>
              <w:bottom w:val="single" w:sz="4" w:space="0" w:color="000001"/>
            </w:tcBorders>
            <w:shd w:val="clear" w:color="auto" w:fill="auto"/>
            <w:tcMar>
              <w:left w:w="23" w:type="dxa"/>
            </w:tcMar>
          </w:tcPr>
          <w:p w:rsidR="00176C31" w:rsidRDefault="00611AD7" w:rsidP="00906EDB">
            <w:pPr>
              <w:jc w:val="both"/>
            </w:pPr>
            <w:r>
              <w:t>Teisingumo ministerija 2020-05-06</w:t>
            </w:r>
            <w:r w:rsidR="00906EDB">
              <w:t xml:space="preserve"> raštas </w:t>
            </w:r>
          </w:p>
          <w:p w:rsidR="00056478" w:rsidRPr="00DF5066" w:rsidRDefault="00906EDB" w:rsidP="00906EDB">
            <w:pPr>
              <w:jc w:val="both"/>
            </w:pPr>
            <w:r>
              <w:t xml:space="preserve">Nr. </w:t>
            </w:r>
            <w:r w:rsidR="00611AD7" w:rsidRPr="00611AD7">
              <w:t>(1.6E) 2T-614</w:t>
            </w:r>
          </w:p>
        </w:tc>
        <w:tc>
          <w:tcPr>
            <w:tcW w:w="6410" w:type="dxa"/>
            <w:tcBorders>
              <w:top w:val="single" w:sz="4" w:space="0" w:color="000001"/>
              <w:left w:val="single" w:sz="4" w:space="0" w:color="000001"/>
            </w:tcBorders>
            <w:shd w:val="clear" w:color="auto" w:fill="auto"/>
            <w:tcMar>
              <w:left w:w="23" w:type="dxa"/>
            </w:tcMar>
          </w:tcPr>
          <w:p w:rsidR="00611AD7" w:rsidRDefault="00611AD7" w:rsidP="00611AD7">
            <w:pPr>
              <w:spacing w:line="240" w:lineRule="atLeast"/>
              <w:jc w:val="both"/>
            </w:pPr>
            <w:r>
              <w:t xml:space="preserve">4. Įvertinus Nutarimo projektu tvirtinamus Nuostatus, siūlytume tikslinti Nuostatų 5 punktą. Pažymėtina, kad minėtame punkte nustatyta, kad </w:t>
            </w:r>
            <w:r w:rsidRPr="008611D1">
              <w:t>Registro duomenys, Registro informacija, Registrui pateiktų dokumentų elektroninės kopijos</w:t>
            </w:r>
            <w:r>
              <w:t xml:space="preserve"> </w:t>
            </w:r>
            <w:r w:rsidRPr="008611D1">
              <w:t>(toliau – Registro duomenys)</w:t>
            </w:r>
            <w:r>
              <w:t>,</w:t>
            </w:r>
            <w:r w:rsidRPr="008611D1">
              <w:t xml:space="preserve"> išskyrus duomenis, kurie sudaro</w:t>
            </w:r>
            <w:r>
              <w:t xml:space="preserve"> valstybės ar tarnybos paslaptį,</w:t>
            </w:r>
            <w:r w:rsidRPr="008611D1">
              <w:t xml:space="preserve"> kaupiami vienoje Registro duomenų bazėje</w:t>
            </w:r>
            <w:r>
              <w:t xml:space="preserve">, o </w:t>
            </w:r>
            <w:r w:rsidRPr="008611D1">
              <w:t xml:space="preserve">Registro duomenys, kurie sudaro </w:t>
            </w:r>
            <w:r>
              <w:t xml:space="preserve">valstybės ar tarnybos paslaptį </w:t>
            </w:r>
            <w:r w:rsidRPr="008611D1">
              <w:t>(toliau – ĮIRIS duomenys)</w:t>
            </w:r>
            <w:r>
              <w:t>,</w:t>
            </w:r>
            <w:r w:rsidRPr="008611D1">
              <w:t xml:space="preserve"> kaupiami atskiroje duomenų bazėje</w:t>
            </w:r>
            <w:r>
              <w:t xml:space="preserve">. Atsižvelgiant į tai, darytina išvada, kad Ginklų registras sudarytas iš dviejų skirtingų duomenų bazių, todėl reikėtų aptarti šių duomenų bazių sąveiką: ar tai būtų dvi skirtingos posistemės, sudarančios bendrą valstybės Ginklų registrą, ar tai būtų sudedamoji dalis </w:t>
            </w:r>
            <w:r w:rsidRPr="008611D1">
              <w:t>Registro duomen</w:t>
            </w:r>
            <w:r>
              <w:t>ų</w:t>
            </w:r>
            <w:r w:rsidRPr="008611D1">
              <w:t>, Registro informacij</w:t>
            </w:r>
            <w:r>
              <w:t>os</w:t>
            </w:r>
            <w:r w:rsidRPr="008611D1">
              <w:t>, Registrui pateiktų dokumentų elektronin</w:t>
            </w:r>
            <w:r>
              <w:t>ių</w:t>
            </w:r>
            <w:r w:rsidRPr="008611D1">
              <w:t xml:space="preserve"> kopij</w:t>
            </w:r>
            <w:r>
              <w:t>ų.</w:t>
            </w:r>
          </w:p>
          <w:p w:rsidR="00CD5DEA" w:rsidRDefault="00CD5DEA" w:rsidP="00611AD7">
            <w:pPr>
              <w:spacing w:line="240" w:lineRule="atLeast"/>
              <w:jc w:val="both"/>
            </w:pPr>
          </w:p>
          <w:p w:rsidR="00CD5DEA" w:rsidRPr="00CD5DEA" w:rsidRDefault="00CD5DEA" w:rsidP="00CD5DEA">
            <w:pPr>
              <w:spacing w:line="240" w:lineRule="atLeast"/>
              <w:jc w:val="both"/>
            </w:pPr>
            <w:r>
              <w:rPr>
                <w:lang w:eastAsia="lt-LT"/>
              </w:rPr>
              <w:t xml:space="preserve">5. </w:t>
            </w:r>
            <w:r>
              <w:t xml:space="preserve">Atsižvelgiant į Lietuvos Respublikos ginklų ir šaudmenų kontrolės įstatymo 13 straipsnio 1 dalies nustatytą teisinį reguliavimą, </w:t>
            </w:r>
            <w:r w:rsidRPr="009C786E">
              <w:t xml:space="preserve">kad </w:t>
            </w:r>
            <w:r w:rsidRPr="008D2F04">
              <w:t>valstybinės kriminalistinės ekspertizės įstaigos</w:t>
            </w:r>
            <w:r>
              <w:t xml:space="preserve"> ar mokslinio tyrimo įstaigos</w:t>
            </w:r>
            <w:r w:rsidRPr="008D2F04">
              <w:t xml:space="preserve"> užsiima</w:t>
            </w:r>
            <w:r>
              <w:t xml:space="preserve"> </w:t>
            </w:r>
            <w:r w:rsidRPr="008D2F04">
              <w:t xml:space="preserve">A kategorijos ginklų, jų priedėlių, šaudmenų, jų dalių tyrimais ar konstravimu, siūlytina apsvarstyti </w:t>
            </w:r>
            <w:r>
              <w:t xml:space="preserve">galimybę papildyti Nuostatus, nurodant Registro duomenų teikėju ir Lietuvos teismo ekspertizės centrą, arba papildyti nutarimų projektų lydimuosius dokumentus, paaiškinant, kodėl Nutarimo projektu tvirtinamuose Nuostatuose kaip </w:t>
            </w:r>
            <w:r w:rsidRPr="00CD5DEA">
              <w:t>Registro duomenų teikėjo nebelieka Lietuvos teismo ekspertizės centro.</w:t>
            </w:r>
          </w:p>
          <w:p w:rsidR="00CD5DEA" w:rsidRDefault="00546749" w:rsidP="00611AD7">
            <w:pPr>
              <w:spacing w:line="240" w:lineRule="atLeast"/>
              <w:jc w:val="both"/>
            </w:pPr>
            <w:r>
              <w:rPr>
                <w:lang w:eastAsia="lt-LT"/>
              </w:rPr>
              <w:lastRenderedPageBreak/>
              <w:t xml:space="preserve">9. </w:t>
            </w:r>
            <w:r w:rsidRPr="0097552A">
              <w:t>2020 m. kovo 7 d. įsigaliojus Nuorodų aprašui, teikiant nuorodas į Europos Sąjungos teisės aktus neturi būti nurodomas Europos Sąjungos teisės akto paskelbimo šaltinis Europos Sąjungos oficialiajame leidinyje. Atsižvelgdami į tai, siūlytume peržiūrėti Nutarimo Nr. 739 projektu, Nutarimo Nr. 1278 projektu, Nutarimo Nr. 932 projektu, Nutarimo Nr. 1224 projektu keičiamus nutarimus ir atitinkamai pakeisti jų preambules ir (ar) nuostatas. Taip pat atkreiptinas dėmesys, kad vadovaujantis Nuorodų aprašo 15 punktu, nutarimo preambulėje nurodžius pilną Europos Sąjungos teisės akto pavadinimą, toliau tekste nurodomas tik sutrumpintas pavadinimas.</w:t>
            </w:r>
          </w:p>
          <w:p w:rsidR="009D6261" w:rsidRDefault="009D6261" w:rsidP="00B02685">
            <w:pPr>
              <w:jc w:val="both"/>
            </w:pPr>
          </w:p>
        </w:tc>
        <w:tc>
          <w:tcPr>
            <w:tcW w:w="5861" w:type="dxa"/>
            <w:tcBorders>
              <w:top w:val="single" w:sz="4" w:space="0" w:color="000001"/>
              <w:left w:val="single" w:sz="4" w:space="0" w:color="000001"/>
              <w:right w:val="single" w:sz="4" w:space="0" w:color="000001"/>
            </w:tcBorders>
            <w:shd w:val="clear" w:color="auto" w:fill="auto"/>
            <w:tcMar>
              <w:left w:w="23" w:type="dxa"/>
            </w:tcMar>
          </w:tcPr>
          <w:p w:rsidR="003D3D46" w:rsidRDefault="00880535" w:rsidP="00906EDB">
            <w:pPr>
              <w:jc w:val="both"/>
              <w:rPr>
                <w:b/>
              </w:rPr>
            </w:pPr>
            <w:bookmarkStart w:id="1" w:name="part_fef29c0974be40709a093870213a14d2"/>
            <w:bookmarkEnd w:id="1"/>
            <w:r>
              <w:rPr>
                <w:b/>
              </w:rPr>
              <w:lastRenderedPageBreak/>
              <w:t>Neatsižvelgta.</w:t>
            </w:r>
          </w:p>
          <w:p w:rsidR="00CD5DEA" w:rsidRDefault="00880535" w:rsidP="00CD5DEA">
            <w:pPr>
              <w:spacing w:line="240" w:lineRule="atLeast"/>
              <w:jc w:val="both"/>
              <w:rPr>
                <w:color w:val="auto"/>
              </w:rPr>
            </w:pPr>
            <w:r w:rsidRPr="00CD5DEA">
              <w:rPr>
                <w:color w:val="auto"/>
              </w:rPr>
              <w:t>Ginklų ir šaudmenų kontrolės įstatymo 8</w:t>
            </w:r>
            <w:r w:rsidR="00D80651">
              <w:rPr>
                <w:color w:val="auto"/>
              </w:rPr>
              <w:t> </w:t>
            </w:r>
            <w:r w:rsidRPr="00CD5DEA">
              <w:rPr>
                <w:color w:val="auto"/>
              </w:rPr>
              <w:t>straipsnio 1</w:t>
            </w:r>
            <w:r w:rsidR="00D80651">
              <w:rPr>
                <w:color w:val="auto"/>
              </w:rPr>
              <w:t> </w:t>
            </w:r>
            <w:r w:rsidRPr="00CD5DEA">
              <w:rPr>
                <w:color w:val="auto"/>
              </w:rPr>
              <w:t>dalyje numatytas vienas registras visiems ginklams, t.</w:t>
            </w:r>
            <w:r w:rsidR="00D80651">
              <w:rPr>
                <w:color w:val="auto"/>
              </w:rPr>
              <w:t> </w:t>
            </w:r>
            <w:r w:rsidRPr="00CD5DEA">
              <w:rPr>
                <w:color w:val="auto"/>
              </w:rPr>
              <w:t>y. Ginklų registras.</w:t>
            </w:r>
            <w:r w:rsidRPr="00CD5DEA">
              <w:rPr>
                <w:b/>
                <w:color w:val="auto"/>
              </w:rPr>
              <w:t xml:space="preserve"> </w:t>
            </w:r>
            <w:r w:rsidRPr="00CD5DEA">
              <w:rPr>
                <w:color w:val="auto"/>
              </w:rPr>
              <w:t>Dalis informacijos apie ginklus būna</w:t>
            </w:r>
            <w:r w:rsidR="00CD5DEA">
              <w:rPr>
                <w:color w:val="auto"/>
              </w:rPr>
              <w:t xml:space="preserve"> įslaptinta, kadangi</w:t>
            </w:r>
            <w:r w:rsidRPr="00CD5DEA">
              <w:rPr>
                <w:color w:val="auto"/>
              </w:rPr>
              <w:t xml:space="preserve"> reikalavimai įslaptintų</w:t>
            </w:r>
            <w:r w:rsidR="00CD5DEA" w:rsidRPr="00CD5DEA">
              <w:rPr>
                <w:color w:val="auto"/>
              </w:rPr>
              <w:t xml:space="preserve"> duomenų tvarkymui skiriasi, todėl</w:t>
            </w:r>
            <w:r w:rsidRPr="00CD5DEA">
              <w:rPr>
                <w:color w:val="auto"/>
              </w:rPr>
              <w:t xml:space="preserve"> yra poreikis ir atskirai bazei bei </w:t>
            </w:r>
            <w:r w:rsidR="00CD5DEA" w:rsidRPr="00CD5DEA">
              <w:rPr>
                <w:color w:val="auto"/>
              </w:rPr>
              <w:t xml:space="preserve">atskiram tokios bazės </w:t>
            </w:r>
            <w:r w:rsidRPr="00CD5DEA">
              <w:rPr>
                <w:color w:val="auto"/>
              </w:rPr>
              <w:t>reglamentavimui.</w:t>
            </w:r>
            <w:r w:rsidR="00CD5DEA" w:rsidRPr="00CD5DEA">
              <w:rPr>
                <w:color w:val="auto"/>
              </w:rPr>
              <w:t xml:space="preserve"> </w:t>
            </w:r>
          </w:p>
          <w:p w:rsidR="00CD5DEA" w:rsidRPr="00CD5DEA" w:rsidRDefault="00CD5DEA" w:rsidP="00CD5DEA">
            <w:pPr>
              <w:spacing w:line="240" w:lineRule="atLeast"/>
              <w:jc w:val="both"/>
              <w:rPr>
                <w:color w:val="auto"/>
              </w:rPr>
            </w:pPr>
            <w:r w:rsidRPr="00CD5DEA">
              <w:rPr>
                <w:color w:val="auto"/>
              </w:rPr>
              <w:t>Nutarimo projekte siūloma nustatyti, kad Ginklų registras būtų sudarytas iš dviejų skirtingų duomenų bazių (</w:t>
            </w:r>
            <w:r>
              <w:rPr>
                <w:color w:val="auto"/>
              </w:rPr>
              <w:t xml:space="preserve">registro </w:t>
            </w:r>
            <w:r w:rsidRPr="00CD5DEA">
              <w:rPr>
                <w:color w:val="auto"/>
              </w:rPr>
              <w:t>nuostatų 46 p.), iš kurių vienai būtų taikomas Įslaptintos informacijos ryšių ir informacinių sistemų steigimo ir įteisinimo taisyklės. Duomenų bazių sąveikos reikalavimas nereglamentuojamas.</w:t>
            </w:r>
          </w:p>
          <w:p w:rsidR="00880535" w:rsidRPr="00880535" w:rsidRDefault="00880535" w:rsidP="00906EDB">
            <w:pPr>
              <w:jc w:val="both"/>
              <w:rPr>
                <w:b/>
              </w:rPr>
            </w:pPr>
          </w:p>
          <w:p w:rsidR="00176C31" w:rsidRDefault="00176C31" w:rsidP="00153FB6">
            <w:pPr>
              <w:jc w:val="both"/>
              <w:rPr>
                <w:b/>
              </w:rPr>
            </w:pPr>
          </w:p>
          <w:p w:rsidR="00CD5DEA" w:rsidRDefault="00CD5DEA" w:rsidP="00153FB6">
            <w:pPr>
              <w:jc w:val="both"/>
              <w:rPr>
                <w:b/>
              </w:rPr>
            </w:pPr>
            <w:r>
              <w:rPr>
                <w:b/>
              </w:rPr>
              <w:t>Neatsižvelgta.</w:t>
            </w:r>
          </w:p>
          <w:p w:rsidR="00CD5DEA" w:rsidRDefault="00CD5DEA" w:rsidP="00153FB6">
            <w:pPr>
              <w:jc w:val="both"/>
              <w:rPr>
                <w:color w:val="auto"/>
                <w:lang w:eastAsia="lt-LT"/>
              </w:rPr>
            </w:pPr>
            <w:r w:rsidRPr="00CD5DEA">
              <w:rPr>
                <w:color w:val="auto"/>
                <w:lang w:eastAsia="lt-LT"/>
              </w:rPr>
              <w:t>Lietuvos teismo ekspertizės centras pagal Ginklų ir šaudmenų kontrolės įstatymo nuostatas nėra specialiojo statuso subjektas, ir duomenys apie jo turimus ginklus nesudaro valstybės ar tarnybos paslapties. Atsižvelgiant į tai, visi Lietuvos teismo ekspertizės centro turimi ginklai yra registruojami teritorinės policijos įstaigos kaip civilinė</w:t>
            </w:r>
            <w:r>
              <w:rPr>
                <w:color w:val="auto"/>
                <w:lang w:eastAsia="lt-LT"/>
              </w:rPr>
              <w:t xml:space="preserve">je apyvartoje laikomi ginklai. </w:t>
            </w:r>
            <w:r w:rsidRPr="00CD5DEA">
              <w:rPr>
                <w:color w:val="auto"/>
                <w:lang w:eastAsia="lt-LT"/>
              </w:rPr>
              <w:t>Lietuvos teismo ekspertizės centras duomenis apie turimus ginklus Ginklų registrui teikia kaip bet kuris juridinis asmuo, turintis ginklų</w:t>
            </w:r>
            <w:r>
              <w:rPr>
                <w:color w:val="auto"/>
                <w:lang w:eastAsia="lt-LT"/>
              </w:rPr>
              <w:t xml:space="preserve"> </w:t>
            </w:r>
            <w:r w:rsidRPr="00CD5DEA">
              <w:rPr>
                <w:color w:val="auto"/>
                <w:lang w:eastAsia="lt-LT"/>
              </w:rPr>
              <w:t>(pagal registro nuostatų 22.2 p.).</w:t>
            </w:r>
          </w:p>
          <w:p w:rsidR="00546749" w:rsidRDefault="00546749" w:rsidP="00153FB6">
            <w:pPr>
              <w:jc w:val="both"/>
              <w:rPr>
                <w:b/>
                <w:color w:val="auto"/>
                <w:lang w:eastAsia="lt-LT"/>
              </w:rPr>
            </w:pPr>
            <w:r w:rsidRPr="00546749">
              <w:rPr>
                <w:b/>
                <w:color w:val="auto"/>
                <w:lang w:eastAsia="lt-LT"/>
              </w:rPr>
              <w:lastRenderedPageBreak/>
              <w:t>Neatsižvelgta.</w:t>
            </w:r>
          </w:p>
          <w:p w:rsidR="00546749" w:rsidRDefault="00546749" w:rsidP="00153FB6">
            <w:pPr>
              <w:jc w:val="both"/>
              <w:rPr>
                <w:rStyle w:val="bold1"/>
                <w:b w:val="0"/>
                <w:color w:val="000000"/>
              </w:rPr>
            </w:pPr>
            <w:r>
              <w:rPr>
                <w:color w:val="auto"/>
                <w:lang w:eastAsia="lt-LT"/>
              </w:rPr>
              <w:t xml:space="preserve">Pažymėtina, kad </w:t>
            </w:r>
            <w:r>
              <w:t>Nutarimo Nr. 739 projektu</w:t>
            </w:r>
            <w:r w:rsidRPr="0097552A">
              <w:t>, Nutarimo Nr.</w:t>
            </w:r>
            <w:r w:rsidR="00D80651">
              <w:t> </w:t>
            </w:r>
            <w:r w:rsidRPr="0097552A">
              <w:t>1278 proj</w:t>
            </w:r>
            <w:r>
              <w:t>ektu, Nutarimo Nr. 932 projektu ir</w:t>
            </w:r>
            <w:r w:rsidRPr="0097552A">
              <w:t xml:space="preserve"> Nutarimo Nr.</w:t>
            </w:r>
            <w:r w:rsidR="00D80651">
              <w:t> </w:t>
            </w:r>
            <w:r w:rsidRPr="0097552A">
              <w:t>1224 projektu</w:t>
            </w:r>
            <w:r>
              <w:t xml:space="preserve"> siekiama užtikrinti </w:t>
            </w:r>
            <w:r w:rsidRPr="00546749">
              <w:rPr>
                <w:rStyle w:val="bold1"/>
                <w:b w:val="0"/>
                <w:color w:val="000000"/>
              </w:rPr>
              <w:t>nuo 2020 m. liepos 1</w:t>
            </w:r>
            <w:r w:rsidR="00D80651">
              <w:rPr>
                <w:rStyle w:val="bold1"/>
                <w:b w:val="0"/>
                <w:color w:val="000000"/>
              </w:rPr>
              <w:t> </w:t>
            </w:r>
            <w:r w:rsidRPr="00546749">
              <w:rPr>
                <w:rStyle w:val="bold1"/>
                <w:b w:val="0"/>
                <w:color w:val="000000"/>
              </w:rPr>
              <w:t>d. veiklą baigsiančio Ginklų fondo funkcijų tęstinumą, perduod</w:t>
            </w:r>
            <w:r>
              <w:rPr>
                <w:rStyle w:val="bold1"/>
                <w:b w:val="0"/>
                <w:color w:val="000000"/>
              </w:rPr>
              <w:t>ant jo funkcijas</w:t>
            </w:r>
            <w:r w:rsidRPr="00546749">
              <w:rPr>
                <w:rStyle w:val="bold1"/>
                <w:b w:val="0"/>
                <w:color w:val="000000"/>
              </w:rPr>
              <w:t xml:space="preserve"> vidaus reikalų ministrui pavestose valdymo srityse veikiančioms biudžetinėms įstaigoms</w:t>
            </w:r>
            <w:r>
              <w:rPr>
                <w:rStyle w:val="bold1"/>
                <w:b w:val="0"/>
                <w:color w:val="000000"/>
              </w:rPr>
              <w:t>. Atsižvelgiant į tai, nuorodų į Europos Sąjungos teisės aktus (ar į jų paskelbimo šaltinius) tikslinimas nėra šių nutarimų projektų tikslas.</w:t>
            </w:r>
          </w:p>
          <w:p w:rsidR="00546749" w:rsidRPr="00546749" w:rsidRDefault="00345321" w:rsidP="00153FB6">
            <w:pPr>
              <w:jc w:val="both"/>
              <w:rPr>
                <w:color w:val="auto"/>
              </w:rPr>
            </w:pPr>
            <w:r>
              <w:rPr>
                <w:color w:val="auto"/>
              </w:rPr>
              <w:t>Minėtuose nutarimuose nurodytų Europos Sąjungos teisės aktų pavadinimai ir turinys nesikeitė, todėl jokio netikslumo</w:t>
            </w:r>
            <w:r w:rsidR="00D80651">
              <w:rPr>
                <w:color w:val="auto"/>
              </w:rPr>
              <w:t xml:space="preserve"> </w:t>
            </w:r>
            <w:r>
              <w:rPr>
                <w:color w:val="auto"/>
              </w:rPr>
              <w:t>/</w:t>
            </w:r>
            <w:r w:rsidR="00D80651">
              <w:rPr>
                <w:color w:val="auto"/>
              </w:rPr>
              <w:t xml:space="preserve"> </w:t>
            </w:r>
            <w:r>
              <w:rPr>
                <w:color w:val="auto"/>
              </w:rPr>
              <w:t>klaidinimo galiojančios nuorodos nesukelia.</w:t>
            </w:r>
          </w:p>
        </w:tc>
      </w:tr>
    </w:tbl>
    <w:p w:rsidR="00E1481E" w:rsidRDefault="00E1481E"/>
    <w:bookmarkEnd w:id="0"/>
    <w:p w:rsidR="00546749" w:rsidRDefault="00546749"/>
    <w:sectPr w:rsidR="00546749" w:rsidSect="006903F4">
      <w:headerReference w:type="default" r:id="rId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717" w:rsidRDefault="00210717" w:rsidP="006903F4">
      <w:r>
        <w:separator/>
      </w:r>
    </w:p>
  </w:endnote>
  <w:endnote w:type="continuationSeparator" w:id="0">
    <w:p w:rsidR="00210717" w:rsidRDefault="00210717" w:rsidP="0069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717" w:rsidRDefault="00210717" w:rsidP="006903F4">
      <w:r>
        <w:separator/>
      </w:r>
    </w:p>
  </w:footnote>
  <w:footnote w:type="continuationSeparator" w:id="0">
    <w:p w:rsidR="00210717" w:rsidRDefault="00210717" w:rsidP="00690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841102"/>
      <w:docPartObj>
        <w:docPartGallery w:val="Page Numbers (Top of Page)"/>
        <w:docPartUnique/>
      </w:docPartObj>
    </w:sdtPr>
    <w:sdtEndPr/>
    <w:sdtContent>
      <w:p w:rsidR="006903F4" w:rsidRDefault="00970AD9">
        <w:pPr>
          <w:pStyle w:val="Antrats"/>
          <w:jc w:val="center"/>
        </w:pPr>
        <w:r>
          <w:fldChar w:fldCharType="begin"/>
        </w:r>
        <w:r w:rsidR="006903F4">
          <w:instrText>PAGE   \* MERGEFORMAT</w:instrText>
        </w:r>
        <w:r>
          <w:fldChar w:fldCharType="separate"/>
        </w:r>
        <w:r w:rsidR="00775CD2">
          <w:rPr>
            <w:noProof/>
          </w:rPr>
          <w:t>2</w:t>
        </w:r>
        <w:r>
          <w:fldChar w:fldCharType="end"/>
        </w:r>
      </w:p>
    </w:sdtContent>
  </w:sdt>
  <w:p w:rsidR="006903F4" w:rsidRDefault="006903F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A3E41"/>
    <w:multiLevelType w:val="multilevel"/>
    <w:tmpl w:val="FC6C41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13110FB"/>
    <w:multiLevelType w:val="hybridMultilevel"/>
    <w:tmpl w:val="1B0E5E28"/>
    <w:lvl w:ilvl="0" w:tplc="E1EE1B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B3176E4"/>
    <w:multiLevelType w:val="multilevel"/>
    <w:tmpl w:val="D3FE6F7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478"/>
    <w:rsid w:val="00014D84"/>
    <w:rsid w:val="00056478"/>
    <w:rsid w:val="000E58EB"/>
    <w:rsid w:val="001259B0"/>
    <w:rsid w:val="001416CD"/>
    <w:rsid w:val="00153FB6"/>
    <w:rsid w:val="001546A0"/>
    <w:rsid w:val="00160769"/>
    <w:rsid w:val="00176C31"/>
    <w:rsid w:val="00180DB5"/>
    <w:rsid w:val="00182E60"/>
    <w:rsid w:val="001A39B6"/>
    <w:rsid w:val="00210717"/>
    <w:rsid w:val="002719AA"/>
    <w:rsid w:val="00285E1B"/>
    <w:rsid w:val="0029052D"/>
    <w:rsid w:val="002917C6"/>
    <w:rsid w:val="002C6EE3"/>
    <w:rsid w:val="002D7A12"/>
    <w:rsid w:val="00325A99"/>
    <w:rsid w:val="00340B95"/>
    <w:rsid w:val="00344B35"/>
    <w:rsid w:val="00345321"/>
    <w:rsid w:val="0038720E"/>
    <w:rsid w:val="003B14A0"/>
    <w:rsid w:val="003D3D46"/>
    <w:rsid w:val="003D5AC9"/>
    <w:rsid w:val="004B5E75"/>
    <w:rsid w:val="00546749"/>
    <w:rsid w:val="005565EA"/>
    <w:rsid w:val="005B4147"/>
    <w:rsid w:val="00611AD7"/>
    <w:rsid w:val="00623B9C"/>
    <w:rsid w:val="00647917"/>
    <w:rsid w:val="006639ED"/>
    <w:rsid w:val="00671EAC"/>
    <w:rsid w:val="00673C78"/>
    <w:rsid w:val="006903F4"/>
    <w:rsid w:val="006965BE"/>
    <w:rsid w:val="00775CD2"/>
    <w:rsid w:val="007F1B3C"/>
    <w:rsid w:val="008006BB"/>
    <w:rsid w:val="00880535"/>
    <w:rsid w:val="00897B61"/>
    <w:rsid w:val="008B5E22"/>
    <w:rsid w:val="008F07E6"/>
    <w:rsid w:val="00906EDB"/>
    <w:rsid w:val="00970AD9"/>
    <w:rsid w:val="009C1F2B"/>
    <w:rsid w:val="009D6261"/>
    <w:rsid w:val="009E4C92"/>
    <w:rsid w:val="00A01B79"/>
    <w:rsid w:val="00AA5FD9"/>
    <w:rsid w:val="00AE0A7C"/>
    <w:rsid w:val="00AF235B"/>
    <w:rsid w:val="00AF5869"/>
    <w:rsid w:val="00B02685"/>
    <w:rsid w:val="00B24EEF"/>
    <w:rsid w:val="00B5265C"/>
    <w:rsid w:val="00B67A8D"/>
    <w:rsid w:val="00B77DEB"/>
    <w:rsid w:val="00B800B6"/>
    <w:rsid w:val="00B961F5"/>
    <w:rsid w:val="00BB5BF2"/>
    <w:rsid w:val="00BC1F9F"/>
    <w:rsid w:val="00C74864"/>
    <w:rsid w:val="00C874ED"/>
    <w:rsid w:val="00CD5DEA"/>
    <w:rsid w:val="00D253DC"/>
    <w:rsid w:val="00D763B1"/>
    <w:rsid w:val="00D80651"/>
    <w:rsid w:val="00D9275C"/>
    <w:rsid w:val="00D931D5"/>
    <w:rsid w:val="00DD06B0"/>
    <w:rsid w:val="00DD3C04"/>
    <w:rsid w:val="00E1481E"/>
    <w:rsid w:val="00E61B27"/>
    <w:rsid w:val="00EA20D4"/>
    <w:rsid w:val="00ED7B36"/>
    <w:rsid w:val="00EE6D88"/>
    <w:rsid w:val="00EF570E"/>
    <w:rsid w:val="00F067F2"/>
    <w:rsid w:val="00F51007"/>
    <w:rsid w:val="00F87D4B"/>
    <w:rsid w:val="00F90761"/>
    <w:rsid w:val="00F91B09"/>
    <w:rsid w:val="00F92E6A"/>
    <w:rsid w:val="00FF0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F5DD70-6104-4DF8-AF37-5DCDDF8F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6478"/>
    <w:pPr>
      <w:spacing w:after="0" w:line="240" w:lineRule="auto"/>
    </w:pPr>
    <w:rPr>
      <w:rFonts w:ascii="Times New Roman" w:eastAsia="Times New Roman" w:hAnsi="Times New Roman" w:cs="Times New Roman"/>
      <w:color w:val="00000A"/>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qFormat/>
    <w:rsid w:val="00056478"/>
    <w:pPr>
      <w:widowControl w:val="0"/>
      <w:spacing w:after="0" w:line="240" w:lineRule="auto"/>
    </w:pPr>
    <w:rPr>
      <w:rFonts w:ascii="Times New Roman" w:eastAsia="SimSun" w:hAnsi="Times New Roman" w:cs="Arial"/>
      <w:color w:val="000000"/>
      <w:sz w:val="24"/>
      <w:szCs w:val="24"/>
      <w:lang w:eastAsia="zh-CN" w:bidi="hi-IN"/>
    </w:rPr>
  </w:style>
  <w:style w:type="paragraph" w:styleId="Sraopastraipa">
    <w:name w:val="List Paragraph"/>
    <w:basedOn w:val="prastasis"/>
    <w:uiPriority w:val="34"/>
    <w:qFormat/>
    <w:rsid w:val="00056478"/>
    <w:pPr>
      <w:ind w:left="720"/>
      <w:contextualSpacing/>
    </w:pPr>
  </w:style>
  <w:style w:type="paragraph" w:styleId="Antrats">
    <w:name w:val="header"/>
    <w:basedOn w:val="prastasis"/>
    <w:link w:val="AntratsDiagrama"/>
    <w:uiPriority w:val="99"/>
    <w:unhideWhenUsed/>
    <w:rsid w:val="006903F4"/>
    <w:pPr>
      <w:tabs>
        <w:tab w:val="center" w:pos="4819"/>
        <w:tab w:val="right" w:pos="9638"/>
      </w:tabs>
    </w:pPr>
  </w:style>
  <w:style w:type="character" w:customStyle="1" w:styleId="AntratsDiagrama">
    <w:name w:val="Antraštės Diagrama"/>
    <w:basedOn w:val="Numatytasispastraiposriftas"/>
    <w:link w:val="Antrats"/>
    <w:uiPriority w:val="99"/>
    <w:rsid w:val="006903F4"/>
    <w:rPr>
      <w:rFonts w:ascii="Times New Roman" w:eastAsia="Times New Roman" w:hAnsi="Times New Roman" w:cs="Times New Roman"/>
      <w:color w:val="00000A"/>
      <w:sz w:val="24"/>
      <w:szCs w:val="24"/>
      <w:lang w:eastAsia="zh-CN"/>
    </w:rPr>
  </w:style>
  <w:style w:type="paragraph" w:styleId="Porat">
    <w:name w:val="footer"/>
    <w:basedOn w:val="prastasis"/>
    <w:link w:val="PoratDiagrama"/>
    <w:uiPriority w:val="99"/>
    <w:unhideWhenUsed/>
    <w:rsid w:val="006903F4"/>
    <w:pPr>
      <w:tabs>
        <w:tab w:val="center" w:pos="4819"/>
        <w:tab w:val="right" w:pos="9638"/>
      </w:tabs>
    </w:pPr>
  </w:style>
  <w:style w:type="character" w:customStyle="1" w:styleId="PoratDiagrama">
    <w:name w:val="Poraštė Diagrama"/>
    <w:basedOn w:val="Numatytasispastraiposriftas"/>
    <w:link w:val="Porat"/>
    <w:uiPriority w:val="99"/>
    <w:rsid w:val="006903F4"/>
    <w:rPr>
      <w:rFonts w:ascii="Times New Roman" w:eastAsia="Times New Roman" w:hAnsi="Times New Roman" w:cs="Times New Roman"/>
      <w:color w:val="00000A"/>
      <w:sz w:val="24"/>
      <w:szCs w:val="24"/>
      <w:lang w:eastAsia="zh-CN"/>
    </w:rPr>
  </w:style>
  <w:style w:type="character" w:styleId="Komentaronuoroda">
    <w:name w:val="annotation reference"/>
    <w:basedOn w:val="Numatytasispastraiposriftas"/>
    <w:uiPriority w:val="99"/>
    <w:semiHidden/>
    <w:unhideWhenUsed/>
    <w:rsid w:val="00671EAC"/>
    <w:rPr>
      <w:sz w:val="16"/>
      <w:szCs w:val="16"/>
    </w:rPr>
  </w:style>
  <w:style w:type="paragraph" w:styleId="Komentarotekstas">
    <w:name w:val="annotation text"/>
    <w:basedOn w:val="prastasis"/>
    <w:link w:val="KomentarotekstasDiagrama"/>
    <w:uiPriority w:val="99"/>
    <w:semiHidden/>
    <w:unhideWhenUsed/>
    <w:rsid w:val="00671EAC"/>
    <w:rPr>
      <w:sz w:val="20"/>
      <w:szCs w:val="20"/>
    </w:rPr>
  </w:style>
  <w:style w:type="character" w:customStyle="1" w:styleId="KomentarotekstasDiagrama">
    <w:name w:val="Komentaro tekstas Diagrama"/>
    <w:basedOn w:val="Numatytasispastraiposriftas"/>
    <w:link w:val="Komentarotekstas"/>
    <w:uiPriority w:val="99"/>
    <w:semiHidden/>
    <w:rsid w:val="00671EAC"/>
    <w:rPr>
      <w:rFonts w:ascii="Times New Roman" w:eastAsia="Times New Roman" w:hAnsi="Times New Roman" w:cs="Times New Roman"/>
      <w:color w:val="00000A"/>
      <w:sz w:val="20"/>
      <w:szCs w:val="20"/>
      <w:lang w:eastAsia="zh-CN"/>
    </w:rPr>
  </w:style>
  <w:style w:type="paragraph" w:styleId="Komentarotema">
    <w:name w:val="annotation subject"/>
    <w:basedOn w:val="Komentarotekstas"/>
    <w:next w:val="Komentarotekstas"/>
    <w:link w:val="KomentarotemaDiagrama"/>
    <w:uiPriority w:val="99"/>
    <w:semiHidden/>
    <w:unhideWhenUsed/>
    <w:rsid w:val="00671EAC"/>
    <w:rPr>
      <w:b/>
      <w:bCs/>
    </w:rPr>
  </w:style>
  <w:style w:type="character" w:customStyle="1" w:styleId="KomentarotemaDiagrama">
    <w:name w:val="Komentaro tema Diagrama"/>
    <w:basedOn w:val="KomentarotekstasDiagrama"/>
    <w:link w:val="Komentarotema"/>
    <w:uiPriority w:val="99"/>
    <w:semiHidden/>
    <w:rsid w:val="00671EAC"/>
    <w:rPr>
      <w:rFonts w:ascii="Times New Roman" w:eastAsia="Times New Roman" w:hAnsi="Times New Roman" w:cs="Times New Roman"/>
      <w:b/>
      <w:bCs/>
      <w:color w:val="00000A"/>
      <w:sz w:val="20"/>
      <w:szCs w:val="20"/>
      <w:lang w:eastAsia="zh-CN"/>
    </w:rPr>
  </w:style>
  <w:style w:type="paragraph" w:styleId="Debesliotekstas">
    <w:name w:val="Balloon Text"/>
    <w:basedOn w:val="prastasis"/>
    <w:link w:val="DebesliotekstasDiagrama"/>
    <w:uiPriority w:val="99"/>
    <w:semiHidden/>
    <w:unhideWhenUsed/>
    <w:rsid w:val="00671EA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1EAC"/>
    <w:rPr>
      <w:rFonts w:ascii="Segoe UI" w:eastAsia="Times New Roman" w:hAnsi="Segoe UI" w:cs="Segoe UI"/>
      <w:color w:val="00000A"/>
      <w:sz w:val="18"/>
      <w:szCs w:val="18"/>
      <w:lang w:eastAsia="zh-CN"/>
    </w:rPr>
  </w:style>
  <w:style w:type="character" w:styleId="Hipersaitas">
    <w:name w:val="Hyperlink"/>
    <w:basedOn w:val="Numatytasispastraiposriftas"/>
    <w:uiPriority w:val="99"/>
    <w:unhideWhenUsed/>
    <w:rsid w:val="00180DB5"/>
    <w:rPr>
      <w:color w:val="0563C1" w:themeColor="hyperlink"/>
      <w:u w:val="single"/>
    </w:rPr>
  </w:style>
  <w:style w:type="character" w:customStyle="1" w:styleId="bold1">
    <w:name w:val="bold1"/>
    <w:basedOn w:val="Numatytasispastraiposriftas"/>
    <w:rsid w:val="005467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9800">
      <w:bodyDiv w:val="1"/>
      <w:marLeft w:val="0"/>
      <w:marRight w:val="0"/>
      <w:marTop w:val="0"/>
      <w:marBottom w:val="0"/>
      <w:divBdr>
        <w:top w:val="none" w:sz="0" w:space="0" w:color="auto"/>
        <w:left w:val="none" w:sz="0" w:space="0" w:color="auto"/>
        <w:bottom w:val="none" w:sz="0" w:space="0" w:color="auto"/>
        <w:right w:val="none" w:sz="0" w:space="0" w:color="auto"/>
      </w:divBdr>
      <w:divsChild>
        <w:div w:id="713433340">
          <w:marLeft w:val="0"/>
          <w:marRight w:val="0"/>
          <w:marTop w:val="0"/>
          <w:marBottom w:val="0"/>
          <w:divBdr>
            <w:top w:val="none" w:sz="0" w:space="0" w:color="auto"/>
            <w:left w:val="none" w:sz="0" w:space="0" w:color="auto"/>
            <w:bottom w:val="none" w:sz="0" w:space="0" w:color="auto"/>
            <w:right w:val="none" w:sz="0" w:space="0" w:color="auto"/>
          </w:divBdr>
          <w:divsChild>
            <w:div w:id="1450127968">
              <w:marLeft w:val="2"/>
              <w:marRight w:val="2"/>
              <w:marTop w:val="450"/>
              <w:marBottom w:val="375"/>
              <w:divBdr>
                <w:top w:val="none" w:sz="0" w:space="0" w:color="auto"/>
                <w:left w:val="none" w:sz="0" w:space="0" w:color="auto"/>
                <w:bottom w:val="none" w:sz="0" w:space="0" w:color="auto"/>
                <w:right w:val="none" w:sz="0" w:space="0" w:color="auto"/>
              </w:divBdr>
              <w:divsChild>
                <w:div w:id="1882159485">
                  <w:marLeft w:val="0"/>
                  <w:marRight w:val="0"/>
                  <w:marTop w:val="0"/>
                  <w:marBottom w:val="0"/>
                  <w:divBdr>
                    <w:top w:val="none" w:sz="0" w:space="0" w:color="auto"/>
                    <w:left w:val="none" w:sz="0" w:space="0" w:color="auto"/>
                    <w:bottom w:val="none" w:sz="0" w:space="0" w:color="auto"/>
                    <w:right w:val="none" w:sz="0" w:space="0" w:color="auto"/>
                  </w:divBdr>
                  <w:divsChild>
                    <w:div w:id="553195955">
                      <w:marLeft w:val="0"/>
                      <w:marRight w:val="0"/>
                      <w:marTop w:val="0"/>
                      <w:marBottom w:val="0"/>
                      <w:divBdr>
                        <w:top w:val="none" w:sz="0" w:space="0" w:color="auto"/>
                        <w:left w:val="none" w:sz="0" w:space="0" w:color="auto"/>
                        <w:bottom w:val="none" w:sz="0" w:space="0" w:color="auto"/>
                        <w:right w:val="none" w:sz="0" w:space="0" w:color="auto"/>
                      </w:divBdr>
                      <w:divsChild>
                        <w:div w:id="304705578">
                          <w:marLeft w:val="0"/>
                          <w:marRight w:val="0"/>
                          <w:marTop w:val="0"/>
                          <w:marBottom w:val="0"/>
                          <w:divBdr>
                            <w:top w:val="none" w:sz="0" w:space="0" w:color="auto"/>
                            <w:left w:val="none" w:sz="0" w:space="0" w:color="auto"/>
                            <w:bottom w:val="none" w:sz="0" w:space="0" w:color="auto"/>
                            <w:right w:val="none" w:sz="0" w:space="0" w:color="auto"/>
                          </w:divBdr>
                          <w:divsChild>
                            <w:div w:id="2037075463">
                              <w:marLeft w:val="0"/>
                              <w:marRight w:val="0"/>
                              <w:marTop w:val="0"/>
                              <w:marBottom w:val="0"/>
                              <w:divBdr>
                                <w:top w:val="none" w:sz="0" w:space="0" w:color="auto"/>
                                <w:left w:val="none" w:sz="0" w:space="0" w:color="auto"/>
                                <w:bottom w:val="none" w:sz="0" w:space="0" w:color="auto"/>
                                <w:right w:val="none" w:sz="0" w:space="0" w:color="auto"/>
                              </w:divBdr>
                              <w:divsChild>
                                <w:div w:id="1166868987">
                                  <w:marLeft w:val="0"/>
                                  <w:marRight w:val="0"/>
                                  <w:marTop w:val="0"/>
                                  <w:marBottom w:val="0"/>
                                  <w:divBdr>
                                    <w:top w:val="none" w:sz="0" w:space="0" w:color="auto"/>
                                    <w:left w:val="none" w:sz="0" w:space="0" w:color="auto"/>
                                    <w:bottom w:val="none" w:sz="0" w:space="0" w:color="auto"/>
                                    <w:right w:val="none" w:sz="0" w:space="0" w:color="auto"/>
                                  </w:divBdr>
                                  <w:divsChild>
                                    <w:div w:id="1369721356">
                                      <w:marLeft w:val="0"/>
                                      <w:marRight w:val="0"/>
                                      <w:marTop w:val="0"/>
                                      <w:marBottom w:val="0"/>
                                      <w:divBdr>
                                        <w:top w:val="none" w:sz="0" w:space="0" w:color="auto"/>
                                        <w:left w:val="none" w:sz="0" w:space="0" w:color="auto"/>
                                        <w:bottom w:val="none" w:sz="0" w:space="0" w:color="auto"/>
                                        <w:right w:val="none" w:sz="0" w:space="0" w:color="auto"/>
                                      </w:divBdr>
                                      <w:divsChild>
                                        <w:div w:id="702677825">
                                          <w:marLeft w:val="0"/>
                                          <w:marRight w:val="0"/>
                                          <w:marTop w:val="0"/>
                                          <w:marBottom w:val="0"/>
                                          <w:divBdr>
                                            <w:top w:val="none" w:sz="0" w:space="0" w:color="auto"/>
                                            <w:left w:val="none" w:sz="0" w:space="0" w:color="auto"/>
                                            <w:bottom w:val="none" w:sz="0" w:space="0" w:color="auto"/>
                                            <w:right w:val="none" w:sz="0" w:space="0" w:color="auto"/>
                                          </w:divBdr>
                                          <w:divsChild>
                                            <w:div w:id="1791050704">
                                              <w:marLeft w:val="0"/>
                                              <w:marRight w:val="0"/>
                                              <w:marTop w:val="0"/>
                                              <w:marBottom w:val="0"/>
                                              <w:divBdr>
                                                <w:top w:val="none" w:sz="0" w:space="0" w:color="auto"/>
                                                <w:left w:val="none" w:sz="0" w:space="0" w:color="auto"/>
                                                <w:bottom w:val="none" w:sz="0" w:space="0" w:color="auto"/>
                                                <w:right w:val="none" w:sz="0" w:space="0" w:color="auto"/>
                                              </w:divBdr>
                                              <w:divsChild>
                                                <w:div w:id="1087074535">
                                                  <w:marLeft w:val="0"/>
                                                  <w:marRight w:val="0"/>
                                                  <w:marTop w:val="0"/>
                                                  <w:marBottom w:val="0"/>
                                                  <w:divBdr>
                                                    <w:top w:val="none" w:sz="0" w:space="0" w:color="auto"/>
                                                    <w:left w:val="none" w:sz="0" w:space="0" w:color="auto"/>
                                                    <w:bottom w:val="none" w:sz="0" w:space="0" w:color="auto"/>
                                                    <w:right w:val="none" w:sz="0" w:space="0" w:color="auto"/>
                                                  </w:divBdr>
                                                  <w:divsChild>
                                                    <w:div w:id="707728477">
                                                      <w:marLeft w:val="0"/>
                                                      <w:marRight w:val="0"/>
                                                      <w:marTop w:val="0"/>
                                                      <w:marBottom w:val="0"/>
                                                      <w:divBdr>
                                                        <w:top w:val="none" w:sz="0" w:space="0" w:color="auto"/>
                                                        <w:left w:val="none" w:sz="0" w:space="0" w:color="auto"/>
                                                        <w:bottom w:val="none" w:sz="0" w:space="0" w:color="auto"/>
                                                        <w:right w:val="none" w:sz="0" w:space="0" w:color="auto"/>
                                                      </w:divBdr>
                                                      <w:divsChild>
                                                        <w:div w:id="1387681762">
                                                          <w:marLeft w:val="0"/>
                                                          <w:marRight w:val="0"/>
                                                          <w:marTop w:val="0"/>
                                                          <w:marBottom w:val="0"/>
                                                          <w:divBdr>
                                                            <w:top w:val="none" w:sz="0" w:space="0" w:color="auto"/>
                                                            <w:left w:val="none" w:sz="0" w:space="0" w:color="auto"/>
                                                            <w:bottom w:val="none" w:sz="0" w:space="0" w:color="auto"/>
                                                            <w:right w:val="none" w:sz="0" w:space="0" w:color="auto"/>
                                                          </w:divBdr>
                                                          <w:divsChild>
                                                            <w:div w:id="1969122007">
                                                              <w:marLeft w:val="0"/>
                                                              <w:marRight w:val="0"/>
                                                              <w:marTop w:val="0"/>
                                                              <w:marBottom w:val="0"/>
                                                              <w:divBdr>
                                                                <w:top w:val="none" w:sz="0" w:space="0" w:color="auto"/>
                                                                <w:left w:val="none" w:sz="0" w:space="0" w:color="auto"/>
                                                                <w:bottom w:val="none" w:sz="0" w:space="0" w:color="auto"/>
                                                                <w:right w:val="none" w:sz="0" w:space="0" w:color="auto"/>
                                                              </w:divBdr>
                                                              <w:divsChild>
                                                                <w:div w:id="1142769925">
                                                                  <w:marLeft w:val="0"/>
                                                                  <w:marRight w:val="0"/>
                                                                  <w:marTop w:val="0"/>
                                                                  <w:marBottom w:val="465"/>
                                                                  <w:divBdr>
                                                                    <w:top w:val="none" w:sz="0" w:space="0" w:color="auto"/>
                                                                    <w:left w:val="none" w:sz="0" w:space="0" w:color="auto"/>
                                                                    <w:bottom w:val="none" w:sz="0" w:space="0" w:color="auto"/>
                                                                    <w:right w:val="none" w:sz="0" w:space="0" w:color="auto"/>
                                                                  </w:divBdr>
                                                                  <w:divsChild>
                                                                    <w:div w:id="1572932177">
                                                                      <w:marLeft w:val="0"/>
                                                                      <w:marRight w:val="0"/>
                                                                      <w:marTop w:val="0"/>
                                                                      <w:marBottom w:val="0"/>
                                                                      <w:divBdr>
                                                                        <w:top w:val="none" w:sz="0" w:space="0" w:color="auto"/>
                                                                        <w:left w:val="none" w:sz="0" w:space="0" w:color="auto"/>
                                                                        <w:bottom w:val="none" w:sz="0" w:space="0" w:color="auto"/>
                                                                        <w:right w:val="none" w:sz="0" w:space="0" w:color="auto"/>
                                                                      </w:divBdr>
                                                                      <w:divsChild>
                                                                        <w:div w:id="71507979">
                                                                          <w:marLeft w:val="0"/>
                                                                          <w:marRight w:val="0"/>
                                                                          <w:marTop w:val="0"/>
                                                                          <w:marBottom w:val="0"/>
                                                                          <w:divBdr>
                                                                            <w:top w:val="none" w:sz="0" w:space="0" w:color="auto"/>
                                                                            <w:left w:val="none" w:sz="0" w:space="0" w:color="auto"/>
                                                                            <w:bottom w:val="none" w:sz="0" w:space="0" w:color="auto"/>
                                                                            <w:right w:val="none" w:sz="0" w:space="0" w:color="auto"/>
                                                                          </w:divBdr>
                                                                          <w:divsChild>
                                                                            <w:div w:id="16956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6397660">
      <w:bodyDiv w:val="1"/>
      <w:marLeft w:val="0"/>
      <w:marRight w:val="0"/>
      <w:marTop w:val="0"/>
      <w:marBottom w:val="0"/>
      <w:divBdr>
        <w:top w:val="none" w:sz="0" w:space="0" w:color="auto"/>
        <w:left w:val="none" w:sz="0" w:space="0" w:color="auto"/>
        <w:bottom w:val="none" w:sz="0" w:space="0" w:color="auto"/>
        <w:right w:val="none" w:sz="0" w:space="0" w:color="auto"/>
      </w:divBdr>
      <w:divsChild>
        <w:div w:id="1046875068">
          <w:marLeft w:val="0"/>
          <w:marRight w:val="0"/>
          <w:marTop w:val="0"/>
          <w:marBottom w:val="0"/>
          <w:divBdr>
            <w:top w:val="none" w:sz="0" w:space="0" w:color="auto"/>
            <w:left w:val="none" w:sz="0" w:space="0" w:color="auto"/>
            <w:bottom w:val="none" w:sz="0" w:space="0" w:color="auto"/>
            <w:right w:val="none" w:sz="0" w:space="0" w:color="auto"/>
          </w:divBdr>
          <w:divsChild>
            <w:div w:id="1297101409">
              <w:marLeft w:val="0"/>
              <w:marRight w:val="0"/>
              <w:marTop w:val="0"/>
              <w:marBottom w:val="0"/>
              <w:divBdr>
                <w:top w:val="none" w:sz="0" w:space="0" w:color="auto"/>
                <w:left w:val="none" w:sz="0" w:space="0" w:color="auto"/>
                <w:bottom w:val="none" w:sz="0" w:space="0" w:color="auto"/>
                <w:right w:val="none" w:sz="0" w:space="0" w:color="auto"/>
              </w:divBdr>
              <w:divsChild>
                <w:div w:id="543296578">
                  <w:marLeft w:val="0"/>
                  <w:marRight w:val="0"/>
                  <w:marTop w:val="0"/>
                  <w:marBottom w:val="0"/>
                  <w:divBdr>
                    <w:top w:val="none" w:sz="0" w:space="0" w:color="auto"/>
                    <w:left w:val="none" w:sz="0" w:space="0" w:color="auto"/>
                    <w:bottom w:val="none" w:sz="0" w:space="0" w:color="auto"/>
                    <w:right w:val="none" w:sz="0" w:space="0" w:color="auto"/>
                  </w:divBdr>
                  <w:divsChild>
                    <w:div w:id="516311686">
                      <w:marLeft w:val="0"/>
                      <w:marRight w:val="0"/>
                      <w:marTop w:val="0"/>
                      <w:marBottom w:val="0"/>
                      <w:divBdr>
                        <w:top w:val="none" w:sz="0" w:space="0" w:color="auto"/>
                        <w:left w:val="none" w:sz="0" w:space="0" w:color="auto"/>
                        <w:bottom w:val="none" w:sz="0" w:space="0" w:color="auto"/>
                        <w:right w:val="none" w:sz="0" w:space="0" w:color="auto"/>
                      </w:divBdr>
                      <w:divsChild>
                        <w:div w:id="200509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231300">
      <w:bodyDiv w:val="1"/>
      <w:marLeft w:val="0"/>
      <w:marRight w:val="0"/>
      <w:marTop w:val="0"/>
      <w:marBottom w:val="0"/>
      <w:divBdr>
        <w:top w:val="none" w:sz="0" w:space="0" w:color="auto"/>
        <w:left w:val="none" w:sz="0" w:space="0" w:color="auto"/>
        <w:bottom w:val="none" w:sz="0" w:space="0" w:color="auto"/>
        <w:right w:val="none" w:sz="0" w:space="0" w:color="auto"/>
      </w:divBdr>
      <w:divsChild>
        <w:div w:id="1847206446">
          <w:marLeft w:val="0"/>
          <w:marRight w:val="0"/>
          <w:marTop w:val="0"/>
          <w:marBottom w:val="0"/>
          <w:divBdr>
            <w:top w:val="none" w:sz="0" w:space="0" w:color="auto"/>
            <w:left w:val="none" w:sz="0" w:space="0" w:color="auto"/>
            <w:bottom w:val="none" w:sz="0" w:space="0" w:color="auto"/>
            <w:right w:val="none" w:sz="0" w:space="0" w:color="auto"/>
          </w:divBdr>
          <w:divsChild>
            <w:div w:id="1297881389">
              <w:marLeft w:val="0"/>
              <w:marRight w:val="0"/>
              <w:marTop w:val="0"/>
              <w:marBottom w:val="0"/>
              <w:divBdr>
                <w:top w:val="none" w:sz="0" w:space="0" w:color="auto"/>
                <w:left w:val="none" w:sz="0" w:space="0" w:color="auto"/>
                <w:bottom w:val="none" w:sz="0" w:space="0" w:color="auto"/>
                <w:right w:val="none" w:sz="0" w:space="0" w:color="auto"/>
              </w:divBdr>
              <w:divsChild>
                <w:div w:id="1375347423">
                  <w:marLeft w:val="0"/>
                  <w:marRight w:val="0"/>
                  <w:marTop w:val="0"/>
                  <w:marBottom w:val="0"/>
                  <w:divBdr>
                    <w:top w:val="none" w:sz="0" w:space="0" w:color="auto"/>
                    <w:left w:val="none" w:sz="0" w:space="0" w:color="auto"/>
                    <w:bottom w:val="none" w:sz="0" w:space="0" w:color="auto"/>
                    <w:right w:val="none" w:sz="0" w:space="0" w:color="auto"/>
                  </w:divBdr>
                  <w:divsChild>
                    <w:div w:id="1997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96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2735</Words>
  <Characters>1560</Characters>
  <Application>Microsoft Office Word</Application>
  <DocSecurity>0</DocSecurity>
  <Lines>13</Lines>
  <Paragraphs>8</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Alvydas Tumasonis</dc:creator>
  <cp:lastModifiedBy>Kristijonas Gudalevičius</cp:lastModifiedBy>
  <cp:revision>2</cp:revision>
  <dcterms:created xsi:type="dcterms:W3CDTF">2020-05-18T05:40:00Z</dcterms:created>
  <dcterms:modified xsi:type="dcterms:W3CDTF">2020-05-18T05:40:00Z</dcterms:modified>
</cp:coreProperties>
</file>