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1B442" w14:textId="77777777" w:rsidR="00FD5658" w:rsidRPr="00F31E73" w:rsidRDefault="006261A1">
      <w:pPr>
        <w:pStyle w:val="Standard"/>
        <w:jc w:val="center"/>
        <w:rPr>
          <w:b/>
          <w:bCs/>
          <w:lang w:val="lt-LT"/>
        </w:rPr>
      </w:pPr>
      <w:r w:rsidRPr="00F31E73">
        <w:rPr>
          <w:b/>
          <w:bCs/>
          <w:lang w:val="lt-LT"/>
        </w:rPr>
        <w:t>LIETUVOS RESPUBLIKOS</w:t>
      </w:r>
    </w:p>
    <w:p w14:paraId="07DD196D" w14:textId="77777777" w:rsidR="00FD5658" w:rsidRPr="00F31E73" w:rsidRDefault="006261A1">
      <w:pPr>
        <w:pStyle w:val="Standard"/>
        <w:jc w:val="center"/>
        <w:rPr>
          <w:lang w:val="lt-LT"/>
        </w:rPr>
      </w:pPr>
      <w:r w:rsidRPr="00F31E73">
        <w:rPr>
          <w:b/>
          <w:bCs/>
          <w:lang w:val="lt-LT"/>
        </w:rPr>
        <w:t xml:space="preserve">BAUDŽIAMOJO PROCESO KODEKSO </w:t>
      </w:r>
      <w:r w:rsidRPr="00F31E73">
        <w:rPr>
          <w:b/>
          <w:bCs/>
          <w:caps/>
          <w:lang w:val="lt-LT"/>
        </w:rPr>
        <w:t>120, 121</w:t>
      </w:r>
      <w:r w:rsidRPr="00F31E73">
        <w:rPr>
          <w:b/>
          <w:bCs/>
          <w:lang w:val="lt-LT"/>
        </w:rPr>
        <w:t xml:space="preserve"> STRAIPSNIŲ PAKEITIMO</w:t>
      </w:r>
    </w:p>
    <w:p w14:paraId="1E7DC5A5" w14:textId="77777777" w:rsidR="006D0E3D" w:rsidRPr="00F31E73" w:rsidRDefault="006261A1" w:rsidP="006D0E3D">
      <w:pPr>
        <w:pStyle w:val="Standard"/>
        <w:jc w:val="center"/>
        <w:rPr>
          <w:b/>
          <w:bCs/>
          <w:position w:val="10"/>
          <w:lang w:val="lt-LT"/>
        </w:rPr>
      </w:pPr>
      <w:r w:rsidRPr="00F31E73">
        <w:rPr>
          <w:b/>
          <w:bCs/>
          <w:position w:val="10"/>
          <w:lang w:val="lt-LT"/>
        </w:rPr>
        <w:t>IR KODEKSO PAPILDYMO</w:t>
      </w:r>
      <w:r w:rsidR="00A41251" w:rsidRPr="00F31E73">
        <w:rPr>
          <w:b/>
          <w:bCs/>
          <w:position w:val="10"/>
          <w:lang w:val="lt-LT"/>
        </w:rPr>
        <w:t xml:space="preserve"> 134</w:t>
      </w:r>
      <w:r w:rsidR="00A41251" w:rsidRPr="00F31E73">
        <w:rPr>
          <w:b/>
          <w:bCs/>
          <w:position w:val="10"/>
          <w:vertAlign w:val="superscript"/>
          <w:lang w:val="lt-LT"/>
        </w:rPr>
        <w:t>1</w:t>
      </w:r>
      <w:r w:rsidR="006D0E3D" w:rsidRPr="00F31E73">
        <w:rPr>
          <w:b/>
          <w:bCs/>
          <w:position w:val="10"/>
          <w:lang w:val="lt-LT"/>
        </w:rPr>
        <w:t xml:space="preserve"> STRAIPSNIU</w:t>
      </w:r>
    </w:p>
    <w:p w14:paraId="558C1337" w14:textId="5A141F89" w:rsidR="00FD5658" w:rsidRPr="00F31E73" w:rsidRDefault="00A41251" w:rsidP="006D0E3D">
      <w:pPr>
        <w:pStyle w:val="Standard"/>
        <w:jc w:val="center"/>
        <w:rPr>
          <w:b/>
          <w:bCs/>
          <w:position w:val="10"/>
          <w:lang w:val="lt-LT"/>
        </w:rPr>
      </w:pPr>
      <w:r w:rsidRPr="00F31E73">
        <w:rPr>
          <w:b/>
          <w:bCs/>
          <w:position w:val="10"/>
          <w:lang w:val="lt-LT"/>
        </w:rPr>
        <w:t>ĮSTATYMAS</w:t>
      </w:r>
    </w:p>
    <w:p w14:paraId="79CA15F8" w14:textId="7B5BD3F8" w:rsidR="00FD5658" w:rsidRPr="00F31E73" w:rsidRDefault="00FD5658">
      <w:pPr>
        <w:pStyle w:val="Standard"/>
        <w:jc w:val="center"/>
        <w:rPr>
          <w:b/>
          <w:bCs/>
          <w:lang w:val="lt-LT"/>
        </w:rPr>
      </w:pPr>
    </w:p>
    <w:p w14:paraId="58B9C7FF" w14:textId="77777777" w:rsidR="00FD5658" w:rsidRPr="00F31E73" w:rsidRDefault="006261A1">
      <w:pPr>
        <w:pStyle w:val="Standard"/>
        <w:jc w:val="center"/>
        <w:rPr>
          <w:lang w:val="lt-LT"/>
        </w:rPr>
      </w:pPr>
      <w:r w:rsidRPr="00F31E73">
        <w:rPr>
          <w:lang w:val="lt-LT"/>
        </w:rPr>
        <w:t>Nr.</w:t>
      </w:r>
    </w:p>
    <w:p w14:paraId="6A3A7A0B" w14:textId="77777777" w:rsidR="00FD5658" w:rsidRPr="00F31E73" w:rsidRDefault="006261A1">
      <w:pPr>
        <w:pStyle w:val="Standard"/>
        <w:jc w:val="center"/>
        <w:rPr>
          <w:lang w:val="lt-LT"/>
        </w:rPr>
      </w:pPr>
      <w:r w:rsidRPr="00F31E73">
        <w:rPr>
          <w:lang w:val="lt-LT"/>
        </w:rPr>
        <w:t>Vilnius</w:t>
      </w:r>
    </w:p>
    <w:p w14:paraId="6068F43A" w14:textId="77777777" w:rsidR="00FD5658" w:rsidRPr="00F31E73" w:rsidRDefault="00FD5658">
      <w:pPr>
        <w:pStyle w:val="Standard"/>
        <w:jc w:val="center"/>
        <w:rPr>
          <w:lang w:val="lt-LT"/>
        </w:rPr>
      </w:pPr>
    </w:p>
    <w:p w14:paraId="356E350E" w14:textId="77777777" w:rsidR="00FD5658" w:rsidRPr="00F31E73" w:rsidRDefault="006261A1">
      <w:pPr>
        <w:pStyle w:val="Standard"/>
        <w:spacing w:line="276" w:lineRule="auto"/>
        <w:ind w:firstLine="709"/>
        <w:rPr>
          <w:lang w:val="lt-LT"/>
        </w:rPr>
      </w:pPr>
      <w:r w:rsidRPr="00F31E73">
        <w:rPr>
          <w:b/>
          <w:bCs/>
          <w:lang w:val="lt-LT"/>
        </w:rPr>
        <w:t>1 straipsnis. 120 straipsnio pakeitimas</w:t>
      </w:r>
    </w:p>
    <w:p w14:paraId="5FF627B6" w14:textId="77777777" w:rsidR="00FD5658" w:rsidRPr="00F31E73" w:rsidRDefault="006261A1">
      <w:pPr>
        <w:pStyle w:val="Standard"/>
        <w:ind w:firstLine="737"/>
        <w:jc w:val="both"/>
        <w:rPr>
          <w:lang w:val="lt-LT"/>
        </w:rPr>
      </w:pPr>
      <w:r w:rsidRPr="00F31E73">
        <w:rPr>
          <w:lang w:val="lt-LT"/>
        </w:rPr>
        <w:t>Pakeisti 120 straipsnio 1 dalį ir ją išdėstyti taip:</w:t>
      </w:r>
    </w:p>
    <w:p w14:paraId="015E51DB" w14:textId="24FA8AC3" w:rsidR="00FD5658" w:rsidRPr="00F31E73" w:rsidRDefault="006261A1">
      <w:pPr>
        <w:pStyle w:val="Textbody"/>
        <w:spacing w:after="0" w:line="240" w:lineRule="auto"/>
        <w:ind w:firstLine="737"/>
        <w:jc w:val="both"/>
        <w:rPr>
          <w:lang w:val="lt-LT"/>
        </w:rPr>
      </w:pPr>
      <w:r w:rsidRPr="00F31E73">
        <w:rPr>
          <w:szCs w:val="24"/>
          <w:lang w:val="lt-LT"/>
        </w:rPr>
        <w:t>„</w:t>
      </w:r>
      <w:r w:rsidRPr="00F31E73">
        <w:rPr>
          <w:bCs/>
          <w:color w:val="000000"/>
          <w:szCs w:val="24"/>
          <w:lang w:val="lt-LT"/>
        </w:rPr>
        <w:t xml:space="preserve">1. Kardomosios priemonės yra šios: suėmimas, intensyvi priežiūra, namų areštas, įpareigojimas gyventi skyrium nuo nukentėjusiojo ir (ar) nesiartinti prie nukentėjusiojo arčiau nei nustatytu atstumu, užstatas, dokumentų paėmimas, </w:t>
      </w:r>
      <w:r w:rsidRPr="00F31E73">
        <w:rPr>
          <w:b/>
          <w:bCs/>
          <w:color w:val="000000"/>
          <w:szCs w:val="24"/>
          <w:lang w:val="lt-LT"/>
        </w:rPr>
        <w:t>specialiosios</w:t>
      </w:r>
      <w:r w:rsidRPr="00F31E73">
        <w:rPr>
          <w:bCs/>
          <w:color w:val="000000"/>
          <w:szCs w:val="24"/>
          <w:lang w:val="lt-LT"/>
        </w:rPr>
        <w:t xml:space="preserve"> </w:t>
      </w:r>
      <w:r w:rsidRPr="00F31E73">
        <w:rPr>
          <w:b/>
          <w:bCs/>
          <w:color w:val="000000"/>
          <w:szCs w:val="24"/>
          <w:lang w:val="lt-LT"/>
        </w:rPr>
        <w:t xml:space="preserve">teisės sustabdymas, </w:t>
      </w:r>
      <w:r w:rsidRPr="00F31E73">
        <w:rPr>
          <w:bCs/>
          <w:color w:val="000000"/>
          <w:szCs w:val="24"/>
          <w:lang w:val="lt-LT"/>
        </w:rPr>
        <w:t>įpareigojimas periodiškai registruotis policijos įstaigoje, rašytinis pasižadėjimas neišvykti.“</w:t>
      </w:r>
    </w:p>
    <w:p w14:paraId="1A76DEC8" w14:textId="77777777" w:rsidR="00FD5658" w:rsidRPr="00F31E73" w:rsidRDefault="00FD5658">
      <w:pPr>
        <w:pStyle w:val="Standard"/>
        <w:spacing w:line="276" w:lineRule="auto"/>
        <w:ind w:firstLine="709"/>
        <w:rPr>
          <w:b/>
          <w:bCs/>
          <w:lang w:val="lt-LT"/>
        </w:rPr>
      </w:pPr>
    </w:p>
    <w:p w14:paraId="5D4D562E" w14:textId="77777777" w:rsidR="00FD5658" w:rsidRPr="00F31E73" w:rsidRDefault="006261A1">
      <w:pPr>
        <w:pStyle w:val="Standard"/>
        <w:spacing w:line="276" w:lineRule="auto"/>
        <w:ind w:firstLine="709"/>
        <w:rPr>
          <w:b/>
          <w:bCs/>
          <w:lang w:val="lt-LT"/>
        </w:rPr>
      </w:pPr>
      <w:r w:rsidRPr="00F31E73">
        <w:rPr>
          <w:b/>
          <w:bCs/>
          <w:lang w:val="lt-LT"/>
        </w:rPr>
        <w:t>2 straipsnis. 121 straipsnio pakeitimas</w:t>
      </w:r>
    </w:p>
    <w:p w14:paraId="7AEFF88A" w14:textId="77777777" w:rsidR="00FD5658" w:rsidRPr="00F31E73" w:rsidRDefault="006261A1">
      <w:pPr>
        <w:pStyle w:val="Standard"/>
        <w:ind w:firstLine="737"/>
        <w:jc w:val="both"/>
        <w:rPr>
          <w:lang w:val="lt-LT"/>
        </w:rPr>
      </w:pPr>
      <w:r w:rsidRPr="00F31E73">
        <w:rPr>
          <w:lang w:val="lt-LT"/>
        </w:rPr>
        <w:t>Pakeisti 121 straipsnio 1 dalį ir ją išdėstyti taip:</w:t>
      </w:r>
    </w:p>
    <w:p w14:paraId="631EB5C6" w14:textId="3AAA1B5B" w:rsidR="00FD5658" w:rsidRPr="00F31E73" w:rsidRDefault="006261A1">
      <w:pPr>
        <w:pStyle w:val="Textbody"/>
        <w:spacing w:after="0" w:line="240" w:lineRule="auto"/>
        <w:ind w:firstLine="737"/>
        <w:jc w:val="both"/>
        <w:rPr>
          <w:lang w:val="lt-LT"/>
        </w:rPr>
      </w:pPr>
      <w:r w:rsidRPr="00F31E73">
        <w:rPr>
          <w:bCs/>
          <w:color w:val="000000"/>
          <w:szCs w:val="24"/>
          <w:lang w:val="lt-LT"/>
        </w:rPr>
        <w:t xml:space="preserve">„1. Suėmimas, intensyvi priežiūra, namų areštas ir įpareigojimas gyventi skyrium nuo nukentėjusiojo ir (ar) nesiartinti prie nukentėjusiojo arčiau nei nustatytu atstumu gali būti paskirti tik ikiteisminio tyrimo teisėjo ar teismo nutartimi, kitos kardomosios priemonės prokuroro nutarimu, ikiteisminio tyrimo teisėjo ar teismo nutartimi, o kardomosios priemonės: dokumentų paėmimas, </w:t>
      </w:r>
      <w:r w:rsidRPr="00F31E73">
        <w:rPr>
          <w:b/>
          <w:bCs/>
          <w:lang w:val="lt-LT"/>
        </w:rPr>
        <w:t>specialiosios</w:t>
      </w:r>
      <w:r w:rsidRPr="00F31E73">
        <w:rPr>
          <w:lang w:val="lt-LT"/>
        </w:rPr>
        <w:t xml:space="preserve"> </w:t>
      </w:r>
      <w:r w:rsidRPr="00F31E73">
        <w:rPr>
          <w:b/>
          <w:bCs/>
          <w:color w:val="000000"/>
          <w:szCs w:val="24"/>
          <w:lang w:val="lt-LT"/>
        </w:rPr>
        <w:t xml:space="preserve">teisės sustabdymas, </w:t>
      </w:r>
      <w:r w:rsidRPr="00F31E73">
        <w:rPr>
          <w:bCs/>
          <w:color w:val="000000"/>
          <w:szCs w:val="24"/>
          <w:lang w:val="lt-LT"/>
        </w:rPr>
        <w:t>įpareigojimas periodiškai registruotis policijos įstaigoje, rašytinis pasižadėjimas neišvykti, kario karinio dalinio, kuriame jis tarnauja, vadovybės stebėjimas ir nepilnamečio atidavimas tėvams, rūpintojams arba kitiems fiziniams ar juridiniams asmenims, kurie rūpinasi vaikais, prižiūrėti, – neatidėliotinais atvejais gali būti paskirtos ikiteisminio tyrimo pareigūno nutarimu. Tokiu atveju ikiteisminio tyrimo pareigūnas privalo nedelsdamas raštu apie paskirtą kardomąją priemonę pranešti prokurorui.“</w:t>
      </w:r>
    </w:p>
    <w:p w14:paraId="2C305FA5" w14:textId="77777777" w:rsidR="00FD5658" w:rsidRPr="00F31E73" w:rsidRDefault="00FD5658">
      <w:pPr>
        <w:pStyle w:val="Textbody"/>
        <w:spacing w:after="0" w:line="240" w:lineRule="auto"/>
        <w:ind w:firstLine="737"/>
        <w:jc w:val="both"/>
        <w:rPr>
          <w:lang w:val="lt-LT"/>
        </w:rPr>
      </w:pPr>
    </w:p>
    <w:p w14:paraId="56D21A4D" w14:textId="77777777" w:rsidR="00FD5658" w:rsidRPr="00F31E73" w:rsidRDefault="006261A1">
      <w:pPr>
        <w:pStyle w:val="Textbody"/>
        <w:spacing w:after="0" w:line="240" w:lineRule="auto"/>
        <w:ind w:firstLine="737"/>
        <w:jc w:val="both"/>
        <w:rPr>
          <w:lang w:val="lt-LT"/>
        </w:rPr>
      </w:pPr>
      <w:r w:rsidRPr="00F31E73">
        <w:rPr>
          <w:b/>
          <w:bCs/>
          <w:color w:val="000000"/>
          <w:szCs w:val="24"/>
          <w:lang w:val="lt-LT"/>
        </w:rPr>
        <w:t>3</w:t>
      </w:r>
      <w:r w:rsidRPr="00F31E73">
        <w:rPr>
          <w:bCs/>
          <w:color w:val="000000"/>
          <w:szCs w:val="24"/>
          <w:lang w:val="lt-LT"/>
        </w:rPr>
        <w:t xml:space="preserve"> </w:t>
      </w:r>
      <w:r w:rsidRPr="00F31E73">
        <w:rPr>
          <w:b/>
          <w:bCs/>
          <w:color w:val="000000"/>
          <w:szCs w:val="24"/>
          <w:lang w:val="lt-LT"/>
        </w:rPr>
        <w:t>straipsnis. Kodekso papildymas 134</w:t>
      </w:r>
      <w:r w:rsidRPr="00F31E73">
        <w:rPr>
          <w:b/>
          <w:bCs/>
          <w:color w:val="000000"/>
          <w:szCs w:val="24"/>
          <w:vertAlign w:val="superscript"/>
          <w:lang w:val="lt-LT"/>
        </w:rPr>
        <w:t>1</w:t>
      </w:r>
      <w:r w:rsidRPr="00F31E73">
        <w:rPr>
          <w:b/>
          <w:bCs/>
          <w:color w:val="000000"/>
          <w:szCs w:val="24"/>
          <w:lang w:val="lt-LT"/>
        </w:rPr>
        <w:t xml:space="preserve"> straipsniu</w:t>
      </w:r>
    </w:p>
    <w:p w14:paraId="5547E240" w14:textId="77777777" w:rsidR="00FD5658" w:rsidRPr="00F31E73" w:rsidRDefault="006261A1">
      <w:pPr>
        <w:pStyle w:val="Textbody"/>
        <w:spacing w:after="0" w:line="240" w:lineRule="auto"/>
        <w:ind w:firstLine="737"/>
        <w:jc w:val="both"/>
        <w:rPr>
          <w:lang w:val="lt-LT"/>
        </w:rPr>
      </w:pPr>
      <w:r w:rsidRPr="00F31E73">
        <w:rPr>
          <w:bCs/>
          <w:color w:val="000000"/>
          <w:szCs w:val="24"/>
          <w:lang w:val="lt-LT"/>
        </w:rPr>
        <w:t>Papildyti Kodeksą 134</w:t>
      </w:r>
      <w:r w:rsidRPr="00F31E73">
        <w:rPr>
          <w:bCs/>
          <w:color w:val="000000"/>
          <w:szCs w:val="24"/>
          <w:vertAlign w:val="superscript"/>
          <w:lang w:val="lt-LT"/>
        </w:rPr>
        <w:t>1</w:t>
      </w:r>
      <w:r w:rsidRPr="00F31E73">
        <w:rPr>
          <w:bCs/>
          <w:color w:val="000000"/>
          <w:szCs w:val="24"/>
          <w:lang w:val="lt-LT"/>
        </w:rPr>
        <w:t xml:space="preserve"> straipsniu:</w:t>
      </w:r>
    </w:p>
    <w:p w14:paraId="41BF88C4" w14:textId="31F8A292" w:rsidR="00FD5658" w:rsidRPr="00F31E73" w:rsidRDefault="006261A1">
      <w:pPr>
        <w:pStyle w:val="Betarp"/>
        <w:ind w:firstLine="709"/>
        <w:jc w:val="both"/>
      </w:pPr>
      <w:r w:rsidRPr="00F31E73">
        <w:t>„</w:t>
      </w:r>
      <w:r w:rsidRPr="00F31E73">
        <w:rPr>
          <w:b/>
        </w:rPr>
        <w:t>1. Specialiosios t</w:t>
      </w:r>
      <w:r w:rsidRPr="00F31E73">
        <w:rPr>
          <w:b/>
          <w:bCs/>
          <w:color w:val="000000"/>
        </w:rPr>
        <w:t>eisės sustabdymo</w:t>
      </w:r>
      <w:r w:rsidR="009D5C60" w:rsidRPr="00F31E73">
        <w:rPr>
          <w:rStyle w:val="Teletype"/>
          <w:rFonts w:cs="Times New Roman" w:hint="eastAsia"/>
          <w:b/>
          <w:bCs/>
          <w:color w:val="000000"/>
          <w:lang w:eastAsia="lt-LT"/>
        </w:rPr>
        <w:t xml:space="preserve"> </w:t>
      </w:r>
      <w:r w:rsidRPr="00F31E73">
        <w:rPr>
          <w:b/>
        </w:rPr>
        <w:t>laikotarpiu draudžiama naudotis šia teise.</w:t>
      </w:r>
    </w:p>
    <w:p w14:paraId="6BEEA709" w14:textId="3967300A" w:rsidR="00FD5658" w:rsidRPr="00F31E73" w:rsidRDefault="006261A1">
      <w:pPr>
        <w:pStyle w:val="Betarp"/>
        <w:ind w:firstLine="709"/>
        <w:jc w:val="both"/>
      </w:pPr>
      <w:r w:rsidRPr="00F31E73">
        <w:rPr>
          <w:b/>
        </w:rPr>
        <w:t>2.</w:t>
      </w:r>
      <w:r w:rsidR="009D5C60" w:rsidRPr="00F31E73">
        <w:rPr>
          <w:b/>
        </w:rPr>
        <w:t xml:space="preserve"> </w:t>
      </w:r>
      <w:r w:rsidRPr="00F31E73">
        <w:rPr>
          <w:b/>
        </w:rPr>
        <w:t>Pažeidusiam specialiosios t</w:t>
      </w:r>
      <w:r w:rsidRPr="00F31E73">
        <w:rPr>
          <w:b/>
          <w:bCs/>
          <w:color w:val="000000"/>
        </w:rPr>
        <w:t>eisės sustabdymą</w:t>
      </w:r>
      <w:r w:rsidRPr="00F31E73">
        <w:rPr>
          <w:rStyle w:val="Teletype"/>
          <w:rFonts w:cs="Times New Roman" w:hint="eastAsia"/>
          <w:b/>
          <w:bCs/>
          <w:color w:val="000000"/>
          <w:lang w:eastAsia="lt-LT"/>
        </w:rPr>
        <w:t xml:space="preserve"> </w:t>
      </w:r>
      <w:r w:rsidRPr="00F31E73">
        <w:rPr>
          <w:b/>
        </w:rPr>
        <w:t>įtariamajam gali būti paskirta griežtesnė kardomoji priemonė.</w:t>
      </w:r>
      <w:r w:rsidRPr="00F31E73">
        <w:t>“</w:t>
      </w:r>
    </w:p>
    <w:p w14:paraId="3D8AEA53" w14:textId="77777777" w:rsidR="00FD5658" w:rsidRPr="00F31E73" w:rsidRDefault="00FD5658">
      <w:pPr>
        <w:pStyle w:val="Standard"/>
        <w:ind w:firstLine="720"/>
        <w:jc w:val="both"/>
        <w:rPr>
          <w:lang w:val="lt-LT"/>
        </w:rPr>
      </w:pPr>
    </w:p>
    <w:p w14:paraId="154C34EB" w14:textId="77777777" w:rsidR="00FD5658" w:rsidRPr="00F31E73" w:rsidRDefault="006261A1">
      <w:pPr>
        <w:pStyle w:val="Standard"/>
        <w:ind w:firstLine="720"/>
        <w:jc w:val="both"/>
        <w:rPr>
          <w:b/>
          <w:bCs/>
          <w:color w:val="000000"/>
          <w:lang w:val="lt-LT"/>
        </w:rPr>
      </w:pPr>
      <w:r w:rsidRPr="00F31E73">
        <w:rPr>
          <w:b/>
          <w:bCs/>
          <w:color w:val="000000"/>
          <w:lang w:val="lt-LT"/>
        </w:rPr>
        <w:t>4 straipsnis. Įstatymo įsigaliojimas</w:t>
      </w:r>
    </w:p>
    <w:p w14:paraId="2796C8C8" w14:textId="77777777" w:rsidR="00FD5658" w:rsidRPr="00F31E73" w:rsidRDefault="00FD5658">
      <w:pPr>
        <w:sectPr w:rsidR="00FD5658" w:rsidRPr="00F31E73">
          <w:headerReference w:type="default" r:id="rId6"/>
          <w:headerReference w:type="first" r:id="rId7"/>
          <w:pgSz w:w="11906" w:h="16838"/>
          <w:pgMar w:top="1843" w:right="567" w:bottom="567" w:left="1701" w:header="1134" w:footer="0" w:gutter="0"/>
          <w:cols w:space="1296"/>
          <w:formProt w:val="0"/>
          <w:titlePg/>
          <w:docGrid w:linePitch="100"/>
        </w:sectPr>
      </w:pPr>
    </w:p>
    <w:p w14:paraId="5EA156FA" w14:textId="77777777" w:rsidR="00FD5658" w:rsidRPr="00F31E73" w:rsidRDefault="006261A1">
      <w:pPr>
        <w:pStyle w:val="Textbody"/>
        <w:spacing w:after="0" w:line="240" w:lineRule="auto"/>
        <w:ind w:firstLine="720"/>
        <w:jc w:val="both"/>
        <w:rPr>
          <w:lang w:val="lt-LT"/>
        </w:rPr>
      </w:pPr>
      <w:bookmarkStart w:id="0" w:name="part_3fd7be593978415ca1e94c46bc9b6e83"/>
      <w:bookmarkEnd w:id="0"/>
      <w:r w:rsidRPr="00F31E73">
        <w:rPr>
          <w:szCs w:val="24"/>
          <w:lang w:val="lt-LT"/>
        </w:rPr>
        <w:lastRenderedPageBreak/>
        <w:t>1. Šis įstatymas</w:t>
      </w:r>
      <w:r w:rsidRPr="00F31E73">
        <w:rPr>
          <w:color w:val="000000"/>
          <w:szCs w:val="24"/>
          <w:lang w:val="lt-LT"/>
        </w:rPr>
        <w:t>, išskyrus šio straipsnio 2 dalį,</w:t>
      </w:r>
      <w:r w:rsidRPr="00F31E73">
        <w:rPr>
          <w:szCs w:val="24"/>
          <w:lang w:val="lt-LT"/>
        </w:rPr>
        <w:t xml:space="preserve"> įsigalioja 2019 m. sausio 1 d.</w:t>
      </w:r>
    </w:p>
    <w:p w14:paraId="6E92A91B" w14:textId="5E653BCF" w:rsidR="00FD5658" w:rsidRPr="00F31E73" w:rsidRDefault="006261A1">
      <w:pPr>
        <w:pStyle w:val="Textbody"/>
        <w:spacing w:after="0" w:line="240" w:lineRule="auto"/>
        <w:ind w:firstLine="720"/>
        <w:jc w:val="both"/>
        <w:rPr>
          <w:lang w:val="lt-LT"/>
        </w:rPr>
      </w:pPr>
      <w:r w:rsidRPr="00F31E73">
        <w:rPr>
          <w:szCs w:val="24"/>
          <w:lang w:val="lt-LT"/>
        </w:rPr>
        <w:t>2. Pasiūlyti Lietuvos Respublikos generaliniam prokurorui iki 2018 m. gruodžio 31 d. priimti šio Įstatymo įgyvendinamuosius teisės aktus.</w:t>
      </w:r>
    </w:p>
    <w:p w14:paraId="0B6E6D6B" w14:textId="77777777" w:rsidR="00FD5658" w:rsidRPr="00F31E73" w:rsidRDefault="00FD5658">
      <w:pPr>
        <w:sectPr w:rsidR="00FD5658" w:rsidRPr="00F31E73">
          <w:type w:val="continuous"/>
          <w:pgSz w:w="11906" w:h="16838"/>
          <w:pgMar w:top="1843" w:right="567" w:bottom="567" w:left="1701" w:header="1134" w:footer="0" w:gutter="0"/>
          <w:cols w:space="1296"/>
          <w:formProt w:val="0"/>
          <w:docGrid w:linePitch="100"/>
        </w:sectPr>
      </w:pPr>
    </w:p>
    <w:p w14:paraId="2668580C" w14:textId="77777777" w:rsidR="00FD5658" w:rsidRPr="00F31E73" w:rsidRDefault="00FD5658">
      <w:pPr>
        <w:pStyle w:val="Standard"/>
        <w:jc w:val="both"/>
        <w:rPr>
          <w:i/>
          <w:iCs/>
          <w:lang w:val="lt-LT"/>
        </w:rPr>
      </w:pPr>
    </w:p>
    <w:p w14:paraId="0C06845A" w14:textId="77777777" w:rsidR="00FD5658" w:rsidRPr="00F31E73" w:rsidRDefault="00FD5658">
      <w:pPr>
        <w:pStyle w:val="Standard"/>
        <w:ind w:firstLine="709"/>
        <w:jc w:val="both"/>
        <w:rPr>
          <w:i/>
          <w:iCs/>
          <w:lang w:val="lt-LT"/>
        </w:rPr>
      </w:pPr>
    </w:p>
    <w:p w14:paraId="711028D0" w14:textId="77777777" w:rsidR="00FD5658" w:rsidRPr="00F31E73" w:rsidRDefault="006261A1">
      <w:pPr>
        <w:pStyle w:val="Standard"/>
        <w:jc w:val="both"/>
        <w:rPr>
          <w:i/>
          <w:iCs/>
          <w:lang w:val="lt-LT"/>
        </w:rPr>
      </w:pPr>
      <w:r w:rsidRPr="00F31E73">
        <w:rPr>
          <w:i/>
          <w:iCs/>
          <w:lang w:val="lt-LT"/>
        </w:rPr>
        <w:t>Skelbiu šį Lietuvos Respublikos Seimo priimtą įstatymą.</w:t>
      </w:r>
    </w:p>
    <w:p w14:paraId="13FAB5A4" w14:textId="77777777" w:rsidR="00FD5658" w:rsidRPr="00F31E73" w:rsidRDefault="00FD5658">
      <w:pPr>
        <w:pStyle w:val="Standard"/>
        <w:rPr>
          <w:lang w:val="lt-LT"/>
        </w:rPr>
      </w:pPr>
    </w:p>
    <w:p w14:paraId="2E89F5F1" w14:textId="3EB4631A" w:rsidR="00FD5658" w:rsidRPr="00F31E73" w:rsidRDefault="006261A1" w:rsidP="00D3100E">
      <w:pPr>
        <w:pStyle w:val="Standard"/>
        <w:rPr>
          <w:lang w:val="lt-LT"/>
        </w:rPr>
      </w:pPr>
      <w:r w:rsidRPr="00F31E73">
        <w:rPr>
          <w:lang w:val="lt-LT"/>
        </w:rPr>
        <w:t>Respublikos Prezidentas</w:t>
      </w:r>
      <w:bookmarkStart w:id="1" w:name="_GoBack"/>
      <w:bookmarkEnd w:id="1"/>
    </w:p>
    <w:p w14:paraId="7DACDA1E" w14:textId="77777777" w:rsidR="00FD5658" w:rsidRPr="005F1BB5" w:rsidRDefault="00FD5658">
      <w:pPr>
        <w:sectPr w:rsidR="00FD5658" w:rsidRPr="005F1BB5">
          <w:type w:val="continuous"/>
          <w:pgSz w:w="11906" w:h="16838"/>
          <w:pgMar w:top="1843" w:right="567" w:bottom="567" w:left="1701" w:header="1134" w:footer="0" w:gutter="0"/>
          <w:cols w:space="1296"/>
          <w:formProt w:val="0"/>
          <w:docGrid w:linePitch="100"/>
        </w:sectPr>
      </w:pPr>
    </w:p>
    <w:p w14:paraId="6B389A3F" w14:textId="77777777" w:rsidR="006261A1" w:rsidRPr="005F1BB5" w:rsidRDefault="006261A1"/>
    <w:sectPr w:rsidR="006261A1" w:rsidRPr="005F1BB5">
      <w:type w:val="continuous"/>
      <w:pgSz w:w="11906" w:h="16838"/>
      <w:pgMar w:top="1843" w:right="567" w:bottom="567" w:left="1701" w:header="1134" w:footer="0" w:gutter="0"/>
      <w:cols w:space="1296"/>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2E0CE" w14:textId="77777777" w:rsidR="002F5EDC" w:rsidRDefault="002F5EDC">
      <w:r>
        <w:separator/>
      </w:r>
    </w:p>
  </w:endnote>
  <w:endnote w:type="continuationSeparator" w:id="0">
    <w:p w14:paraId="16897DC4" w14:textId="77777777" w:rsidR="002F5EDC" w:rsidRDefault="002F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6D81F" w14:textId="77777777" w:rsidR="002F5EDC" w:rsidRDefault="002F5EDC">
      <w:r>
        <w:separator/>
      </w:r>
    </w:p>
  </w:footnote>
  <w:footnote w:type="continuationSeparator" w:id="0">
    <w:p w14:paraId="5320C837" w14:textId="77777777" w:rsidR="002F5EDC" w:rsidRDefault="002F5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96EE7" w14:textId="77777777" w:rsidR="00FD5658" w:rsidRDefault="006261A1">
    <w:pPr>
      <w:pStyle w:val="Antrats"/>
      <w:jc w:val="center"/>
    </w:pPr>
    <w:r>
      <w:fldChar w:fldCharType="begin"/>
    </w:r>
    <w:r>
      <w:instrText>PAGE</w:instrText>
    </w:r>
    <w:r>
      <w:fldChar w:fldCharType="separate"/>
    </w:r>
    <w:r w:rsidR="00D3100E">
      <w:rPr>
        <w:noProof/>
      </w:rPr>
      <w:t>2</w:t>
    </w:r>
    <w:r>
      <w:fldChar w:fldCharType="end"/>
    </w:r>
  </w:p>
  <w:p w14:paraId="53508F8C" w14:textId="77777777" w:rsidR="00FD5658" w:rsidRDefault="00FD56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80E3" w14:textId="77777777" w:rsidR="00FD5658" w:rsidRDefault="006261A1">
    <w:pPr>
      <w:pStyle w:val="Textbody"/>
      <w:spacing w:after="0" w:line="240" w:lineRule="auto"/>
      <w:ind w:left="7371"/>
      <w:rPr>
        <w:b/>
        <w:bCs/>
        <w:szCs w:val="24"/>
        <w:lang w:val="lt-LT"/>
      </w:rPr>
    </w:pPr>
    <w:r>
      <w:rPr>
        <w:b/>
        <w:bCs/>
        <w:szCs w:val="24"/>
        <w:lang w:val="lt-LT"/>
      </w:rPr>
      <w:t>Projekto</w:t>
    </w:r>
  </w:p>
  <w:p w14:paraId="2AD63BD7" w14:textId="77777777" w:rsidR="00FD5658" w:rsidRDefault="006261A1">
    <w:pPr>
      <w:pStyle w:val="Textbody"/>
      <w:spacing w:after="0" w:line="240" w:lineRule="auto"/>
      <w:ind w:left="7371"/>
      <w:rPr>
        <w:b/>
        <w:bCs/>
        <w:szCs w:val="24"/>
        <w:lang w:val="lt-LT"/>
      </w:rPr>
    </w:pPr>
    <w:r>
      <w:rPr>
        <w:b/>
        <w:bCs/>
        <w:szCs w:val="24"/>
        <w:lang w:val="lt-LT"/>
      </w:rPr>
      <w:t>lyginamasis variantas</w:t>
    </w:r>
  </w:p>
  <w:p w14:paraId="77C2637F" w14:textId="77777777" w:rsidR="00FD5658" w:rsidRDefault="00FD5658">
    <w:pPr>
      <w:pStyle w:val="Antrats"/>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58"/>
    <w:rsid w:val="00026772"/>
    <w:rsid w:val="00161C1D"/>
    <w:rsid w:val="00230BC5"/>
    <w:rsid w:val="002F5EDC"/>
    <w:rsid w:val="003456E4"/>
    <w:rsid w:val="005045C1"/>
    <w:rsid w:val="005F1BB5"/>
    <w:rsid w:val="006261A1"/>
    <w:rsid w:val="006D0E3D"/>
    <w:rsid w:val="009D5C60"/>
    <w:rsid w:val="00A41251"/>
    <w:rsid w:val="00C37AAA"/>
    <w:rsid w:val="00D3100E"/>
    <w:rsid w:val="00DE363F"/>
    <w:rsid w:val="00EF693D"/>
    <w:rsid w:val="00F31E73"/>
    <w:rsid w:val="00FD5658"/>
    <w:rsid w:val="00FE29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9C04"/>
  <w15:docId w15:val="{2B153D5E-BAF3-48DA-87C6-A64FA18F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lang w:val="lt-LT"/>
    </w:rPr>
  </w:style>
  <w:style w:type="character" w:customStyle="1" w:styleId="KomentarotemaDiagrama">
    <w:name w:val="Komentaro tema Diagrama"/>
    <w:basedOn w:val="KomentarotekstasDiagrama"/>
    <w:qFormat/>
    <w:rPr>
      <w:b/>
      <w:bCs/>
      <w:lang w:val="lt-LT"/>
    </w:rPr>
  </w:style>
  <w:style w:type="character" w:customStyle="1" w:styleId="Teletype">
    <w:name w:val="Teletype"/>
    <w:qFormat/>
    <w:rPr>
      <w:rFonts w:ascii="Liberation Mono" w:eastAsia="NSimSun" w:hAnsi="Liberation Mono" w:cs="Liberation Mono"/>
    </w:rPr>
  </w:style>
  <w:style w:type="paragraph" w:customStyle="1" w:styleId="Heading">
    <w:name w:val="Heading"/>
    <w:basedOn w:val="Standard"/>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style>
  <w:style w:type="paragraph" w:customStyle="1" w:styleId="Textbody">
    <w:name w:val="Text body"/>
    <w:basedOn w:val="Standard"/>
    <w:qFormat/>
    <w:pPr>
      <w:spacing w:after="283" w:line="288" w:lineRule="auto"/>
    </w:pPr>
  </w:style>
  <w:style w:type="paragraph" w:styleId="prastasiniatinklio">
    <w:name w:val="Normal (Web)"/>
    <w:basedOn w:val="Standard"/>
    <w:qFormat/>
    <w:pPr>
      <w:spacing w:before="100" w:after="100"/>
    </w:pPr>
  </w:style>
  <w:style w:type="paragraph" w:styleId="Debesliotekstas">
    <w:name w:val="Balloon Text"/>
    <w:basedOn w:val="Standard"/>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Standard"/>
    <w:pPr>
      <w:tabs>
        <w:tab w:val="center" w:pos="4819"/>
        <w:tab w:val="right" w:pos="9638"/>
      </w:tabs>
    </w:pPr>
  </w:style>
  <w:style w:type="paragraph" w:customStyle="1" w:styleId="CommentText">
    <w:name w:val="Comment Text"/>
    <w:basedOn w:val="Standard"/>
    <w:qFormat/>
    <w:rPr>
      <w:sz w:val="20"/>
    </w:rPr>
  </w:style>
  <w:style w:type="paragraph" w:customStyle="1" w:styleId="CommentSubject">
    <w:name w:val="Comment Subject"/>
    <w:basedOn w:val="CommentText"/>
    <w:qFormat/>
    <w:rPr>
      <w:b/>
      <w:bCs/>
    </w:rPr>
  </w:style>
  <w:style w:type="paragraph" w:styleId="Sraopastraipa">
    <w:name w:val="List Paragraph"/>
    <w:basedOn w:val="Standard"/>
    <w:qFormat/>
    <w:pPr>
      <w:ind w:left="720"/>
    </w:pPr>
  </w:style>
  <w:style w:type="paragraph" w:styleId="Komentarotekstas">
    <w:name w:val="annotation text"/>
    <w:basedOn w:val="Standard"/>
    <w:qFormat/>
    <w:rPr>
      <w:sz w:val="20"/>
    </w:rPr>
  </w:style>
  <w:style w:type="paragraph" w:styleId="Komentarotema">
    <w:name w:val="annotation subject"/>
    <w:basedOn w:val="Komentarotekstas"/>
    <w:qFormat/>
    <w:rPr>
      <w:b/>
      <w:bCs/>
    </w:rPr>
  </w:style>
  <w:style w:type="paragraph" w:styleId="Betarp">
    <w:name w:val="No Spacing"/>
    <w:qFormat/>
    <w:rPr>
      <w:szCs w:val="24"/>
      <w:lang w:val="lt-LT"/>
    </w:rPr>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1418</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2018-08-28T05:42:00Z</dcterms:created>
  <dc:creator>vplotnikoviene</dc:creator>
  <dc:language>lt-LT</dc:language>
  <cp:lastModifiedBy>Jurgita Laskevičiūtė</cp:lastModifiedBy>
  <cp:lastPrinted>2017-01-10T09:25:00Z</cp:lastPrinted>
  <dcterms:modified xsi:type="dcterms:W3CDTF">2018-08-31T11:01:00Z</dcterms:modified>
  <cp:revision>13</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