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12" w:rsidRDefault="006D0612" w:rsidP="00531DCF">
      <w:pPr>
        <w:jc w:val="center"/>
        <w:rPr>
          <w:b/>
        </w:rPr>
      </w:pPr>
      <w:proofErr w:type="gramStart"/>
      <w:r w:rsidRPr="006D0612">
        <w:rPr>
          <w:b/>
        </w:rPr>
        <w:t>LIETUVOS RESPUBLIKOS VYRIAUSYBĖS</w:t>
      </w:r>
      <w:proofErr w:type="gramEnd"/>
      <w:r w:rsidRPr="006D0612">
        <w:rPr>
          <w:b/>
        </w:rPr>
        <w:t xml:space="preserve"> NUTARIMO „DĖL LIETUVOS RESPUBLIKOS VYRIAUSYBĖS 2006 M. SPALIO 10 D. NUTARIMO NR. 978 „DĖL SOCIALINIŲ PASLAUGŲ FINANSAVIMO IR LĖŠŲ APSKAIČIAVIMO METODIKOS PATVIRTINIMO“ PAKEITIMO PROJEKTO</w:t>
      </w:r>
    </w:p>
    <w:p w:rsidR="006D0612" w:rsidRDefault="006D0612" w:rsidP="006D0612">
      <w:pPr>
        <w:jc w:val="center"/>
        <w:rPr>
          <w:b/>
        </w:rPr>
      </w:pPr>
      <w:r w:rsidRPr="00A85F8D">
        <w:rPr>
          <w:b/>
        </w:rPr>
        <w:t>DERINIMO PAŽYMA</w:t>
      </w:r>
    </w:p>
    <w:p w:rsidR="006D0612" w:rsidRDefault="006D0612" w:rsidP="00531DCF">
      <w:pPr>
        <w:jc w:val="center"/>
        <w:rPr>
          <w:b/>
        </w:rPr>
      </w:pPr>
    </w:p>
    <w:p w:rsidR="00A85F8D" w:rsidRDefault="00A85F8D" w:rsidP="006D51A7">
      <w:pPr>
        <w:jc w:val="center"/>
        <w:rPr>
          <w:b/>
        </w:rPr>
      </w:pPr>
    </w:p>
    <w:tbl>
      <w:tblPr>
        <w:tblW w:w="1488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27"/>
        <w:gridCol w:w="6095"/>
        <w:gridCol w:w="6662"/>
      </w:tblGrid>
      <w:tr w:rsidR="00F310EB" w:rsidRPr="00905635" w:rsidTr="00371D47">
        <w:trPr>
          <w:trHeight w:val="423"/>
        </w:trPr>
        <w:tc>
          <w:tcPr>
            <w:tcW w:w="2127" w:type="dxa"/>
            <w:shd w:val="clear" w:color="auto" w:fill="auto"/>
            <w:vAlign w:val="center"/>
          </w:tcPr>
          <w:p w:rsidR="00F310EB" w:rsidRPr="00905635" w:rsidRDefault="00F310EB" w:rsidP="00371D47">
            <w:pPr>
              <w:jc w:val="center"/>
              <w:rPr>
                <w:b/>
              </w:rPr>
            </w:pPr>
            <w:r w:rsidRPr="00905635">
              <w:rPr>
                <w:b/>
              </w:rPr>
              <w:t>Institucijos pavadinimas, rašto data ir numeris</w:t>
            </w:r>
          </w:p>
        </w:tc>
        <w:tc>
          <w:tcPr>
            <w:tcW w:w="6095" w:type="dxa"/>
            <w:shd w:val="clear" w:color="auto" w:fill="auto"/>
            <w:vAlign w:val="center"/>
          </w:tcPr>
          <w:p w:rsidR="00F310EB" w:rsidRPr="00905635" w:rsidRDefault="00F310EB" w:rsidP="00371D47">
            <w:pPr>
              <w:jc w:val="center"/>
              <w:rPr>
                <w:b/>
                <w:iCs/>
              </w:rPr>
            </w:pPr>
            <w:r w:rsidRPr="00905635">
              <w:rPr>
                <w:b/>
                <w:iCs/>
              </w:rPr>
              <w:t>Pastabos ir pasiūlymai</w:t>
            </w:r>
          </w:p>
        </w:tc>
        <w:tc>
          <w:tcPr>
            <w:tcW w:w="6662" w:type="dxa"/>
            <w:shd w:val="clear" w:color="auto" w:fill="auto"/>
            <w:vAlign w:val="center"/>
          </w:tcPr>
          <w:p w:rsidR="00F310EB" w:rsidRDefault="00F310EB" w:rsidP="00371D47">
            <w:pPr>
              <w:jc w:val="center"/>
              <w:rPr>
                <w:b/>
                <w:iCs/>
              </w:rPr>
            </w:pPr>
            <w:r w:rsidRPr="00905635">
              <w:rPr>
                <w:b/>
                <w:iCs/>
              </w:rPr>
              <w:t xml:space="preserve">Žyma apie </w:t>
            </w:r>
            <w:r>
              <w:rPr>
                <w:b/>
                <w:iCs/>
              </w:rPr>
              <w:t>pastabas ir pasiūlymus, į kuriuos</w:t>
            </w:r>
          </w:p>
          <w:p w:rsidR="00F310EB" w:rsidRPr="00905635" w:rsidRDefault="00F310EB" w:rsidP="00371D47">
            <w:pPr>
              <w:jc w:val="center"/>
              <w:rPr>
                <w:b/>
                <w:iCs/>
              </w:rPr>
            </w:pPr>
            <w:r>
              <w:rPr>
                <w:b/>
                <w:iCs/>
              </w:rPr>
              <w:t>neatsižvelgta ar atsižvelgta iš dalies</w:t>
            </w:r>
          </w:p>
        </w:tc>
      </w:tr>
      <w:tr w:rsidR="00A402DF" w:rsidRPr="00905635" w:rsidTr="00371D47">
        <w:trPr>
          <w:trHeight w:val="423"/>
        </w:trPr>
        <w:tc>
          <w:tcPr>
            <w:tcW w:w="2127" w:type="dxa"/>
            <w:shd w:val="clear" w:color="auto" w:fill="auto"/>
          </w:tcPr>
          <w:p w:rsidR="00371D47" w:rsidRDefault="00A402DF" w:rsidP="00477D42">
            <w:r>
              <w:t>Lietuvos savivaldybių asociacijos 2018</w:t>
            </w:r>
            <w:r w:rsidR="002779E6">
              <w:t xml:space="preserve"> m. rugsėjo </w:t>
            </w:r>
            <w:r>
              <w:t xml:space="preserve">4 </w:t>
            </w:r>
            <w:r w:rsidR="002779E6">
              <w:t xml:space="preserve">d. </w:t>
            </w:r>
            <w:r>
              <w:t xml:space="preserve">raštas </w:t>
            </w:r>
          </w:p>
          <w:p w:rsidR="00A402DF" w:rsidRPr="00905635" w:rsidRDefault="00A402DF" w:rsidP="00477D42">
            <w:pPr>
              <w:rPr>
                <w:b/>
              </w:rPr>
            </w:pPr>
            <w:r>
              <w:t>Nr. (15)-SD-525</w:t>
            </w:r>
          </w:p>
        </w:tc>
        <w:tc>
          <w:tcPr>
            <w:tcW w:w="6095" w:type="dxa"/>
            <w:shd w:val="clear" w:color="auto" w:fill="auto"/>
            <w:vAlign w:val="center"/>
          </w:tcPr>
          <w:p w:rsidR="00A402DF" w:rsidRDefault="00DE124B" w:rsidP="00477D42">
            <w:pPr>
              <w:jc w:val="both"/>
            </w:pPr>
            <w:r>
              <w:t xml:space="preserve">1. </w:t>
            </w:r>
            <w:r w:rsidR="008F1CE7" w:rsidRPr="002C2FB1">
              <w:t>Dėl 32 p. Savivaldybės abejoja dėl maksimalių išlaidų finansavimo dydžio nustatymo tikslingumo trumpalaikės ir ilgalaikės globos paslaugoms. Praktikoje dažni atvejai, kuomet tokio dydžio nustatymas užkerta kelią žmogui gauti paslaugas. Pvz.</w:t>
            </w:r>
            <w:r w:rsidR="001C2ADF">
              <w:t>,</w:t>
            </w:r>
            <w:r w:rsidR="008F1CE7" w:rsidRPr="002C2FB1">
              <w:t xml:space="preserve"> savivaldybėje gaunama informacija apie asmenį, kuris dėl savo fizinės ar psichinės sveikatos būklės negali savarankiškai savimi pasirūpinti ir jam reikalingos ilgalaikės socialinės globos paslaugos. Asmuo gauna mažą pensiją, specialieji poreikiai jam dar nenustatyti, tačiau asmens apgyvendinimo klausimą reikia spręsti operatyviai. Kadangi asmens gaunamos pajamos labai mažos, globos paslaugų kaina turi būti finansuojama savivaldybės biudžeto lėšomis. Nustatytas maksimalus paslaugų išlaidų finansavimo dydis dažnai būna mažesnis, negu savivaldybei reikėtų mokėti konkrečiu atveju. Tokiu atveju savivaldybė patenka į situaciją, kuomet asmeniui paslaugų reikia, tačiau savivaldybė negali kompensuoti visos sumos, o kompensuoti likusios globos kainos nėra kitų galimybių, todėl užkertamas kelias asmeniui gauti jam reikiamas paslaugas. Tokiu atveju</w:t>
            </w:r>
            <w:proofErr w:type="gramStart"/>
            <w:r w:rsidR="008F1CE7" w:rsidRPr="002C2FB1">
              <w:t xml:space="preserve"> jei savivaldybė nustatytų la</w:t>
            </w:r>
            <w:r w:rsidR="008F1CE7" w:rsidRPr="002C2FB1">
              <w:rPr>
                <w:color w:val="1F497D"/>
              </w:rPr>
              <w:t>b</w:t>
            </w:r>
            <w:r w:rsidR="008F1CE7" w:rsidRPr="002C2FB1">
              <w:t>ai dideles maksimalias išlaidų finansavimo sumas</w:t>
            </w:r>
            <w:proofErr w:type="gramEnd"/>
            <w:r w:rsidR="008F1CE7" w:rsidRPr="002C2FB1">
              <w:t xml:space="preserve">, toks nustatymas netektų prasmės. Atkreipiame dėmesį, kad valstybiniams ir privatiems globos namams didinant paslaugų kainas, maksimalius dydžius savivaldybių </w:t>
            </w:r>
            <w:r w:rsidR="001C2ADF">
              <w:t>t</w:t>
            </w:r>
            <w:r w:rsidR="008F1CE7" w:rsidRPr="002C2FB1">
              <w:t xml:space="preserve">aryboms nuolat tektų peržiūrėti ir didinti, kas taip pat reikalauja papildomų darbo laiko sąnaudų. </w:t>
            </w:r>
            <w:r w:rsidR="008F1CE7" w:rsidRPr="002C2FB1">
              <w:lastRenderedPageBreak/>
              <w:t xml:space="preserve">Savivaldybių nuomone, jei vis dėlto būtina reglamentuoti šių paslaugų maksimalius dydžius, juos reikėtų leisti nustatyti </w:t>
            </w:r>
            <w:proofErr w:type="gramStart"/>
            <w:r w:rsidR="008F1CE7" w:rsidRPr="002C2FB1">
              <w:t>savivaldybės administracijos</w:t>
            </w:r>
            <w:proofErr w:type="gramEnd"/>
            <w:r w:rsidR="008F1CE7" w:rsidRPr="002C2FB1">
              <w:t xml:space="preserve"> direktoriui. </w:t>
            </w:r>
          </w:p>
        </w:tc>
        <w:tc>
          <w:tcPr>
            <w:tcW w:w="6662" w:type="dxa"/>
            <w:shd w:val="clear" w:color="auto" w:fill="auto"/>
          </w:tcPr>
          <w:p w:rsidR="00A402DF" w:rsidRDefault="008F1CE7" w:rsidP="00524E58">
            <w:pPr>
              <w:jc w:val="both"/>
              <w:rPr>
                <w:b/>
                <w:iCs/>
              </w:rPr>
            </w:pPr>
            <w:r>
              <w:rPr>
                <w:b/>
                <w:iCs/>
              </w:rPr>
              <w:lastRenderedPageBreak/>
              <w:t>Neatsižvelgta.</w:t>
            </w:r>
          </w:p>
          <w:p w:rsidR="00851C51" w:rsidRDefault="00580F6A" w:rsidP="00524E58">
            <w:pPr>
              <w:jc w:val="both"/>
              <w:rPr>
                <w:iCs/>
              </w:rPr>
            </w:pPr>
            <w:r>
              <w:rPr>
                <w:iCs/>
              </w:rPr>
              <w:t>Maksimaliu</w:t>
            </w:r>
            <w:r w:rsidRPr="00580F6A">
              <w:rPr>
                <w:iCs/>
              </w:rPr>
              <w:t>s</w:t>
            </w:r>
            <w:r>
              <w:rPr>
                <w:iCs/>
              </w:rPr>
              <w:t xml:space="preserve"> trumpalaikės ir ilgalaikės socialinės globos dydžius savivaldybės, vadovau</w:t>
            </w:r>
            <w:r w:rsidR="002779E6">
              <w:rPr>
                <w:iCs/>
              </w:rPr>
              <w:t>damosi</w:t>
            </w:r>
            <w:r>
              <w:rPr>
                <w:iCs/>
              </w:rPr>
              <w:t xml:space="preserve"> </w:t>
            </w:r>
            <w:r w:rsidR="007955F6">
              <w:rPr>
                <w:iCs/>
              </w:rPr>
              <w:t xml:space="preserve">Socialinių paslaugų finansavimo ir lėšų apskaičiavimo metodika, patvirtinta Lietuvos Respublikos Vyriausybės 2006 m. spalio 10 d. nutarimu Nr. 978 (toliau – Metodika), </w:t>
            </w:r>
            <w:r>
              <w:rPr>
                <w:iCs/>
              </w:rPr>
              <w:t xml:space="preserve">turi pasitvirtinti ir dabar. Pagal </w:t>
            </w:r>
            <w:r w:rsidR="002779E6">
              <w:rPr>
                <w:iCs/>
              </w:rPr>
              <w:t>S</w:t>
            </w:r>
            <w:r>
              <w:rPr>
                <w:iCs/>
              </w:rPr>
              <w:t xml:space="preserve">ocialinių paslaugų įstatymą savivaldybė turi užtikrinti socialinių paslaugų teikimą savo teritorijos gyventojams, todėl </w:t>
            </w:r>
            <w:r w:rsidR="002779E6">
              <w:rPr>
                <w:iCs/>
              </w:rPr>
              <w:t>ji</w:t>
            </w:r>
            <w:r w:rsidR="00386C65">
              <w:rPr>
                <w:iCs/>
              </w:rPr>
              <w:t xml:space="preserve">, įvertinusi savo teritorijos gyventojų situaciją, </w:t>
            </w:r>
            <w:r w:rsidR="002779E6">
              <w:rPr>
                <w:iCs/>
              </w:rPr>
              <w:t xml:space="preserve">turi patvirtinti tokius </w:t>
            </w:r>
            <w:r>
              <w:rPr>
                <w:iCs/>
              </w:rPr>
              <w:t>maksimal</w:t>
            </w:r>
            <w:r w:rsidR="00386C65">
              <w:rPr>
                <w:iCs/>
              </w:rPr>
              <w:t>iu</w:t>
            </w:r>
            <w:r>
              <w:rPr>
                <w:iCs/>
              </w:rPr>
              <w:t>s trumpalaikės ir ilgalaikės socialinės globos dydži</w:t>
            </w:r>
            <w:r w:rsidR="00386C65">
              <w:rPr>
                <w:iCs/>
              </w:rPr>
              <w:t>us, kurie</w:t>
            </w:r>
            <w:r w:rsidR="00851C51">
              <w:rPr>
                <w:iCs/>
              </w:rPr>
              <w:t xml:space="preserve"> ne</w:t>
            </w:r>
            <w:r w:rsidR="002779E6">
              <w:rPr>
                <w:iCs/>
              </w:rPr>
              <w:t>sutrukdy</w:t>
            </w:r>
            <w:r w:rsidR="00851C51">
              <w:rPr>
                <w:iCs/>
              </w:rPr>
              <w:t>t</w:t>
            </w:r>
            <w:r w:rsidR="00386C65">
              <w:rPr>
                <w:iCs/>
              </w:rPr>
              <w:t>ų</w:t>
            </w:r>
            <w:r w:rsidR="00851C51">
              <w:rPr>
                <w:iCs/>
              </w:rPr>
              <w:t xml:space="preserve"> gyventojams, </w:t>
            </w:r>
            <w:r w:rsidR="002779E6">
              <w:rPr>
                <w:iCs/>
              </w:rPr>
              <w:t>gauna</w:t>
            </w:r>
            <w:r w:rsidR="00851C51">
              <w:rPr>
                <w:iCs/>
              </w:rPr>
              <w:t xml:space="preserve">ntiems mažas pajamas, gauti reikalingas socialines paslaugas. </w:t>
            </w:r>
          </w:p>
          <w:p w:rsidR="008F1CE7" w:rsidRPr="00580F6A" w:rsidRDefault="008F1CE7" w:rsidP="00524E58">
            <w:pPr>
              <w:jc w:val="both"/>
              <w:rPr>
                <w:iCs/>
              </w:rPr>
            </w:pPr>
          </w:p>
        </w:tc>
      </w:tr>
      <w:tr w:rsidR="00FF7D63" w:rsidRPr="00905635" w:rsidTr="00371D47">
        <w:trPr>
          <w:trHeight w:val="423"/>
        </w:trPr>
        <w:tc>
          <w:tcPr>
            <w:tcW w:w="2127" w:type="dxa"/>
            <w:shd w:val="clear" w:color="auto" w:fill="auto"/>
            <w:vAlign w:val="center"/>
          </w:tcPr>
          <w:p w:rsidR="00FF7D63" w:rsidRPr="00905635" w:rsidRDefault="00FF7D63" w:rsidP="00371D47">
            <w:pPr>
              <w:jc w:val="center"/>
              <w:rPr>
                <w:b/>
              </w:rPr>
            </w:pPr>
          </w:p>
        </w:tc>
        <w:tc>
          <w:tcPr>
            <w:tcW w:w="6095" w:type="dxa"/>
            <w:shd w:val="clear" w:color="auto" w:fill="auto"/>
          </w:tcPr>
          <w:p w:rsidR="00FF7D63" w:rsidRPr="00905635" w:rsidRDefault="00311FDD" w:rsidP="00524E58">
            <w:pPr>
              <w:jc w:val="both"/>
              <w:rPr>
                <w:b/>
                <w:iCs/>
              </w:rPr>
            </w:pPr>
            <w:r>
              <w:t>2</w:t>
            </w:r>
            <w:r w:rsidR="00DE124B" w:rsidRPr="002C2FB1">
              <w:t xml:space="preserve">. Dėl 32 p. suderinamumo su galiojančio </w:t>
            </w:r>
            <w:r w:rsidR="00DE124B" w:rsidRPr="000640E0">
              <w:t>a</w:t>
            </w:r>
            <w:r w:rsidR="00DE124B" w:rsidRPr="002C2FB1">
              <w:t>prašo 10 punktu. Sunkios negalios asmenims globos išlaidos turi būti padengiamos iš vals</w:t>
            </w:r>
            <w:bookmarkStart w:id="0" w:name="_GoBack"/>
            <w:bookmarkEnd w:id="0"/>
            <w:r w:rsidR="00DE124B" w:rsidRPr="002C2FB1">
              <w:t>tybės biudžeto lėšų, tačiau nustatytas finansavimo dydis – 7,2 B</w:t>
            </w:r>
            <w:r w:rsidR="00DE124B" w:rsidRPr="001540E9">
              <w:t>SI</w:t>
            </w:r>
            <w:r w:rsidR="00DE124B" w:rsidRPr="002C2FB1">
              <w:t xml:space="preserve"> (273 </w:t>
            </w:r>
            <w:r w:rsidR="00524E58">
              <w:t>E</w:t>
            </w:r>
            <w:r w:rsidR="00524E58" w:rsidRPr="002C2FB1">
              <w:t>UR</w:t>
            </w:r>
            <w:r w:rsidR="00DE124B" w:rsidRPr="002C2FB1">
              <w:t xml:space="preserve">) neatitinka realių sunkios negalios asmenims globos paslaugų išlaidų. Savivaldybės akcentuoja, kad šis dydis šiuo projektu turėtų būti keičiamas. </w:t>
            </w:r>
          </w:p>
        </w:tc>
        <w:tc>
          <w:tcPr>
            <w:tcW w:w="6662" w:type="dxa"/>
            <w:shd w:val="clear" w:color="auto" w:fill="auto"/>
          </w:tcPr>
          <w:p w:rsidR="00DE124B" w:rsidRPr="000640E0" w:rsidRDefault="00DE124B" w:rsidP="00524E58">
            <w:pPr>
              <w:pStyle w:val="Paprastasistekstas"/>
              <w:ind w:firstLine="34"/>
              <w:jc w:val="both"/>
              <w:rPr>
                <w:rFonts w:ascii="Times New Roman" w:hAnsi="Times New Roman"/>
                <w:b/>
                <w:sz w:val="24"/>
                <w:szCs w:val="24"/>
              </w:rPr>
            </w:pPr>
            <w:r w:rsidRPr="000640E0">
              <w:rPr>
                <w:rFonts w:ascii="Times New Roman" w:hAnsi="Times New Roman"/>
                <w:b/>
                <w:sz w:val="24"/>
                <w:szCs w:val="24"/>
              </w:rPr>
              <w:t>Neatsižvelgta.</w:t>
            </w:r>
          </w:p>
          <w:p w:rsidR="00F94683" w:rsidRPr="000640E0" w:rsidRDefault="007955F6" w:rsidP="00524E58">
            <w:pPr>
              <w:jc w:val="both"/>
              <w:rPr>
                <w:iCs/>
              </w:rPr>
            </w:pPr>
            <w:r>
              <w:rPr>
                <w:iCs/>
              </w:rPr>
              <w:t>M</w:t>
            </w:r>
            <w:r w:rsidR="00524E58">
              <w:rPr>
                <w:iCs/>
              </w:rPr>
              <w:t xml:space="preserve">etodikos </w:t>
            </w:r>
            <w:r w:rsidR="00311FDD" w:rsidRPr="000640E0">
              <w:rPr>
                <w:iCs/>
              </w:rPr>
              <w:t>10 punkte nurodyta Lietuvos Respublikos valstybės biudžeto specialiųjų tikslinių dotacijų asmeniui su sunkia negalia socialinei globai skiriam</w:t>
            </w:r>
            <w:r w:rsidR="00426150" w:rsidRPr="00494551">
              <w:rPr>
                <w:iCs/>
              </w:rPr>
              <w:t>ų</w:t>
            </w:r>
            <w:r w:rsidR="00311FDD" w:rsidRPr="000640E0">
              <w:rPr>
                <w:iCs/>
              </w:rPr>
              <w:t xml:space="preserve"> lėšų dalis (7,2</w:t>
            </w:r>
            <w:r w:rsidR="00426150" w:rsidRPr="000640E0">
              <w:rPr>
                <w:iCs/>
              </w:rPr>
              <w:t> </w:t>
            </w:r>
            <w:r w:rsidR="00311FDD" w:rsidRPr="000640E0">
              <w:rPr>
                <w:iCs/>
              </w:rPr>
              <w:t xml:space="preserve">bazinės socialinės išmokos per mėnesį) naudojama dotacijų poreikiui skaičiuoti. Savivaldybė, organizuodama socialinę globą </w:t>
            </w:r>
            <w:r w:rsidR="00494551">
              <w:rPr>
                <w:iCs/>
              </w:rPr>
              <w:t xml:space="preserve">asmeniui </w:t>
            </w:r>
            <w:r w:rsidR="009F11B7">
              <w:rPr>
                <w:iCs/>
              </w:rPr>
              <w:t>su sunkia</w:t>
            </w:r>
            <w:r w:rsidR="00311FDD" w:rsidRPr="000640E0">
              <w:rPr>
                <w:iCs/>
              </w:rPr>
              <w:t xml:space="preserve"> negali</w:t>
            </w:r>
            <w:r w:rsidR="009F11B7">
              <w:rPr>
                <w:iCs/>
              </w:rPr>
              <w:t>a</w:t>
            </w:r>
            <w:r w:rsidR="00311FDD" w:rsidRPr="000640E0">
              <w:rPr>
                <w:iCs/>
              </w:rPr>
              <w:t xml:space="preserve"> </w:t>
            </w:r>
            <w:r w:rsidR="00900CCF" w:rsidRPr="000640E0">
              <w:rPr>
                <w:iCs/>
              </w:rPr>
              <w:t xml:space="preserve">ir </w:t>
            </w:r>
            <w:r w:rsidR="00F94683" w:rsidRPr="000640E0">
              <w:rPr>
                <w:iCs/>
              </w:rPr>
              <w:t xml:space="preserve">atsižvelgdama į finansines </w:t>
            </w:r>
            <w:r w:rsidR="00900CCF" w:rsidRPr="000640E0">
              <w:rPr>
                <w:iCs/>
              </w:rPr>
              <w:t xml:space="preserve">jo </w:t>
            </w:r>
            <w:r w:rsidR="00F94683" w:rsidRPr="000640E0">
              <w:rPr>
                <w:iCs/>
              </w:rPr>
              <w:t xml:space="preserve">galimybes, </w:t>
            </w:r>
            <w:r w:rsidR="00311FDD" w:rsidRPr="000640E0">
              <w:rPr>
                <w:iCs/>
              </w:rPr>
              <w:t xml:space="preserve">gali </w:t>
            </w:r>
            <w:r w:rsidR="00F94683" w:rsidRPr="000640E0">
              <w:rPr>
                <w:iCs/>
              </w:rPr>
              <w:t xml:space="preserve">skirti ir daugiau </w:t>
            </w:r>
            <w:r w:rsidR="00900CCF" w:rsidRPr="000640E0">
              <w:rPr>
                <w:iCs/>
              </w:rPr>
              <w:t xml:space="preserve">lėšų, </w:t>
            </w:r>
            <w:r w:rsidR="00F94683" w:rsidRPr="000640E0">
              <w:rPr>
                <w:iCs/>
              </w:rPr>
              <w:t>nei nustatytas dotacijos dydis.</w:t>
            </w:r>
          </w:p>
          <w:p w:rsidR="00FF7D63" w:rsidRPr="00311FDD" w:rsidRDefault="00510EC3" w:rsidP="006E589F">
            <w:pPr>
              <w:jc w:val="both"/>
              <w:rPr>
                <w:iCs/>
              </w:rPr>
            </w:pPr>
            <w:r w:rsidRPr="000640E0">
              <w:rPr>
                <w:iCs/>
              </w:rPr>
              <w:t>Savivaldybių biudžetams skiriam</w:t>
            </w:r>
            <w:r w:rsidR="00426150" w:rsidRPr="000640E0">
              <w:rPr>
                <w:iCs/>
              </w:rPr>
              <w:t>os</w:t>
            </w:r>
            <w:r w:rsidRPr="000640E0">
              <w:rPr>
                <w:iCs/>
              </w:rPr>
              <w:t xml:space="preserve"> valstybės biudžeto tikslin</w:t>
            </w:r>
            <w:r w:rsidR="00426150" w:rsidRPr="000640E0">
              <w:rPr>
                <w:iCs/>
              </w:rPr>
              <w:t>ės</w:t>
            </w:r>
            <w:r w:rsidRPr="000640E0">
              <w:rPr>
                <w:iCs/>
              </w:rPr>
              <w:t xml:space="preserve"> dotacij</w:t>
            </w:r>
            <w:r w:rsidR="00426150" w:rsidRPr="009F11B7">
              <w:rPr>
                <w:iCs/>
              </w:rPr>
              <w:t>os</w:t>
            </w:r>
            <w:r w:rsidRPr="000640E0">
              <w:rPr>
                <w:iCs/>
              </w:rPr>
              <w:t xml:space="preserve"> asmenų su sunkia negalia socialinei globai užtikrinti kasmet didėja (2019 m., palyginti su 2007 m., išaugo daugiau nei </w:t>
            </w:r>
            <w:r w:rsidR="007C6C76" w:rsidRPr="001540E9">
              <w:rPr>
                <w:iCs/>
              </w:rPr>
              <w:t>6</w:t>
            </w:r>
            <w:r w:rsidR="00507E1A" w:rsidRPr="001540E9">
              <w:rPr>
                <w:iCs/>
              </w:rPr>
              <w:t> </w:t>
            </w:r>
            <w:r w:rsidRPr="001540E9">
              <w:rPr>
                <w:iCs/>
              </w:rPr>
              <w:t>k</w:t>
            </w:r>
            <w:r w:rsidRPr="000640E0">
              <w:rPr>
                <w:iCs/>
              </w:rPr>
              <w:t xml:space="preserve">artus ir </w:t>
            </w:r>
            <w:r w:rsidR="00900CCF" w:rsidRPr="000640E0">
              <w:rPr>
                <w:iCs/>
              </w:rPr>
              <w:t>buvo</w:t>
            </w:r>
            <w:r w:rsidRPr="000640E0">
              <w:rPr>
                <w:iCs/>
              </w:rPr>
              <w:t xml:space="preserve"> 23,6 mln. </w:t>
            </w:r>
            <w:r w:rsidR="009F11B7" w:rsidRPr="000640E0">
              <w:rPr>
                <w:iCs/>
              </w:rPr>
              <w:t>EUR</w:t>
            </w:r>
            <w:r w:rsidRPr="006E589F">
              <w:rPr>
                <w:iCs/>
              </w:rPr>
              <w:t>). Ši</w:t>
            </w:r>
            <w:r w:rsidR="006E589F" w:rsidRPr="006E589F">
              <w:rPr>
                <w:iCs/>
              </w:rPr>
              <w:t>ų</w:t>
            </w:r>
            <w:r w:rsidRPr="006E589F">
              <w:rPr>
                <w:iCs/>
              </w:rPr>
              <w:t xml:space="preserve"> dotacij</w:t>
            </w:r>
            <w:r w:rsidR="006E589F" w:rsidRPr="006E589F">
              <w:rPr>
                <w:iCs/>
              </w:rPr>
              <w:t>ų</w:t>
            </w:r>
            <w:r w:rsidRPr="006E589F">
              <w:rPr>
                <w:iCs/>
              </w:rPr>
              <w:t xml:space="preserve"> skiriam</w:t>
            </w:r>
            <w:r w:rsidR="00507E1A" w:rsidRPr="001540E9">
              <w:rPr>
                <w:iCs/>
              </w:rPr>
              <w:t>a</w:t>
            </w:r>
            <w:r w:rsidRPr="006E589F">
              <w:rPr>
                <w:iCs/>
              </w:rPr>
              <w:t xml:space="preserve"> pagal savivaldybių poreikį.</w:t>
            </w:r>
          </w:p>
        </w:tc>
      </w:tr>
      <w:tr w:rsidR="007C6C76" w:rsidRPr="00905635" w:rsidTr="00371D47">
        <w:trPr>
          <w:trHeight w:val="423"/>
        </w:trPr>
        <w:tc>
          <w:tcPr>
            <w:tcW w:w="2127" w:type="dxa"/>
            <w:shd w:val="clear" w:color="auto" w:fill="auto"/>
            <w:vAlign w:val="center"/>
          </w:tcPr>
          <w:p w:rsidR="007C6C76" w:rsidRPr="00905635" w:rsidRDefault="007C6C76" w:rsidP="00371D47">
            <w:pPr>
              <w:jc w:val="center"/>
              <w:rPr>
                <w:b/>
              </w:rPr>
            </w:pPr>
          </w:p>
        </w:tc>
        <w:tc>
          <w:tcPr>
            <w:tcW w:w="6095" w:type="dxa"/>
            <w:shd w:val="clear" w:color="auto" w:fill="auto"/>
          </w:tcPr>
          <w:p w:rsidR="007C6C76" w:rsidRDefault="00FD7E65" w:rsidP="00130767">
            <w:pPr>
              <w:jc w:val="both"/>
            </w:pPr>
            <w:r>
              <w:t>3</w:t>
            </w:r>
            <w:r w:rsidR="007C6C76">
              <w:t>.</w:t>
            </w:r>
            <w:r w:rsidR="007C6C76" w:rsidRPr="002C2FB1">
              <w:t xml:space="preserve"> Dėl 9 p. Šis punktas reglamentuoja, kad socialinė globa asmenims su sunkia negalia finansuojama iš valstybės biudžeto specialios tikslinės dotacijos savivaldybės biudžetui. Keičiant Metodiką, siūlome įtraukti papildomą reglamentavimą dėl dienos globos paslaugų finansavimo asmenims su sunkia negalia ir nustatyti, kad tais atvejais, kai dienos socialinė globa paskirta ir teikiama, tačiau laikinai sustabdyta dėl paslaugų gavėjo</w:t>
            </w:r>
            <w:r w:rsidR="001C2ADF">
              <w:t>,</w:t>
            </w:r>
            <w:r w:rsidR="007C6C76" w:rsidRPr="002C2FB1">
              <w:t xml:space="preserve"> pvz.</w:t>
            </w:r>
            <w:r w:rsidR="001C2ADF">
              <w:t>,</w:t>
            </w:r>
            <w:r w:rsidR="007C6C76" w:rsidRPr="002C2FB1">
              <w:t xml:space="preserve"> laikino gydymosi ligoninėje, ji taip pat būtų finansuojama iš valstybės biudžeto specialios tikslinės dotacijos savivaldybės biudžetui. Kadangi ši paslauga yra nuolatinio pobūdžio, ją laikinai sustabdžius negalima pradėti paslaugas teikti kitam asmeniui, todėl savivaldybės turi mokėti dienos globos paslaugas asmenims su sunkia negalia teikiantiems darbuotojams darbo užmokestį iš savivaldybės biudžeto lėšų</w:t>
            </w:r>
            <w:r w:rsidR="001C2ADF">
              <w:t>.</w:t>
            </w:r>
          </w:p>
        </w:tc>
        <w:tc>
          <w:tcPr>
            <w:tcW w:w="6662" w:type="dxa"/>
            <w:shd w:val="clear" w:color="auto" w:fill="auto"/>
          </w:tcPr>
          <w:p w:rsidR="00DD79D3" w:rsidRPr="000640E0" w:rsidRDefault="00C93EDA" w:rsidP="00130767">
            <w:pPr>
              <w:pStyle w:val="Paprastasistekstas"/>
              <w:ind w:firstLine="34"/>
              <w:jc w:val="both"/>
              <w:rPr>
                <w:rFonts w:ascii="Times New Roman" w:hAnsi="Times New Roman"/>
                <w:b/>
                <w:sz w:val="24"/>
                <w:szCs w:val="24"/>
              </w:rPr>
            </w:pPr>
            <w:r w:rsidRPr="000640E0">
              <w:rPr>
                <w:rFonts w:ascii="Times New Roman" w:hAnsi="Times New Roman"/>
                <w:b/>
                <w:sz w:val="24"/>
                <w:szCs w:val="24"/>
              </w:rPr>
              <w:t>Neatsižvelgta</w:t>
            </w:r>
            <w:r w:rsidR="00A833F1" w:rsidRPr="000640E0">
              <w:rPr>
                <w:rFonts w:ascii="Times New Roman" w:hAnsi="Times New Roman"/>
                <w:b/>
                <w:sz w:val="24"/>
                <w:szCs w:val="24"/>
              </w:rPr>
              <w:t>.</w:t>
            </w:r>
          </w:p>
          <w:p w:rsidR="007C6C76" w:rsidRPr="000640E0" w:rsidRDefault="005A4A9D" w:rsidP="00582ED2">
            <w:pPr>
              <w:pStyle w:val="Paprastasistekstas"/>
              <w:ind w:firstLine="34"/>
              <w:jc w:val="both"/>
              <w:rPr>
                <w:rFonts w:ascii="Times New Roman" w:hAnsi="Times New Roman"/>
                <w:b/>
                <w:sz w:val="24"/>
                <w:szCs w:val="24"/>
              </w:rPr>
            </w:pPr>
            <w:r w:rsidRPr="000640E0">
              <w:rPr>
                <w:rFonts w:ascii="Times New Roman" w:hAnsi="Times New Roman"/>
                <w:sz w:val="24"/>
                <w:szCs w:val="24"/>
              </w:rPr>
              <w:t xml:space="preserve">Metodikoje </w:t>
            </w:r>
            <w:r w:rsidR="00BF2B00" w:rsidRPr="000640E0">
              <w:rPr>
                <w:rFonts w:ascii="Times New Roman" w:hAnsi="Times New Roman"/>
                <w:sz w:val="24"/>
                <w:szCs w:val="24"/>
              </w:rPr>
              <w:t>nenustatyti</w:t>
            </w:r>
            <w:r w:rsidRPr="000640E0">
              <w:rPr>
                <w:rFonts w:ascii="Times New Roman" w:hAnsi="Times New Roman"/>
                <w:sz w:val="24"/>
                <w:szCs w:val="24"/>
              </w:rPr>
              <w:t xml:space="preserve"> paslaugų finansavim</w:t>
            </w:r>
            <w:r w:rsidR="00C108BD" w:rsidRPr="000640E0">
              <w:rPr>
                <w:rFonts w:ascii="Times New Roman" w:hAnsi="Times New Roman"/>
                <w:sz w:val="24"/>
                <w:szCs w:val="24"/>
              </w:rPr>
              <w:t>o apribojim</w:t>
            </w:r>
            <w:r w:rsidR="00BF2B00" w:rsidRPr="000640E0">
              <w:rPr>
                <w:rFonts w:ascii="Times New Roman" w:hAnsi="Times New Roman"/>
                <w:sz w:val="24"/>
                <w:szCs w:val="24"/>
              </w:rPr>
              <w:t>ai</w:t>
            </w:r>
            <w:r w:rsidRPr="000640E0">
              <w:rPr>
                <w:rFonts w:ascii="Times New Roman" w:hAnsi="Times New Roman"/>
                <w:sz w:val="24"/>
                <w:szCs w:val="24"/>
              </w:rPr>
              <w:t xml:space="preserve">, </w:t>
            </w:r>
            <w:r w:rsidR="00C108BD" w:rsidRPr="000640E0">
              <w:rPr>
                <w:rFonts w:ascii="Times New Roman" w:hAnsi="Times New Roman"/>
                <w:sz w:val="24"/>
                <w:szCs w:val="24"/>
              </w:rPr>
              <w:t xml:space="preserve">jei </w:t>
            </w:r>
            <w:r w:rsidRPr="000640E0">
              <w:rPr>
                <w:rFonts w:ascii="Times New Roman" w:hAnsi="Times New Roman"/>
                <w:sz w:val="24"/>
                <w:szCs w:val="24"/>
              </w:rPr>
              <w:t>asm</w:t>
            </w:r>
            <w:r w:rsidR="00C108BD" w:rsidRPr="000640E0">
              <w:rPr>
                <w:rFonts w:ascii="Times New Roman" w:hAnsi="Times New Roman"/>
                <w:sz w:val="24"/>
                <w:szCs w:val="24"/>
              </w:rPr>
              <w:t>uo</w:t>
            </w:r>
            <w:r w:rsidRPr="000640E0">
              <w:rPr>
                <w:rFonts w:ascii="Times New Roman" w:hAnsi="Times New Roman"/>
                <w:sz w:val="24"/>
                <w:szCs w:val="24"/>
              </w:rPr>
              <w:t xml:space="preserve"> dėl objektyvių priežasčių negali pasinaudoti paslaugomis. </w:t>
            </w:r>
            <w:r w:rsidR="00C93EDA" w:rsidRPr="000640E0">
              <w:rPr>
                <w:rFonts w:ascii="Times New Roman" w:hAnsi="Times New Roman"/>
                <w:sz w:val="24"/>
                <w:szCs w:val="24"/>
              </w:rPr>
              <w:t>Socialinės globos įstaigos finansavimo sąlyg</w:t>
            </w:r>
            <w:r w:rsidR="00604764" w:rsidRPr="000640E0">
              <w:rPr>
                <w:rFonts w:ascii="Times New Roman" w:hAnsi="Times New Roman"/>
                <w:sz w:val="24"/>
                <w:szCs w:val="24"/>
              </w:rPr>
              <w:t>a</w:t>
            </w:r>
            <w:r w:rsidR="00C93EDA" w:rsidRPr="000640E0">
              <w:rPr>
                <w:rFonts w:ascii="Times New Roman" w:hAnsi="Times New Roman"/>
                <w:sz w:val="24"/>
                <w:szCs w:val="24"/>
              </w:rPr>
              <w:t>s</w:t>
            </w:r>
            <w:r w:rsidR="00604764" w:rsidRPr="000640E0">
              <w:rPr>
                <w:rFonts w:ascii="Times New Roman" w:hAnsi="Times New Roman"/>
                <w:sz w:val="24"/>
                <w:szCs w:val="24"/>
              </w:rPr>
              <w:t xml:space="preserve">, </w:t>
            </w:r>
            <w:r w:rsidR="006555B8" w:rsidRPr="007955F6">
              <w:rPr>
                <w:rFonts w:ascii="Times New Roman" w:hAnsi="Times New Roman"/>
                <w:sz w:val="24"/>
                <w:szCs w:val="24"/>
              </w:rPr>
              <w:t xml:space="preserve">aptariant ir atvejus, kai </w:t>
            </w:r>
            <w:r w:rsidR="00604764" w:rsidRPr="000640E0">
              <w:rPr>
                <w:rFonts w:ascii="Times New Roman" w:hAnsi="Times New Roman"/>
                <w:sz w:val="24"/>
                <w:szCs w:val="24"/>
              </w:rPr>
              <w:t>asm</w:t>
            </w:r>
            <w:r w:rsidR="006555B8" w:rsidRPr="007955F6">
              <w:rPr>
                <w:rFonts w:ascii="Times New Roman" w:hAnsi="Times New Roman"/>
                <w:sz w:val="24"/>
                <w:szCs w:val="24"/>
              </w:rPr>
              <w:t>uo</w:t>
            </w:r>
            <w:r w:rsidR="00604764" w:rsidRPr="000640E0">
              <w:rPr>
                <w:rFonts w:ascii="Times New Roman" w:hAnsi="Times New Roman"/>
                <w:sz w:val="24"/>
                <w:szCs w:val="24"/>
              </w:rPr>
              <w:t xml:space="preserve"> laikinai nelank</w:t>
            </w:r>
            <w:r w:rsidR="006555B8" w:rsidRPr="007955F6">
              <w:rPr>
                <w:rFonts w:ascii="Times New Roman" w:hAnsi="Times New Roman"/>
                <w:sz w:val="24"/>
                <w:szCs w:val="24"/>
              </w:rPr>
              <w:t>o</w:t>
            </w:r>
            <w:r w:rsidR="00604764" w:rsidRPr="000640E0">
              <w:rPr>
                <w:rFonts w:ascii="Times New Roman" w:hAnsi="Times New Roman"/>
                <w:sz w:val="24"/>
                <w:szCs w:val="24"/>
              </w:rPr>
              <w:t xml:space="preserve"> socialinės globos įstaigos, siūlome </w:t>
            </w:r>
            <w:r w:rsidR="006555B8" w:rsidRPr="007955F6">
              <w:rPr>
                <w:rFonts w:ascii="Times New Roman" w:hAnsi="Times New Roman"/>
                <w:sz w:val="24"/>
                <w:szCs w:val="24"/>
              </w:rPr>
              <w:t>nustatyti</w:t>
            </w:r>
            <w:r w:rsidR="00604764" w:rsidRPr="000640E0">
              <w:rPr>
                <w:rFonts w:ascii="Times New Roman" w:hAnsi="Times New Roman"/>
                <w:sz w:val="24"/>
                <w:szCs w:val="24"/>
              </w:rPr>
              <w:t xml:space="preserve"> </w:t>
            </w:r>
            <w:r w:rsidR="00C93EDA" w:rsidRPr="000640E0">
              <w:rPr>
                <w:rFonts w:ascii="Times New Roman" w:hAnsi="Times New Roman"/>
                <w:sz w:val="24"/>
                <w:szCs w:val="24"/>
              </w:rPr>
              <w:t xml:space="preserve">įstaigos ir savivaldybės </w:t>
            </w:r>
            <w:r w:rsidR="00604764" w:rsidRPr="000640E0">
              <w:rPr>
                <w:rFonts w:ascii="Times New Roman" w:hAnsi="Times New Roman"/>
                <w:sz w:val="24"/>
                <w:szCs w:val="24"/>
              </w:rPr>
              <w:t xml:space="preserve">sutartyje. </w:t>
            </w:r>
            <w:r w:rsidR="00DA3C78" w:rsidRPr="000640E0">
              <w:rPr>
                <w:rFonts w:ascii="Times New Roman" w:hAnsi="Times New Roman"/>
                <w:sz w:val="24"/>
                <w:szCs w:val="24"/>
              </w:rPr>
              <w:t>Jei a</w:t>
            </w:r>
            <w:r w:rsidR="00C93EDA" w:rsidRPr="000640E0">
              <w:rPr>
                <w:rFonts w:ascii="Times New Roman" w:hAnsi="Times New Roman"/>
                <w:sz w:val="24"/>
                <w:szCs w:val="24"/>
              </w:rPr>
              <w:t>smen</w:t>
            </w:r>
            <w:r w:rsidR="00DA3C78" w:rsidRPr="000640E0">
              <w:rPr>
                <w:rFonts w:ascii="Times New Roman" w:hAnsi="Times New Roman"/>
                <w:sz w:val="24"/>
                <w:szCs w:val="24"/>
              </w:rPr>
              <w:t>ys</w:t>
            </w:r>
            <w:r w:rsidR="00C93EDA" w:rsidRPr="000640E0">
              <w:rPr>
                <w:rFonts w:ascii="Times New Roman" w:hAnsi="Times New Roman"/>
                <w:sz w:val="24"/>
                <w:szCs w:val="24"/>
              </w:rPr>
              <w:t xml:space="preserve"> dėl pateisinamų priežasčių </w:t>
            </w:r>
            <w:r w:rsidR="00130767">
              <w:rPr>
                <w:rFonts w:ascii="Times New Roman" w:hAnsi="Times New Roman"/>
                <w:sz w:val="24"/>
                <w:szCs w:val="24"/>
              </w:rPr>
              <w:t xml:space="preserve">socialinės globos įstaigą (pvz., </w:t>
            </w:r>
            <w:r w:rsidR="00C93EDA" w:rsidRPr="000640E0">
              <w:rPr>
                <w:rFonts w:ascii="Times New Roman" w:hAnsi="Times New Roman"/>
                <w:sz w:val="24"/>
                <w:szCs w:val="24"/>
              </w:rPr>
              <w:t>dienos centrą</w:t>
            </w:r>
            <w:r w:rsidR="00130767">
              <w:rPr>
                <w:rFonts w:ascii="Times New Roman" w:hAnsi="Times New Roman"/>
                <w:sz w:val="24"/>
                <w:szCs w:val="24"/>
              </w:rPr>
              <w:t>)</w:t>
            </w:r>
            <w:r w:rsidR="00C93EDA" w:rsidRPr="000640E0">
              <w:rPr>
                <w:rFonts w:ascii="Times New Roman" w:hAnsi="Times New Roman"/>
                <w:sz w:val="24"/>
                <w:szCs w:val="24"/>
              </w:rPr>
              <w:t xml:space="preserve"> lank</w:t>
            </w:r>
            <w:r w:rsidR="00DA3C78" w:rsidRPr="000640E0">
              <w:rPr>
                <w:rFonts w:ascii="Times New Roman" w:hAnsi="Times New Roman"/>
                <w:sz w:val="24"/>
                <w:szCs w:val="24"/>
              </w:rPr>
              <w:t>o</w:t>
            </w:r>
            <w:r w:rsidR="00C93EDA" w:rsidRPr="000640E0">
              <w:rPr>
                <w:rFonts w:ascii="Times New Roman" w:hAnsi="Times New Roman"/>
                <w:sz w:val="24"/>
                <w:szCs w:val="24"/>
              </w:rPr>
              <w:t xml:space="preserve"> ne visą jiems paskirtą laiką, </w:t>
            </w:r>
            <w:r w:rsidR="00987E20">
              <w:rPr>
                <w:rFonts w:ascii="Times New Roman" w:hAnsi="Times New Roman"/>
                <w:sz w:val="24"/>
                <w:szCs w:val="24"/>
              </w:rPr>
              <w:t xml:space="preserve">šios </w:t>
            </w:r>
            <w:r w:rsidR="00C93EDA" w:rsidRPr="000640E0">
              <w:rPr>
                <w:rFonts w:ascii="Times New Roman" w:hAnsi="Times New Roman"/>
                <w:sz w:val="24"/>
                <w:szCs w:val="24"/>
              </w:rPr>
              <w:t>įstaigos veikla negali sutrikti ir privalo būti padengtos socialinės globos kainą sudarančios būtinos</w:t>
            </w:r>
            <w:r w:rsidR="00DA3C78" w:rsidRPr="000640E0">
              <w:rPr>
                <w:rFonts w:ascii="Times New Roman" w:hAnsi="Times New Roman"/>
                <w:sz w:val="24"/>
                <w:szCs w:val="24"/>
              </w:rPr>
              <w:t>ios</w:t>
            </w:r>
            <w:r w:rsidR="00C93EDA" w:rsidRPr="000640E0">
              <w:rPr>
                <w:rFonts w:ascii="Times New Roman" w:hAnsi="Times New Roman"/>
                <w:sz w:val="24"/>
                <w:szCs w:val="24"/>
              </w:rPr>
              <w:t xml:space="preserve"> išlaidos, kurios yra nurodytos Metodikos 25</w:t>
            </w:r>
            <w:r w:rsidR="00DA3C78" w:rsidRPr="000640E0">
              <w:rPr>
                <w:rFonts w:ascii="Times New Roman" w:hAnsi="Times New Roman"/>
                <w:sz w:val="24"/>
                <w:szCs w:val="24"/>
              </w:rPr>
              <w:t>–</w:t>
            </w:r>
            <w:r w:rsidR="00C93EDA" w:rsidRPr="000640E0">
              <w:rPr>
                <w:rFonts w:ascii="Times New Roman" w:hAnsi="Times New Roman"/>
                <w:sz w:val="24"/>
                <w:szCs w:val="24"/>
              </w:rPr>
              <w:t>27 punktuose (ne tik bendrosios dalies, bet ir kintamosios dalies išlaid</w:t>
            </w:r>
            <w:r w:rsidR="00604764" w:rsidRPr="000640E0">
              <w:rPr>
                <w:rFonts w:ascii="Times New Roman" w:hAnsi="Times New Roman"/>
                <w:sz w:val="24"/>
                <w:szCs w:val="24"/>
              </w:rPr>
              <w:t>o</w:t>
            </w:r>
            <w:r w:rsidR="00C93EDA" w:rsidRPr="000640E0">
              <w:rPr>
                <w:rFonts w:ascii="Times New Roman" w:hAnsi="Times New Roman"/>
                <w:sz w:val="24"/>
                <w:szCs w:val="24"/>
              </w:rPr>
              <w:t>s, pvz</w:t>
            </w:r>
            <w:r w:rsidR="00C93EDA" w:rsidRPr="0023745A">
              <w:rPr>
                <w:rFonts w:ascii="Times New Roman" w:hAnsi="Times New Roman"/>
                <w:sz w:val="24"/>
                <w:szCs w:val="24"/>
              </w:rPr>
              <w:t>.</w:t>
            </w:r>
            <w:r w:rsidR="00507E1A" w:rsidRPr="001540E9">
              <w:rPr>
                <w:rFonts w:ascii="Times New Roman" w:hAnsi="Times New Roman"/>
                <w:sz w:val="24"/>
                <w:szCs w:val="24"/>
              </w:rPr>
              <w:t>:</w:t>
            </w:r>
            <w:r w:rsidR="00C93EDA" w:rsidRPr="000640E0">
              <w:rPr>
                <w:rFonts w:ascii="Times New Roman" w:hAnsi="Times New Roman"/>
                <w:sz w:val="24"/>
                <w:szCs w:val="24"/>
              </w:rPr>
              <w:t xml:space="preserve"> specialistų darbo užmokestis, socialinio draudimo įmokos ir pan.), kad būtų užtikrintas įstaigos veiklos tęstinumas, paslaugų kokybė ir paslaugų gavėjas vėl </w:t>
            </w:r>
            <w:r w:rsidR="00DA3C78" w:rsidRPr="00987E20">
              <w:rPr>
                <w:rFonts w:ascii="Times New Roman" w:hAnsi="Times New Roman"/>
                <w:sz w:val="24"/>
                <w:szCs w:val="24"/>
              </w:rPr>
              <w:t xml:space="preserve">galėtų </w:t>
            </w:r>
            <w:r w:rsidR="00C93EDA" w:rsidRPr="00987E20">
              <w:rPr>
                <w:rFonts w:ascii="Times New Roman" w:hAnsi="Times New Roman"/>
                <w:sz w:val="24"/>
                <w:szCs w:val="24"/>
              </w:rPr>
              <w:t xml:space="preserve">lankyti </w:t>
            </w:r>
            <w:r w:rsidR="00987E20">
              <w:rPr>
                <w:rFonts w:ascii="Times New Roman" w:hAnsi="Times New Roman"/>
                <w:sz w:val="24"/>
                <w:szCs w:val="24"/>
              </w:rPr>
              <w:t xml:space="preserve">minėtą </w:t>
            </w:r>
            <w:r w:rsidR="00C93EDA" w:rsidRPr="00987E20">
              <w:rPr>
                <w:rFonts w:ascii="Times New Roman" w:hAnsi="Times New Roman"/>
                <w:sz w:val="24"/>
                <w:szCs w:val="24"/>
              </w:rPr>
              <w:t>įstaigą,</w:t>
            </w:r>
            <w:r w:rsidR="00C93EDA" w:rsidRPr="000640E0">
              <w:rPr>
                <w:rFonts w:ascii="Times New Roman" w:hAnsi="Times New Roman"/>
                <w:sz w:val="24"/>
                <w:szCs w:val="24"/>
              </w:rPr>
              <w:t xml:space="preserve"> kai tik leis jo </w:t>
            </w:r>
            <w:r w:rsidR="006555B8" w:rsidRPr="00130767">
              <w:rPr>
                <w:rFonts w:ascii="Times New Roman" w:hAnsi="Times New Roman"/>
                <w:sz w:val="24"/>
                <w:szCs w:val="24"/>
              </w:rPr>
              <w:t xml:space="preserve">sveikatos </w:t>
            </w:r>
            <w:r w:rsidR="00C93EDA" w:rsidRPr="000640E0">
              <w:rPr>
                <w:rFonts w:ascii="Times New Roman" w:hAnsi="Times New Roman"/>
                <w:sz w:val="24"/>
                <w:szCs w:val="24"/>
              </w:rPr>
              <w:t xml:space="preserve">būklė. </w:t>
            </w:r>
          </w:p>
        </w:tc>
      </w:tr>
      <w:tr w:rsidR="0090414A" w:rsidRPr="00905635" w:rsidTr="00371D47">
        <w:trPr>
          <w:trHeight w:val="65"/>
        </w:trPr>
        <w:tc>
          <w:tcPr>
            <w:tcW w:w="2127" w:type="dxa"/>
            <w:shd w:val="clear" w:color="auto" w:fill="auto"/>
          </w:tcPr>
          <w:p w:rsidR="0090414A" w:rsidRDefault="0090414A" w:rsidP="00371D47"/>
        </w:tc>
        <w:tc>
          <w:tcPr>
            <w:tcW w:w="6095" w:type="dxa"/>
            <w:shd w:val="clear" w:color="auto" w:fill="auto"/>
          </w:tcPr>
          <w:p w:rsidR="0090414A" w:rsidRPr="002C2FB1" w:rsidRDefault="00FD7E65" w:rsidP="00477D42">
            <w:pPr>
              <w:jc w:val="both"/>
              <w:rPr>
                <w:lang w:val="en-US"/>
              </w:rPr>
            </w:pPr>
            <w:r>
              <w:t>4</w:t>
            </w:r>
            <w:r w:rsidR="0090414A" w:rsidRPr="002C2FB1">
              <w:t>. Savivaldybės kelia problemą dėl be tėvų globos likusio vaiko socialinės globos apmokėjimo laikotarpiui, kol vaikui bus nustatyta laikinoji globa. Pažymime, kad nuo</w:t>
            </w:r>
            <w:r w:rsidR="00EA3879">
              <w:t xml:space="preserve"> 2018</w:t>
            </w:r>
            <w:r w:rsidR="001C2ADF">
              <w:t xml:space="preserve"> m. liepos </w:t>
            </w:r>
            <w:r w:rsidR="00EA3879">
              <w:t xml:space="preserve">1 </w:t>
            </w:r>
            <w:r w:rsidR="001C2ADF">
              <w:t xml:space="preserve">d. </w:t>
            </w:r>
            <w:r w:rsidR="00EA3879">
              <w:t>ženkliai pailgėjo (</w:t>
            </w:r>
            <w:r w:rsidR="0090414A" w:rsidRPr="002C2FB1">
              <w:t>nuo 2</w:t>
            </w:r>
            <w:r w:rsidR="001C2ADF">
              <w:t>–</w:t>
            </w:r>
            <w:r w:rsidR="0090414A" w:rsidRPr="002C2FB1">
              <w:t>3 dienų iki 10</w:t>
            </w:r>
            <w:r w:rsidR="001C2ADF">
              <w:t>–</w:t>
            </w:r>
            <w:r w:rsidR="0090414A" w:rsidRPr="002C2FB1">
              <w:t>12</w:t>
            </w:r>
            <w:r w:rsidR="001C2ADF">
              <w:t> </w:t>
            </w:r>
            <w:r w:rsidR="0090414A" w:rsidRPr="002C2FB1">
              <w:t xml:space="preserve">dienų) </w:t>
            </w:r>
            <w:r w:rsidR="0090414A" w:rsidRPr="002C2FB1">
              <w:lastRenderedPageBreak/>
              <w:t>laikas nuo vaiko paėmimo iš nesaugios aplinkos iki laikinosios globos (rūpybos) nustatymo. Tuo laikotar</w:t>
            </w:r>
            <w:r w:rsidR="0090414A" w:rsidRPr="00130767">
              <w:rPr>
                <w:bCs/>
              </w:rPr>
              <w:t>p</w:t>
            </w:r>
            <w:r w:rsidR="0090414A" w:rsidRPr="002C2FB1">
              <w:t>iu, kol vaikui nėra nustatyta laikinoji globa (rūpyba), jo apgyvendinimas ir išlaikymas turi būti finansuojamas, tokio reglamentavimo kol kas nėra. Praktikoje mažiausia</w:t>
            </w:r>
            <w:r w:rsidR="001B4310">
              <w:t>i</w:t>
            </w:r>
            <w:r w:rsidR="0090414A" w:rsidRPr="002C2FB1">
              <w:t xml:space="preserve"> 7 dienų prireikia teismo nutartimi panaikinus laikinąją globą (rūpybą) ir laukiant</w:t>
            </w:r>
            <w:r w:rsidR="001B4310">
              <w:t>,</w:t>
            </w:r>
            <w:r w:rsidR="0090414A" w:rsidRPr="002C2FB1">
              <w:t xml:space="preserve"> kol įsiteisės teismo sprendimas. Siūlome parengti metodiką ir finansavimo tvarką, pagal kurią savivaldybės tokiam vaikui galėtų nustatyti socialinės globos poreikį ir skirti socialinę globą. Atkreipiame dėmesį, kad iki šiol nėra panaikintas 2006</w:t>
            </w:r>
            <w:r w:rsidR="001B4310">
              <w:t xml:space="preserve"> m. birželio </w:t>
            </w:r>
            <w:r w:rsidR="0090414A" w:rsidRPr="002C2FB1">
              <w:t xml:space="preserve">27 </w:t>
            </w:r>
            <w:r w:rsidR="001B4310">
              <w:t xml:space="preserve">d. </w:t>
            </w:r>
            <w:r w:rsidR="0090414A" w:rsidRPr="002C2FB1">
              <w:t xml:space="preserve">SADM įsakymas Nr. A1-179 „Dėl </w:t>
            </w:r>
            <w:r w:rsidR="001B4310">
              <w:t>S</w:t>
            </w:r>
            <w:r w:rsidR="0090414A" w:rsidRPr="002C2FB1">
              <w:t xml:space="preserve">ocialinės rizikos vaiko ar likusio be tėvų globos vaiko socialinės globos poreikio nustatymo metodikos patvirtinimo“, tačiau šiuo teisės aktu savivaldybės negali </w:t>
            </w:r>
            <w:r w:rsidR="001B4310">
              <w:t>rem</w:t>
            </w:r>
            <w:r w:rsidR="0090414A" w:rsidRPr="002C2FB1">
              <w:t>tis nuo 2018</w:t>
            </w:r>
            <w:r w:rsidR="001B4310">
              <w:t xml:space="preserve"> m. liepos </w:t>
            </w:r>
            <w:r w:rsidR="0090414A" w:rsidRPr="002C2FB1">
              <w:t>1</w:t>
            </w:r>
            <w:r w:rsidR="001B4310">
              <w:t> d.</w:t>
            </w:r>
            <w:r w:rsidR="0090414A" w:rsidRPr="002C2FB1">
              <w:t xml:space="preserve">, nes jis nebeatitinka šiuo metu esančios situacijos. </w:t>
            </w:r>
          </w:p>
          <w:p w:rsidR="0090414A" w:rsidRPr="002C2FB1" w:rsidRDefault="0090414A" w:rsidP="00477D42">
            <w:pPr>
              <w:pStyle w:val="Antrats"/>
              <w:tabs>
                <w:tab w:val="clear" w:pos="4819"/>
                <w:tab w:val="clear" w:pos="9638"/>
                <w:tab w:val="left" w:pos="0"/>
              </w:tabs>
              <w:ind w:right="142" w:firstLine="293"/>
              <w:jc w:val="both"/>
            </w:pPr>
          </w:p>
        </w:tc>
        <w:tc>
          <w:tcPr>
            <w:tcW w:w="6662" w:type="dxa"/>
            <w:shd w:val="clear" w:color="auto" w:fill="auto"/>
          </w:tcPr>
          <w:p w:rsidR="001351C8" w:rsidRPr="000640E0" w:rsidRDefault="001351C8" w:rsidP="00130767">
            <w:pPr>
              <w:pStyle w:val="Paprastasistekstas"/>
              <w:ind w:firstLine="34"/>
              <w:jc w:val="both"/>
              <w:rPr>
                <w:rFonts w:ascii="Times New Roman" w:hAnsi="Times New Roman"/>
                <w:b/>
                <w:sz w:val="24"/>
                <w:szCs w:val="24"/>
              </w:rPr>
            </w:pPr>
            <w:r w:rsidRPr="000640E0">
              <w:rPr>
                <w:rFonts w:ascii="Times New Roman" w:hAnsi="Times New Roman"/>
                <w:b/>
                <w:sz w:val="24"/>
                <w:szCs w:val="24"/>
              </w:rPr>
              <w:lastRenderedPageBreak/>
              <w:t>Neatsižvelgta.</w:t>
            </w:r>
          </w:p>
          <w:p w:rsidR="00FD7E65" w:rsidRPr="000640E0" w:rsidRDefault="00FD7E65" w:rsidP="00130767">
            <w:pPr>
              <w:pStyle w:val="Paprastasistekstas"/>
              <w:jc w:val="both"/>
              <w:rPr>
                <w:rFonts w:ascii="Times New Roman" w:hAnsi="Times New Roman"/>
                <w:sz w:val="24"/>
                <w:szCs w:val="24"/>
              </w:rPr>
            </w:pPr>
            <w:r w:rsidRPr="000640E0">
              <w:rPr>
                <w:rFonts w:ascii="Times New Roman" w:hAnsi="Times New Roman"/>
                <w:sz w:val="24"/>
                <w:szCs w:val="24"/>
              </w:rPr>
              <w:t xml:space="preserve">Vadovaujantis Lietuvos Respublikos piniginės socialinės paramos nepasiturintiems gyventojams įstatymo (toliau – Piniginės socialinės paramos nepasiturintiems gyventojams įstatymas) </w:t>
            </w:r>
            <w:r w:rsidRPr="000640E0">
              <w:rPr>
                <w:rFonts w:ascii="Times New Roman" w:hAnsi="Times New Roman"/>
                <w:sz w:val="24"/>
                <w:szCs w:val="24"/>
              </w:rPr>
              <w:lastRenderedPageBreak/>
              <w:t>4</w:t>
            </w:r>
            <w:r w:rsidR="00DA3C78" w:rsidRPr="000640E0">
              <w:rPr>
                <w:rFonts w:ascii="Times New Roman" w:hAnsi="Times New Roman"/>
                <w:sz w:val="24"/>
                <w:szCs w:val="24"/>
              </w:rPr>
              <w:t> </w:t>
            </w:r>
            <w:r w:rsidRPr="000640E0">
              <w:rPr>
                <w:rFonts w:ascii="Times New Roman" w:hAnsi="Times New Roman"/>
                <w:sz w:val="24"/>
                <w:szCs w:val="24"/>
              </w:rPr>
              <w:t xml:space="preserve">straipsnio 5 dalies </w:t>
            </w:r>
            <w:r w:rsidR="00DA3C78" w:rsidRPr="000640E0">
              <w:rPr>
                <w:rFonts w:ascii="Times New Roman" w:hAnsi="Times New Roman"/>
                <w:sz w:val="24"/>
                <w:szCs w:val="24"/>
              </w:rPr>
              <w:t>nuostatomis</w:t>
            </w:r>
            <w:r w:rsidRPr="000640E0">
              <w:rPr>
                <w:rFonts w:ascii="Times New Roman" w:hAnsi="Times New Roman"/>
                <w:sz w:val="24"/>
                <w:szCs w:val="24"/>
              </w:rPr>
              <w:t xml:space="preserve">, nepanaudotos savivaldybių biudžetų lėšos piniginei socialinei paramai skaičiuoti ir mokėti </w:t>
            </w:r>
            <w:proofErr w:type="gramStart"/>
            <w:r w:rsidRPr="000640E0">
              <w:rPr>
                <w:rFonts w:ascii="Times New Roman" w:hAnsi="Times New Roman"/>
                <w:sz w:val="24"/>
                <w:szCs w:val="24"/>
              </w:rPr>
              <w:t>savivaldybės tarybos</w:t>
            </w:r>
            <w:proofErr w:type="gramEnd"/>
            <w:r w:rsidRPr="000640E0">
              <w:rPr>
                <w:rFonts w:ascii="Times New Roman" w:hAnsi="Times New Roman"/>
                <w:sz w:val="24"/>
                <w:szCs w:val="24"/>
              </w:rPr>
              <w:t xml:space="preserve"> nustatyta tvarka gali būti naudojamos šeimoje ir bendruomenėje teikiamai pagalbai vaikams, neįgaliesiems, senyvo amžiaus asmenims ir jų šeimoms plėtoti. </w:t>
            </w:r>
          </w:p>
          <w:p w:rsidR="00FD7E65" w:rsidRPr="000640E0" w:rsidRDefault="00371D47" w:rsidP="00130767">
            <w:pPr>
              <w:pStyle w:val="Paprastasistekstas"/>
              <w:jc w:val="both"/>
              <w:rPr>
                <w:rFonts w:ascii="Times New Roman" w:hAnsi="Times New Roman"/>
                <w:sz w:val="24"/>
                <w:szCs w:val="24"/>
              </w:rPr>
            </w:pPr>
            <w:r w:rsidRPr="000640E0">
              <w:rPr>
                <w:rFonts w:ascii="Times New Roman" w:hAnsi="Times New Roman"/>
                <w:sz w:val="24"/>
                <w:szCs w:val="24"/>
              </w:rPr>
              <w:t>A</w:t>
            </w:r>
            <w:r w:rsidR="00FD7E65" w:rsidRPr="000640E0">
              <w:rPr>
                <w:rFonts w:ascii="Times New Roman" w:hAnsi="Times New Roman"/>
                <w:sz w:val="24"/>
                <w:szCs w:val="24"/>
              </w:rPr>
              <w:t xml:space="preserve">smeniui, kuris laikotarpiu nuo vaiko paėmimo iš nesaugios aplinkos iki vaiko globos (rūpybos) nustatymo laikinai prižiūri vaiką, gali būti skiriama socialinė parama (vienkartinė, tikslinė, periodinė, sąlyginė pašalpa) Piniginės socialinės paramos nepasiturintiems gyventojams įstatymo nustatyta tvarka arba pagalbos pinigai </w:t>
            </w:r>
            <w:r w:rsidRPr="000640E0">
              <w:rPr>
                <w:rFonts w:ascii="Times New Roman" w:hAnsi="Times New Roman"/>
                <w:sz w:val="24"/>
                <w:szCs w:val="24"/>
              </w:rPr>
              <w:t>Socialinių paslaugų įstatymo nustatyta tvarka</w:t>
            </w:r>
            <w:r w:rsidR="00FD7E65" w:rsidRPr="000640E0">
              <w:rPr>
                <w:rFonts w:ascii="Times New Roman" w:hAnsi="Times New Roman"/>
                <w:sz w:val="24"/>
                <w:szCs w:val="24"/>
              </w:rPr>
              <w:t xml:space="preserve">. </w:t>
            </w:r>
          </w:p>
          <w:p w:rsidR="0090414A" w:rsidRPr="000640E0" w:rsidRDefault="00FD7E65" w:rsidP="008E1296">
            <w:pPr>
              <w:pStyle w:val="Paprastasistekstas"/>
              <w:jc w:val="both"/>
              <w:rPr>
                <w:rFonts w:ascii="Times New Roman" w:hAnsi="Times New Roman"/>
                <w:sz w:val="24"/>
                <w:szCs w:val="24"/>
              </w:rPr>
            </w:pPr>
            <w:r w:rsidRPr="000640E0">
              <w:rPr>
                <w:rFonts w:ascii="Times New Roman" w:hAnsi="Times New Roman"/>
                <w:sz w:val="24"/>
                <w:szCs w:val="24"/>
              </w:rPr>
              <w:t xml:space="preserve">Taip pat informuojame, kad Seime </w:t>
            </w:r>
            <w:r w:rsidR="00C168C9" w:rsidRPr="000640E0">
              <w:rPr>
                <w:rFonts w:ascii="Times New Roman" w:hAnsi="Times New Roman"/>
                <w:sz w:val="24"/>
                <w:szCs w:val="24"/>
              </w:rPr>
              <w:t>priimtas</w:t>
            </w:r>
            <w:r w:rsidRPr="000640E0">
              <w:rPr>
                <w:rFonts w:ascii="Times New Roman" w:hAnsi="Times New Roman"/>
                <w:sz w:val="24"/>
                <w:szCs w:val="24"/>
              </w:rPr>
              <w:t xml:space="preserve"> Lietuvos Respublikos išmokų vaikams įstatymo Nr. I-621 3, 16, 17, 19, 21 </w:t>
            </w:r>
            <w:proofErr w:type="gramStart"/>
            <w:r w:rsidRPr="000640E0">
              <w:rPr>
                <w:rFonts w:ascii="Times New Roman" w:hAnsi="Times New Roman"/>
                <w:sz w:val="24"/>
                <w:szCs w:val="24"/>
              </w:rPr>
              <w:t>straipsnių</w:t>
            </w:r>
            <w:proofErr w:type="gramEnd"/>
            <w:r w:rsidRPr="000640E0">
              <w:rPr>
                <w:rFonts w:ascii="Times New Roman" w:hAnsi="Times New Roman"/>
                <w:sz w:val="24"/>
                <w:szCs w:val="24"/>
              </w:rPr>
              <w:t>, trečiojo skyriaus pavadinimo pakeitimo ir įstatymo papildymo 12</w:t>
            </w:r>
            <w:r w:rsidRPr="00963E79">
              <w:rPr>
                <w:rFonts w:ascii="Times New Roman" w:hAnsi="Times New Roman"/>
                <w:sz w:val="24"/>
                <w:szCs w:val="24"/>
                <w:vertAlign w:val="superscript"/>
              </w:rPr>
              <w:t>1</w:t>
            </w:r>
            <w:r w:rsidR="00DA3C78" w:rsidRPr="000640E0">
              <w:rPr>
                <w:rFonts w:ascii="Times New Roman" w:hAnsi="Times New Roman"/>
                <w:sz w:val="24"/>
                <w:szCs w:val="24"/>
              </w:rPr>
              <w:t> </w:t>
            </w:r>
            <w:r w:rsidRPr="000640E0">
              <w:rPr>
                <w:rFonts w:ascii="Times New Roman" w:hAnsi="Times New Roman"/>
                <w:sz w:val="24"/>
                <w:szCs w:val="24"/>
              </w:rPr>
              <w:t>straipsniu įstatym</w:t>
            </w:r>
            <w:r w:rsidR="00963E79">
              <w:rPr>
                <w:rFonts w:ascii="Times New Roman" w:hAnsi="Times New Roman"/>
                <w:sz w:val="24"/>
                <w:szCs w:val="24"/>
              </w:rPr>
              <w:t>as Nr. XIII-2091</w:t>
            </w:r>
            <w:r w:rsidRPr="000640E0">
              <w:rPr>
                <w:rFonts w:ascii="Times New Roman" w:hAnsi="Times New Roman"/>
                <w:sz w:val="24"/>
                <w:szCs w:val="24"/>
              </w:rPr>
              <w:t>, kuriuo nuo 2020 m. sausio 1 d. įteisin</w:t>
            </w:r>
            <w:r w:rsidR="00963E79">
              <w:rPr>
                <w:rFonts w:ascii="Times New Roman" w:hAnsi="Times New Roman"/>
                <w:sz w:val="24"/>
                <w:szCs w:val="24"/>
              </w:rPr>
              <w:t xml:space="preserve">ama </w:t>
            </w:r>
            <w:r w:rsidRPr="000640E0">
              <w:rPr>
                <w:rFonts w:ascii="Times New Roman" w:hAnsi="Times New Roman"/>
                <w:sz w:val="24"/>
                <w:szCs w:val="24"/>
              </w:rPr>
              <w:t>nauj</w:t>
            </w:r>
            <w:r w:rsidR="00963E79">
              <w:rPr>
                <w:rFonts w:ascii="Times New Roman" w:hAnsi="Times New Roman"/>
                <w:sz w:val="24"/>
                <w:szCs w:val="24"/>
              </w:rPr>
              <w:t>a</w:t>
            </w:r>
            <w:r w:rsidRPr="000640E0">
              <w:rPr>
                <w:rFonts w:ascii="Times New Roman" w:hAnsi="Times New Roman"/>
                <w:sz w:val="24"/>
                <w:szCs w:val="24"/>
              </w:rPr>
              <w:t xml:space="preserve"> išmok</w:t>
            </w:r>
            <w:r w:rsidR="00963E79">
              <w:rPr>
                <w:rFonts w:ascii="Times New Roman" w:hAnsi="Times New Roman"/>
                <w:sz w:val="24"/>
                <w:szCs w:val="24"/>
              </w:rPr>
              <w:t>ų</w:t>
            </w:r>
            <w:r w:rsidRPr="000640E0">
              <w:rPr>
                <w:rFonts w:ascii="Times New Roman" w:hAnsi="Times New Roman"/>
                <w:sz w:val="24"/>
                <w:szCs w:val="24"/>
              </w:rPr>
              <w:t xml:space="preserve"> rūš</w:t>
            </w:r>
            <w:r w:rsidR="00963E79">
              <w:rPr>
                <w:rFonts w:ascii="Times New Roman" w:hAnsi="Times New Roman"/>
                <w:sz w:val="24"/>
                <w:szCs w:val="24"/>
              </w:rPr>
              <w:t>is</w:t>
            </w:r>
            <w:r w:rsidRPr="000640E0">
              <w:rPr>
                <w:rFonts w:ascii="Times New Roman" w:hAnsi="Times New Roman"/>
                <w:sz w:val="24"/>
                <w:szCs w:val="24"/>
              </w:rPr>
              <w:t xml:space="preserve"> – vaiko laikinosios priežiūros išmok</w:t>
            </w:r>
            <w:r w:rsidR="00963E79">
              <w:rPr>
                <w:rFonts w:ascii="Times New Roman" w:hAnsi="Times New Roman"/>
                <w:sz w:val="24"/>
                <w:szCs w:val="24"/>
              </w:rPr>
              <w:t>a</w:t>
            </w:r>
            <w:r w:rsidRPr="000640E0">
              <w:rPr>
                <w:rFonts w:ascii="Times New Roman" w:hAnsi="Times New Roman"/>
                <w:sz w:val="24"/>
                <w:szCs w:val="24"/>
              </w:rPr>
              <w:t xml:space="preserve"> (6 </w:t>
            </w:r>
            <w:r w:rsidR="0047183C">
              <w:rPr>
                <w:rFonts w:ascii="Times New Roman" w:hAnsi="Times New Roman"/>
                <w:sz w:val="24"/>
                <w:szCs w:val="24"/>
              </w:rPr>
              <w:t>bazinių socialinių išmokų</w:t>
            </w:r>
            <w:r w:rsidRPr="000640E0">
              <w:rPr>
                <w:rFonts w:ascii="Times New Roman" w:hAnsi="Times New Roman"/>
                <w:sz w:val="24"/>
                <w:szCs w:val="24"/>
              </w:rPr>
              <w:t xml:space="preserve"> dydžio (228 </w:t>
            </w:r>
            <w:r w:rsidR="00582ED2" w:rsidRPr="000640E0">
              <w:rPr>
                <w:rFonts w:ascii="Times New Roman" w:hAnsi="Times New Roman"/>
                <w:sz w:val="24"/>
                <w:szCs w:val="24"/>
              </w:rPr>
              <w:t>EUR</w:t>
            </w:r>
            <w:r w:rsidRPr="000640E0">
              <w:rPr>
                <w:rFonts w:ascii="Times New Roman" w:hAnsi="Times New Roman"/>
                <w:sz w:val="24"/>
                <w:szCs w:val="24"/>
              </w:rPr>
              <w:t>) per mėnesį), kuri b</w:t>
            </w:r>
            <w:r w:rsidR="00963E79">
              <w:rPr>
                <w:rFonts w:ascii="Times New Roman" w:hAnsi="Times New Roman"/>
                <w:sz w:val="24"/>
                <w:szCs w:val="24"/>
              </w:rPr>
              <w:t>us</w:t>
            </w:r>
            <w:r w:rsidRPr="000640E0">
              <w:rPr>
                <w:rFonts w:ascii="Times New Roman" w:hAnsi="Times New Roman"/>
                <w:sz w:val="24"/>
                <w:szCs w:val="24"/>
              </w:rPr>
              <w:t xml:space="preserve"> mokama Lietuvos Respublikos vaiko teisių apsaugos pagrindų įstatymo nustatyta tvarka nustačius apsaugos vaikui poreikį, vaiko laikinosios priežiūros pas fizinius asmenis ar laikino apgyvendinimo pas fizinius asmenis metu vaiką laikinai prižiūrinčiam asmeniui už kiekvieną laikinai prižiūrimą vaiką, jos dydį apskaičiuojant vaiko laikinosios priežiūros atveju – nuo ketvirtos vaiko laikinosios priežiūros dienos, vaiką laikinai apgyvendinus pas fizinius asmenis – nuo pirmos vaiko laikino apgyvendinimo dienos. </w:t>
            </w:r>
            <w:r w:rsidR="008E1296">
              <w:rPr>
                <w:rFonts w:ascii="Times New Roman" w:hAnsi="Times New Roman"/>
                <w:sz w:val="24"/>
                <w:szCs w:val="24"/>
              </w:rPr>
              <w:t xml:space="preserve">Įsigaliojus </w:t>
            </w:r>
            <w:r w:rsidR="00371D47" w:rsidRPr="000640E0">
              <w:rPr>
                <w:rFonts w:ascii="Times New Roman" w:hAnsi="Times New Roman"/>
                <w:sz w:val="24"/>
                <w:szCs w:val="24"/>
              </w:rPr>
              <w:t>įstatym</w:t>
            </w:r>
            <w:r w:rsidR="008E1296">
              <w:rPr>
                <w:rFonts w:ascii="Times New Roman" w:hAnsi="Times New Roman"/>
                <w:sz w:val="24"/>
                <w:szCs w:val="24"/>
              </w:rPr>
              <w:t>ui</w:t>
            </w:r>
            <w:r w:rsidR="00371D47" w:rsidRPr="000640E0">
              <w:rPr>
                <w:rFonts w:ascii="Times New Roman" w:hAnsi="Times New Roman"/>
                <w:sz w:val="24"/>
                <w:szCs w:val="24"/>
              </w:rPr>
              <w:t xml:space="preserve">, </w:t>
            </w:r>
            <w:r w:rsidRPr="000640E0">
              <w:rPr>
                <w:rFonts w:ascii="Times New Roman" w:hAnsi="Times New Roman"/>
                <w:sz w:val="24"/>
                <w:szCs w:val="24"/>
              </w:rPr>
              <w:t>laikotarpiu nuo vaiko paėmimo iš jo atstovų pagal įstatymą iki vaiko globos (rūpybos) nustatymo arba kito globėjo (rūpintojo) paskyrimo dienos</w:t>
            </w:r>
            <w:r w:rsidR="0023745A" w:rsidRPr="001540E9">
              <w:rPr>
                <w:rFonts w:ascii="Times New Roman" w:hAnsi="Times New Roman"/>
                <w:sz w:val="24"/>
                <w:szCs w:val="24"/>
              </w:rPr>
              <w:t>,</w:t>
            </w:r>
            <w:r w:rsidRPr="000640E0">
              <w:rPr>
                <w:rFonts w:ascii="Times New Roman" w:hAnsi="Times New Roman"/>
                <w:sz w:val="24"/>
                <w:szCs w:val="24"/>
              </w:rPr>
              <w:t xml:space="preserve"> vaiką laikinai apgyvendinus pas fizinius asmenis, vaiką prižiūrinčiam asmeniui </w:t>
            </w:r>
            <w:r w:rsidR="008E1296">
              <w:rPr>
                <w:rFonts w:ascii="Times New Roman" w:hAnsi="Times New Roman"/>
                <w:sz w:val="24"/>
                <w:szCs w:val="24"/>
              </w:rPr>
              <w:t>bus</w:t>
            </w:r>
            <w:r w:rsidRPr="000640E0">
              <w:rPr>
                <w:rFonts w:ascii="Times New Roman" w:hAnsi="Times New Roman"/>
                <w:sz w:val="24"/>
                <w:szCs w:val="24"/>
              </w:rPr>
              <w:t xml:space="preserve"> skiriama vaiko laikinosios priežiūros išmoka</w:t>
            </w:r>
            <w:r w:rsidR="00FE686D" w:rsidRPr="000640E0">
              <w:rPr>
                <w:rFonts w:ascii="Times New Roman" w:hAnsi="Times New Roman"/>
                <w:sz w:val="24"/>
                <w:szCs w:val="24"/>
              </w:rPr>
              <w:t>.</w:t>
            </w:r>
          </w:p>
        </w:tc>
      </w:tr>
    </w:tbl>
    <w:p w:rsidR="00E32932" w:rsidRDefault="00E32932" w:rsidP="006D51A7"/>
    <w:p w:rsidR="00C168C9" w:rsidRDefault="00C168C9" w:rsidP="00C168C9">
      <w:pPr>
        <w:jc w:val="center"/>
      </w:pPr>
    </w:p>
    <w:p w:rsidR="006D51A7" w:rsidRDefault="00C168C9" w:rsidP="00C168C9">
      <w:pPr>
        <w:jc w:val="center"/>
      </w:pPr>
      <w:r>
        <w:t>______________________________</w:t>
      </w:r>
    </w:p>
    <w:sectPr w:rsidR="006D51A7" w:rsidSect="00C673A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276"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61" w:rsidRDefault="00353761" w:rsidP="002E4284">
      <w:r>
        <w:separator/>
      </w:r>
    </w:p>
  </w:endnote>
  <w:endnote w:type="continuationSeparator" w:id="0">
    <w:p w:rsidR="00353761" w:rsidRDefault="00353761"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61" w:rsidRDefault="00353761" w:rsidP="002E4284">
      <w:r>
        <w:separator/>
      </w:r>
    </w:p>
  </w:footnote>
  <w:footnote w:type="continuationSeparator" w:id="0">
    <w:p w:rsidR="00353761" w:rsidRDefault="00353761"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A7" w:rsidRDefault="00B376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5520"/>
      <w:docPartObj>
        <w:docPartGallery w:val="Page Numbers (Top of Page)"/>
        <w:docPartUnique/>
      </w:docPartObj>
    </w:sdtPr>
    <w:sdtEndPr/>
    <w:sdtContent>
      <w:p w:rsidR="00C673AD" w:rsidRDefault="00C673AD">
        <w:pPr>
          <w:pStyle w:val="Antrats"/>
          <w:jc w:val="center"/>
        </w:pPr>
        <w:r>
          <w:fldChar w:fldCharType="begin"/>
        </w:r>
        <w:r>
          <w:instrText>PAGE   \* MERGEFORMAT</w:instrText>
        </w:r>
        <w:r>
          <w:fldChar w:fldCharType="separate"/>
        </w:r>
        <w:r w:rsidR="0092734A">
          <w:rPr>
            <w:noProof/>
          </w:rPr>
          <w:t>2</w:t>
        </w:r>
        <w:r>
          <w:fldChar w:fldCharType="end"/>
        </w:r>
      </w:p>
    </w:sdtContent>
  </w:sdt>
  <w:p w:rsidR="00C673AD" w:rsidRDefault="00C673A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68" w:rsidRDefault="00EE4168">
    <w:pPr>
      <w:pStyle w:val="Antrats"/>
      <w:jc w:val="center"/>
    </w:pPr>
  </w:p>
  <w:p w:rsidR="005D7E57" w:rsidRDefault="005D7E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5E0B"/>
    <w:multiLevelType w:val="hybridMultilevel"/>
    <w:tmpl w:val="01929D08"/>
    <w:lvl w:ilvl="0" w:tplc="2F08D5B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1">
    <w:nsid w:val="421D04E2"/>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5784EA2"/>
    <w:multiLevelType w:val="hybridMultilevel"/>
    <w:tmpl w:val="64D0DB96"/>
    <w:lvl w:ilvl="0" w:tplc="AC2C8C1A">
      <w:start w:val="1"/>
      <w:numFmt w:val="decimal"/>
      <w:lvlText w:val="%1."/>
      <w:lvlJc w:val="left"/>
      <w:pPr>
        <w:ind w:left="687" w:hanging="360"/>
      </w:pPr>
      <w:rPr>
        <w:rFonts w:hint="default"/>
      </w:rPr>
    </w:lvl>
    <w:lvl w:ilvl="1" w:tplc="04270019" w:tentative="1">
      <w:start w:val="1"/>
      <w:numFmt w:val="lowerLetter"/>
      <w:lvlText w:val="%2."/>
      <w:lvlJc w:val="left"/>
      <w:pPr>
        <w:ind w:left="1407" w:hanging="360"/>
      </w:pPr>
    </w:lvl>
    <w:lvl w:ilvl="2" w:tplc="0427001B" w:tentative="1">
      <w:start w:val="1"/>
      <w:numFmt w:val="lowerRoman"/>
      <w:lvlText w:val="%3."/>
      <w:lvlJc w:val="right"/>
      <w:pPr>
        <w:ind w:left="2127" w:hanging="180"/>
      </w:pPr>
    </w:lvl>
    <w:lvl w:ilvl="3" w:tplc="0427000F" w:tentative="1">
      <w:start w:val="1"/>
      <w:numFmt w:val="decimal"/>
      <w:lvlText w:val="%4."/>
      <w:lvlJc w:val="left"/>
      <w:pPr>
        <w:ind w:left="2847" w:hanging="360"/>
      </w:pPr>
    </w:lvl>
    <w:lvl w:ilvl="4" w:tplc="04270019" w:tentative="1">
      <w:start w:val="1"/>
      <w:numFmt w:val="lowerLetter"/>
      <w:lvlText w:val="%5."/>
      <w:lvlJc w:val="left"/>
      <w:pPr>
        <w:ind w:left="3567" w:hanging="360"/>
      </w:pPr>
    </w:lvl>
    <w:lvl w:ilvl="5" w:tplc="0427001B" w:tentative="1">
      <w:start w:val="1"/>
      <w:numFmt w:val="lowerRoman"/>
      <w:lvlText w:val="%6."/>
      <w:lvlJc w:val="right"/>
      <w:pPr>
        <w:ind w:left="4287" w:hanging="180"/>
      </w:pPr>
    </w:lvl>
    <w:lvl w:ilvl="6" w:tplc="0427000F" w:tentative="1">
      <w:start w:val="1"/>
      <w:numFmt w:val="decimal"/>
      <w:lvlText w:val="%7."/>
      <w:lvlJc w:val="left"/>
      <w:pPr>
        <w:ind w:left="5007" w:hanging="360"/>
      </w:pPr>
    </w:lvl>
    <w:lvl w:ilvl="7" w:tplc="04270019" w:tentative="1">
      <w:start w:val="1"/>
      <w:numFmt w:val="lowerLetter"/>
      <w:lvlText w:val="%8."/>
      <w:lvlJc w:val="left"/>
      <w:pPr>
        <w:ind w:left="5727" w:hanging="360"/>
      </w:pPr>
    </w:lvl>
    <w:lvl w:ilvl="8" w:tplc="0427001B" w:tentative="1">
      <w:start w:val="1"/>
      <w:numFmt w:val="lowerRoman"/>
      <w:lvlText w:val="%9."/>
      <w:lvlJc w:val="right"/>
      <w:pPr>
        <w:ind w:left="6447" w:hanging="180"/>
      </w:pPr>
    </w:lvl>
  </w:abstractNum>
  <w:abstractNum w:abstractNumId="3">
    <w:nsid w:val="66CB3E09"/>
    <w:multiLevelType w:val="hybridMultilevel"/>
    <w:tmpl w:val="F9A25FC0"/>
    <w:lvl w:ilvl="0" w:tplc="3976D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D"/>
    <w:rsid w:val="00007CC3"/>
    <w:rsid w:val="0001488E"/>
    <w:rsid w:val="00017714"/>
    <w:rsid w:val="0001781A"/>
    <w:rsid w:val="00025712"/>
    <w:rsid w:val="00042BE3"/>
    <w:rsid w:val="000567ED"/>
    <w:rsid w:val="00061D8A"/>
    <w:rsid w:val="000640E0"/>
    <w:rsid w:val="00066404"/>
    <w:rsid w:val="00066F54"/>
    <w:rsid w:val="00067939"/>
    <w:rsid w:val="000A6AB0"/>
    <w:rsid w:val="000B3417"/>
    <w:rsid w:val="000C2121"/>
    <w:rsid w:val="000C3F6F"/>
    <w:rsid w:val="000D57C5"/>
    <w:rsid w:val="000E3914"/>
    <w:rsid w:val="000F0C3E"/>
    <w:rsid w:val="000F1CB6"/>
    <w:rsid w:val="00116ABC"/>
    <w:rsid w:val="00122D9A"/>
    <w:rsid w:val="00130767"/>
    <w:rsid w:val="0013162A"/>
    <w:rsid w:val="00131C3F"/>
    <w:rsid w:val="001351C8"/>
    <w:rsid w:val="001403CB"/>
    <w:rsid w:val="00141EA8"/>
    <w:rsid w:val="001456F4"/>
    <w:rsid w:val="001540E9"/>
    <w:rsid w:val="0016230F"/>
    <w:rsid w:val="00175039"/>
    <w:rsid w:val="001808B1"/>
    <w:rsid w:val="00182EAA"/>
    <w:rsid w:val="00184ECF"/>
    <w:rsid w:val="00192C65"/>
    <w:rsid w:val="00194ED2"/>
    <w:rsid w:val="001B09DD"/>
    <w:rsid w:val="001B4310"/>
    <w:rsid w:val="001B5608"/>
    <w:rsid w:val="001C2ADF"/>
    <w:rsid w:val="001D0EEE"/>
    <w:rsid w:val="001E1CEA"/>
    <w:rsid w:val="001E53DF"/>
    <w:rsid w:val="001E7EB7"/>
    <w:rsid w:val="001F7245"/>
    <w:rsid w:val="00207526"/>
    <w:rsid w:val="00207EA3"/>
    <w:rsid w:val="00214EE8"/>
    <w:rsid w:val="00222849"/>
    <w:rsid w:val="00230695"/>
    <w:rsid w:val="00236B27"/>
    <w:rsid w:val="0023745A"/>
    <w:rsid w:val="002555D7"/>
    <w:rsid w:val="0027058E"/>
    <w:rsid w:val="0027189B"/>
    <w:rsid w:val="002729D7"/>
    <w:rsid w:val="002779E6"/>
    <w:rsid w:val="00284B70"/>
    <w:rsid w:val="00290171"/>
    <w:rsid w:val="002A4026"/>
    <w:rsid w:val="002A4B27"/>
    <w:rsid w:val="002A722E"/>
    <w:rsid w:val="002B022F"/>
    <w:rsid w:val="002C1EF9"/>
    <w:rsid w:val="002C2FB1"/>
    <w:rsid w:val="002D1487"/>
    <w:rsid w:val="002E4284"/>
    <w:rsid w:val="002E439B"/>
    <w:rsid w:val="002F6FC9"/>
    <w:rsid w:val="00310866"/>
    <w:rsid w:val="00311FDD"/>
    <w:rsid w:val="003121CD"/>
    <w:rsid w:val="00320CF8"/>
    <w:rsid w:val="00322803"/>
    <w:rsid w:val="00334586"/>
    <w:rsid w:val="003417BF"/>
    <w:rsid w:val="00343CF5"/>
    <w:rsid w:val="00347314"/>
    <w:rsid w:val="00353761"/>
    <w:rsid w:val="003547E6"/>
    <w:rsid w:val="00354E0E"/>
    <w:rsid w:val="003666D5"/>
    <w:rsid w:val="00371D47"/>
    <w:rsid w:val="00383FD9"/>
    <w:rsid w:val="00384D4C"/>
    <w:rsid w:val="00386C65"/>
    <w:rsid w:val="00392DE3"/>
    <w:rsid w:val="003A47E5"/>
    <w:rsid w:val="003A5E4C"/>
    <w:rsid w:val="003B0041"/>
    <w:rsid w:val="003B26D5"/>
    <w:rsid w:val="003B3155"/>
    <w:rsid w:val="003B41D7"/>
    <w:rsid w:val="003B49E2"/>
    <w:rsid w:val="003C3CDD"/>
    <w:rsid w:val="003E1A2B"/>
    <w:rsid w:val="003F412F"/>
    <w:rsid w:val="00402818"/>
    <w:rsid w:val="00405929"/>
    <w:rsid w:val="004062B4"/>
    <w:rsid w:val="004068FF"/>
    <w:rsid w:val="00426150"/>
    <w:rsid w:val="004310C4"/>
    <w:rsid w:val="00446D76"/>
    <w:rsid w:val="0047183C"/>
    <w:rsid w:val="00477D42"/>
    <w:rsid w:val="00486C5A"/>
    <w:rsid w:val="00491F87"/>
    <w:rsid w:val="00494551"/>
    <w:rsid w:val="00495DEE"/>
    <w:rsid w:val="004A7577"/>
    <w:rsid w:val="004B08BA"/>
    <w:rsid w:val="004C0399"/>
    <w:rsid w:val="004D075E"/>
    <w:rsid w:val="004D24A0"/>
    <w:rsid w:val="004E2910"/>
    <w:rsid w:val="004E3543"/>
    <w:rsid w:val="004F3B67"/>
    <w:rsid w:val="00505AB3"/>
    <w:rsid w:val="00507E1A"/>
    <w:rsid w:val="00510EC3"/>
    <w:rsid w:val="00522CD0"/>
    <w:rsid w:val="00523DB5"/>
    <w:rsid w:val="0052461F"/>
    <w:rsid w:val="00524E58"/>
    <w:rsid w:val="00531DCF"/>
    <w:rsid w:val="00540253"/>
    <w:rsid w:val="0054213C"/>
    <w:rsid w:val="00543E48"/>
    <w:rsid w:val="005475BA"/>
    <w:rsid w:val="00551F5F"/>
    <w:rsid w:val="00552324"/>
    <w:rsid w:val="00552529"/>
    <w:rsid w:val="0055430C"/>
    <w:rsid w:val="00561A53"/>
    <w:rsid w:val="00561BEA"/>
    <w:rsid w:val="00563C99"/>
    <w:rsid w:val="00565265"/>
    <w:rsid w:val="00565C10"/>
    <w:rsid w:val="0056785F"/>
    <w:rsid w:val="00570274"/>
    <w:rsid w:val="00575632"/>
    <w:rsid w:val="00580F6A"/>
    <w:rsid w:val="00582ED2"/>
    <w:rsid w:val="005859F6"/>
    <w:rsid w:val="00587A3F"/>
    <w:rsid w:val="00592590"/>
    <w:rsid w:val="005964B3"/>
    <w:rsid w:val="005A437F"/>
    <w:rsid w:val="005A4A9D"/>
    <w:rsid w:val="005D2DC7"/>
    <w:rsid w:val="005D3678"/>
    <w:rsid w:val="005D7E57"/>
    <w:rsid w:val="005E25AE"/>
    <w:rsid w:val="005E6F31"/>
    <w:rsid w:val="005F0F8E"/>
    <w:rsid w:val="0060441F"/>
    <w:rsid w:val="00604764"/>
    <w:rsid w:val="0060530D"/>
    <w:rsid w:val="006067CB"/>
    <w:rsid w:val="006071BD"/>
    <w:rsid w:val="00607324"/>
    <w:rsid w:val="00611E8C"/>
    <w:rsid w:val="00624621"/>
    <w:rsid w:val="00650E75"/>
    <w:rsid w:val="006555B8"/>
    <w:rsid w:val="006663D5"/>
    <w:rsid w:val="00667D6E"/>
    <w:rsid w:val="00675D56"/>
    <w:rsid w:val="006800A4"/>
    <w:rsid w:val="00681A67"/>
    <w:rsid w:val="00682582"/>
    <w:rsid w:val="00685402"/>
    <w:rsid w:val="006A0EEB"/>
    <w:rsid w:val="006A3B43"/>
    <w:rsid w:val="006B1176"/>
    <w:rsid w:val="006D0612"/>
    <w:rsid w:val="006D47D3"/>
    <w:rsid w:val="006D51A7"/>
    <w:rsid w:val="006E5887"/>
    <w:rsid w:val="006E589F"/>
    <w:rsid w:val="006F4ADC"/>
    <w:rsid w:val="00723582"/>
    <w:rsid w:val="00727912"/>
    <w:rsid w:val="00727EE6"/>
    <w:rsid w:val="00727F6A"/>
    <w:rsid w:val="007321BB"/>
    <w:rsid w:val="00735B9E"/>
    <w:rsid w:val="007518C3"/>
    <w:rsid w:val="00756642"/>
    <w:rsid w:val="00761ABB"/>
    <w:rsid w:val="00762992"/>
    <w:rsid w:val="00771351"/>
    <w:rsid w:val="00774021"/>
    <w:rsid w:val="007770C4"/>
    <w:rsid w:val="007800C2"/>
    <w:rsid w:val="00780ADA"/>
    <w:rsid w:val="007955F6"/>
    <w:rsid w:val="007C17DE"/>
    <w:rsid w:val="007C6C76"/>
    <w:rsid w:val="007D4521"/>
    <w:rsid w:val="007E2C24"/>
    <w:rsid w:val="0080768C"/>
    <w:rsid w:val="00826A76"/>
    <w:rsid w:val="00827645"/>
    <w:rsid w:val="00832C62"/>
    <w:rsid w:val="008364ED"/>
    <w:rsid w:val="0084447C"/>
    <w:rsid w:val="00851C51"/>
    <w:rsid w:val="008523D4"/>
    <w:rsid w:val="00853677"/>
    <w:rsid w:val="00874615"/>
    <w:rsid w:val="00883962"/>
    <w:rsid w:val="00893D98"/>
    <w:rsid w:val="008A09B7"/>
    <w:rsid w:val="008A6F9F"/>
    <w:rsid w:val="008B4D33"/>
    <w:rsid w:val="008C3FA3"/>
    <w:rsid w:val="008C761D"/>
    <w:rsid w:val="008D4ABB"/>
    <w:rsid w:val="008D553E"/>
    <w:rsid w:val="008E1296"/>
    <w:rsid w:val="008F1CE7"/>
    <w:rsid w:val="008F23CA"/>
    <w:rsid w:val="008F7F84"/>
    <w:rsid w:val="00900CCF"/>
    <w:rsid w:val="0090380D"/>
    <w:rsid w:val="0090414A"/>
    <w:rsid w:val="00905635"/>
    <w:rsid w:val="00917C74"/>
    <w:rsid w:val="009220A1"/>
    <w:rsid w:val="00922E9A"/>
    <w:rsid w:val="009255B6"/>
    <w:rsid w:val="0092734A"/>
    <w:rsid w:val="009360C6"/>
    <w:rsid w:val="00946B3B"/>
    <w:rsid w:val="0094761A"/>
    <w:rsid w:val="00954350"/>
    <w:rsid w:val="00954C74"/>
    <w:rsid w:val="00963E79"/>
    <w:rsid w:val="009761EB"/>
    <w:rsid w:val="0098298A"/>
    <w:rsid w:val="00983719"/>
    <w:rsid w:val="00987E20"/>
    <w:rsid w:val="009A2272"/>
    <w:rsid w:val="009A37A1"/>
    <w:rsid w:val="009B08CE"/>
    <w:rsid w:val="009B2908"/>
    <w:rsid w:val="009B38D0"/>
    <w:rsid w:val="009C4305"/>
    <w:rsid w:val="009C6ED4"/>
    <w:rsid w:val="009D09C0"/>
    <w:rsid w:val="009D3698"/>
    <w:rsid w:val="009D7330"/>
    <w:rsid w:val="009F11B7"/>
    <w:rsid w:val="009F46E3"/>
    <w:rsid w:val="009F6723"/>
    <w:rsid w:val="009F74B1"/>
    <w:rsid w:val="00A02DDA"/>
    <w:rsid w:val="00A335F5"/>
    <w:rsid w:val="00A3548B"/>
    <w:rsid w:val="00A402DF"/>
    <w:rsid w:val="00A40498"/>
    <w:rsid w:val="00A41DEA"/>
    <w:rsid w:val="00A47D5F"/>
    <w:rsid w:val="00A5170F"/>
    <w:rsid w:val="00A72FF2"/>
    <w:rsid w:val="00A81F69"/>
    <w:rsid w:val="00A833F1"/>
    <w:rsid w:val="00A85F8D"/>
    <w:rsid w:val="00A86A8E"/>
    <w:rsid w:val="00A95617"/>
    <w:rsid w:val="00AA7EBB"/>
    <w:rsid w:val="00AB7D8E"/>
    <w:rsid w:val="00AE1777"/>
    <w:rsid w:val="00AE478C"/>
    <w:rsid w:val="00AE4E72"/>
    <w:rsid w:val="00B04DD4"/>
    <w:rsid w:val="00B17239"/>
    <w:rsid w:val="00B2090F"/>
    <w:rsid w:val="00B376A7"/>
    <w:rsid w:val="00B46C37"/>
    <w:rsid w:val="00B47B6E"/>
    <w:rsid w:val="00B81ED0"/>
    <w:rsid w:val="00B876E8"/>
    <w:rsid w:val="00B92855"/>
    <w:rsid w:val="00B92BD7"/>
    <w:rsid w:val="00BB139E"/>
    <w:rsid w:val="00BF2B00"/>
    <w:rsid w:val="00C013CE"/>
    <w:rsid w:val="00C05080"/>
    <w:rsid w:val="00C108BD"/>
    <w:rsid w:val="00C168C9"/>
    <w:rsid w:val="00C20355"/>
    <w:rsid w:val="00C34024"/>
    <w:rsid w:val="00C35089"/>
    <w:rsid w:val="00C656EA"/>
    <w:rsid w:val="00C673AD"/>
    <w:rsid w:val="00C71834"/>
    <w:rsid w:val="00C74FA6"/>
    <w:rsid w:val="00C928DB"/>
    <w:rsid w:val="00C93EDA"/>
    <w:rsid w:val="00C950A8"/>
    <w:rsid w:val="00CB48E5"/>
    <w:rsid w:val="00CD3B03"/>
    <w:rsid w:val="00CE673C"/>
    <w:rsid w:val="00D00921"/>
    <w:rsid w:val="00D06A3F"/>
    <w:rsid w:val="00D104E2"/>
    <w:rsid w:val="00D151AE"/>
    <w:rsid w:val="00D2348A"/>
    <w:rsid w:val="00D35BB5"/>
    <w:rsid w:val="00D428BE"/>
    <w:rsid w:val="00D42FDE"/>
    <w:rsid w:val="00D536DF"/>
    <w:rsid w:val="00D60CFD"/>
    <w:rsid w:val="00D67A56"/>
    <w:rsid w:val="00D7311D"/>
    <w:rsid w:val="00DA2CC1"/>
    <w:rsid w:val="00DA3C78"/>
    <w:rsid w:val="00DA4B92"/>
    <w:rsid w:val="00DB3C01"/>
    <w:rsid w:val="00DD00AF"/>
    <w:rsid w:val="00DD3560"/>
    <w:rsid w:val="00DD5D7E"/>
    <w:rsid w:val="00DD79D3"/>
    <w:rsid w:val="00DE124B"/>
    <w:rsid w:val="00DE5303"/>
    <w:rsid w:val="00DF40F7"/>
    <w:rsid w:val="00DF41EB"/>
    <w:rsid w:val="00DF7773"/>
    <w:rsid w:val="00E117D2"/>
    <w:rsid w:val="00E12C7E"/>
    <w:rsid w:val="00E14D50"/>
    <w:rsid w:val="00E15EAA"/>
    <w:rsid w:val="00E24117"/>
    <w:rsid w:val="00E26630"/>
    <w:rsid w:val="00E316E2"/>
    <w:rsid w:val="00E32932"/>
    <w:rsid w:val="00E47680"/>
    <w:rsid w:val="00E531E8"/>
    <w:rsid w:val="00E64EA4"/>
    <w:rsid w:val="00E654FF"/>
    <w:rsid w:val="00E73214"/>
    <w:rsid w:val="00E8108A"/>
    <w:rsid w:val="00E827F3"/>
    <w:rsid w:val="00E91BE9"/>
    <w:rsid w:val="00E96079"/>
    <w:rsid w:val="00E96A51"/>
    <w:rsid w:val="00EA3879"/>
    <w:rsid w:val="00EA4B34"/>
    <w:rsid w:val="00EB0182"/>
    <w:rsid w:val="00EB33EE"/>
    <w:rsid w:val="00EB348D"/>
    <w:rsid w:val="00EC6A37"/>
    <w:rsid w:val="00EE4168"/>
    <w:rsid w:val="00EF3F36"/>
    <w:rsid w:val="00F13B76"/>
    <w:rsid w:val="00F25BF0"/>
    <w:rsid w:val="00F30BB2"/>
    <w:rsid w:val="00F310EB"/>
    <w:rsid w:val="00F34EE1"/>
    <w:rsid w:val="00F3749A"/>
    <w:rsid w:val="00F44F78"/>
    <w:rsid w:val="00F63183"/>
    <w:rsid w:val="00F65620"/>
    <w:rsid w:val="00F656B3"/>
    <w:rsid w:val="00F65D5D"/>
    <w:rsid w:val="00F70D28"/>
    <w:rsid w:val="00F71C46"/>
    <w:rsid w:val="00F7305F"/>
    <w:rsid w:val="00F839E2"/>
    <w:rsid w:val="00F85418"/>
    <w:rsid w:val="00F85811"/>
    <w:rsid w:val="00F922AA"/>
    <w:rsid w:val="00F933DA"/>
    <w:rsid w:val="00F93FC7"/>
    <w:rsid w:val="00F94683"/>
    <w:rsid w:val="00F94ECB"/>
    <w:rsid w:val="00FB24CC"/>
    <w:rsid w:val="00FC4CE6"/>
    <w:rsid w:val="00FC4F1F"/>
    <w:rsid w:val="00FD7E65"/>
    <w:rsid w:val="00FE686D"/>
    <w:rsid w:val="00FE6B2C"/>
    <w:rsid w:val="00FE6B80"/>
    <w:rsid w:val="00FF7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6810">
      <w:bodyDiv w:val="1"/>
      <w:marLeft w:val="0"/>
      <w:marRight w:val="0"/>
      <w:marTop w:val="0"/>
      <w:marBottom w:val="0"/>
      <w:divBdr>
        <w:top w:val="none" w:sz="0" w:space="0" w:color="auto"/>
        <w:left w:val="none" w:sz="0" w:space="0" w:color="auto"/>
        <w:bottom w:val="none" w:sz="0" w:space="0" w:color="auto"/>
        <w:right w:val="none" w:sz="0" w:space="0" w:color="auto"/>
      </w:divBdr>
    </w:div>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 w:id="18342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C290-3444-4B37-A50F-224596C8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5610</Words>
  <Characters>3199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2019-05-23T08:01:00Z</dcterms:created>
  <dcterms:modified xsi:type="dcterms:W3CDTF">2019-05-23T08:01:00Z</dcterms:modified>
  <cp:revision>1</cp:revision>
</cp:coreProperties>
</file>