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DF88A" w14:textId="77777777" w:rsidR="008C72CE" w:rsidRDefault="008C72CE" w:rsidP="008C72CE">
      <w:pPr>
        <w:pStyle w:val="Betarp"/>
        <w:jc w:val="center"/>
        <w:rPr>
          <w:rFonts w:ascii="Times New Roman" w:hAnsi="Times New Roman" w:cs="Times New Roman"/>
          <w:bCs/>
          <w:sz w:val="24"/>
          <w:szCs w:val="24"/>
        </w:rPr>
      </w:pPr>
    </w:p>
    <w:p w14:paraId="635A3D7A" w14:textId="26E62353" w:rsidR="00665E63" w:rsidRPr="008237BD" w:rsidRDefault="002A3DE2" w:rsidP="008C72CE">
      <w:pPr>
        <w:pStyle w:val="Betarp"/>
        <w:jc w:val="center"/>
        <w:rPr>
          <w:rFonts w:ascii="Times New Roman" w:hAnsi="Times New Roman" w:cs="Times New Roman"/>
          <w:b/>
          <w:sz w:val="24"/>
          <w:szCs w:val="24"/>
        </w:rPr>
      </w:pPr>
      <w:r w:rsidRPr="008237BD">
        <w:rPr>
          <w:rFonts w:ascii="Times New Roman" w:hAnsi="Times New Roman" w:cs="Times New Roman"/>
          <w:b/>
          <w:sz w:val="24"/>
          <w:szCs w:val="24"/>
        </w:rPr>
        <w:t xml:space="preserve">Lietuvos Respublikos </w:t>
      </w:r>
      <w:r w:rsidR="00665E63" w:rsidRPr="008237BD">
        <w:rPr>
          <w:rFonts w:ascii="Times New Roman" w:hAnsi="Times New Roman" w:cs="Times New Roman"/>
          <w:b/>
          <w:sz w:val="24"/>
          <w:szCs w:val="24"/>
        </w:rPr>
        <w:t>V</w:t>
      </w:r>
      <w:r w:rsidRPr="008237BD">
        <w:rPr>
          <w:rFonts w:ascii="Times New Roman" w:hAnsi="Times New Roman" w:cs="Times New Roman"/>
          <w:b/>
          <w:sz w:val="24"/>
          <w:szCs w:val="24"/>
        </w:rPr>
        <w:t>yriausybės nutarim</w:t>
      </w:r>
      <w:r w:rsidR="00665E63" w:rsidRPr="008237BD">
        <w:rPr>
          <w:rFonts w:ascii="Times New Roman" w:hAnsi="Times New Roman" w:cs="Times New Roman"/>
          <w:b/>
          <w:sz w:val="24"/>
          <w:szCs w:val="24"/>
        </w:rPr>
        <w:t>o „D</w:t>
      </w:r>
      <w:r w:rsidRPr="008237BD">
        <w:rPr>
          <w:rFonts w:ascii="Times New Roman" w:hAnsi="Times New Roman" w:cs="Times New Roman"/>
          <w:b/>
          <w:sz w:val="24"/>
          <w:szCs w:val="24"/>
        </w:rPr>
        <w:t xml:space="preserve">ėl lėšų, </w:t>
      </w:r>
      <w:r w:rsidR="000D1942">
        <w:rPr>
          <w:rFonts w:ascii="Times New Roman" w:hAnsi="Times New Roman" w:cs="Times New Roman"/>
          <w:b/>
          <w:sz w:val="24"/>
          <w:szCs w:val="24"/>
        </w:rPr>
        <w:t>gaunamų</w:t>
      </w:r>
      <w:r w:rsidRPr="008237BD">
        <w:rPr>
          <w:rFonts w:ascii="Times New Roman" w:hAnsi="Times New Roman" w:cs="Times New Roman"/>
          <w:b/>
          <w:sz w:val="24"/>
          <w:szCs w:val="24"/>
        </w:rPr>
        <w:t xml:space="preserve"> pagal 2017 m. birželio 14 d. </w:t>
      </w:r>
      <w:r w:rsidR="00665E63" w:rsidRPr="008237BD">
        <w:rPr>
          <w:rFonts w:ascii="Times New Roman" w:hAnsi="Times New Roman" w:cs="Times New Roman"/>
          <w:b/>
          <w:sz w:val="24"/>
          <w:szCs w:val="24"/>
        </w:rPr>
        <w:t>E</w:t>
      </w:r>
      <w:r w:rsidRPr="008237BD">
        <w:rPr>
          <w:rFonts w:ascii="Times New Roman" w:hAnsi="Times New Roman" w:cs="Times New Roman"/>
          <w:b/>
          <w:sz w:val="24"/>
          <w:szCs w:val="24"/>
        </w:rPr>
        <w:t xml:space="preserve">uropos </w:t>
      </w:r>
      <w:r w:rsidR="004F0A14" w:rsidRPr="008237BD">
        <w:rPr>
          <w:rFonts w:ascii="Times New Roman" w:hAnsi="Times New Roman" w:cs="Times New Roman"/>
          <w:b/>
          <w:sz w:val="24"/>
          <w:szCs w:val="24"/>
        </w:rPr>
        <w:t>P</w:t>
      </w:r>
      <w:r w:rsidRPr="008237BD">
        <w:rPr>
          <w:rFonts w:ascii="Times New Roman" w:hAnsi="Times New Roman" w:cs="Times New Roman"/>
          <w:b/>
          <w:sz w:val="24"/>
          <w:szCs w:val="24"/>
        </w:rPr>
        <w:t xml:space="preserve">arlamento ir </w:t>
      </w:r>
      <w:r w:rsidR="00665E63" w:rsidRPr="008237BD">
        <w:rPr>
          <w:rFonts w:ascii="Times New Roman" w:hAnsi="Times New Roman" w:cs="Times New Roman"/>
          <w:b/>
          <w:sz w:val="24"/>
          <w:szCs w:val="24"/>
        </w:rPr>
        <w:t>T</w:t>
      </w:r>
      <w:r w:rsidRPr="008237BD">
        <w:rPr>
          <w:rFonts w:ascii="Times New Roman" w:hAnsi="Times New Roman" w:cs="Times New Roman"/>
          <w:b/>
          <w:sz w:val="24"/>
          <w:szCs w:val="24"/>
        </w:rPr>
        <w:t>arybos reglamentą (</w:t>
      </w:r>
      <w:r w:rsidR="00665E63" w:rsidRPr="008237BD">
        <w:rPr>
          <w:rFonts w:ascii="Times New Roman" w:hAnsi="Times New Roman" w:cs="Times New Roman"/>
          <w:b/>
          <w:sz w:val="24"/>
          <w:szCs w:val="24"/>
        </w:rPr>
        <w:t>ES</w:t>
      </w:r>
      <w:r w:rsidRPr="008237BD">
        <w:rPr>
          <w:rFonts w:ascii="Times New Roman" w:hAnsi="Times New Roman" w:cs="Times New Roman"/>
          <w:b/>
          <w:sz w:val="24"/>
          <w:szCs w:val="24"/>
        </w:rPr>
        <w:t xml:space="preserve">) </w:t>
      </w:r>
      <w:r w:rsidR="00665E63" w:rsidRPr="008237BD">
        <w:rPr>
          <w:rFonts w:ascii="Times New Roman" w:hAnsi="Times New Roman" w:cs="Times New Roman"/>
          <w:b/>
          <w:sz w:val="24"/>
          <w:szCs w:val="24"/>
        </w:rPr>
        <w:t>N</w:t>
      </w:r>
      <w:r w:rsidRPr="008237BD">
        <w:rPr>
          <w:rFonts w:ascii="Times New Roman" w:hAnsi="Times New Roman" w:cs="Times New Roman"/>
          <w:b/>
          <w:sz w:val="24"/>
          <w:szCs w:val="24"/>
        </w:rPr>
        <w:t xml:space="preserve">r. 2017/1001 dėl </w:t>
      </w:r>
      <w:r w:rsidR="00665E63" w:rsidRPr="008237BD">
        <w:rPr>
          <w:rFonts w:ascii="Times New Roman" w:hAnsi="Times New Roman" w:cs="Times New Roman"/>
          <w:b/>
          <w:sz w:val="24"/>
          <w:szCs w:val="24"/>
        </w:rPr>
        <w:t>E</w:t>
      </w:r>
      <w:r w:rsidRPr="008237BD">
        <w:rPr>
          <w:rFonts w:ascii="Times New Roman" w:hAnsi="Times New Roman" w:cs="Times New Roman"/>
          <w:b/>
          <w:sz w:val="24"/>
          <w:szCs w:val="24"/>
        </w:rPr>
        <w:t xml:space="preserve">uropos </w:t>
      </w:r>
      <w:r w:rsidR="00665E63" w:rsidRPr="008237BD">
        <w:rPr>
          <w:rFonts w:ascii="Times New Roman" w:hAnsi="Times New Roman" w:cs="Times New Roman"/>
          <w:b/>
          <w:sz w:val="24"/>
          <w:szCs w:val="24"/>
        </w:rPr>
        <w:t>S</w:t>
      </w:r>
      <w:r w:rsidRPr="008237BD">
        <w:rPr>
          <w:rFonts w:ascii="Times New Roman" w:hAnsi="Times New Roman" w:cs="Times New Roman"/>
          <w:b/>
          <w:sz w:val="24"/>
          <w:szCs w:val="24"/>
        </w:rPr>
        <w:t>ąjungos prekių ženklo, naudojimo</w:t>
      </w:r>
      <w:r w:rsidR="00665E63" w:rsidRPr="008237BD">
        <w:rPr>
          <w:rFonts w:ascii="Times New Roman" w:hAnsi="Times New Roman" w:cs="Times New Roman"/>
          <w:b/>
          <w:sz w:val="24"/>
          <w:szCs w:val="24"/>
        </w:rPr>
        <w:t>“ projekto</w:t>
      </w:r>
      <w:r w:rsidR="008C72CE" w:rsidRPr="008237BD">
        <w:rPr>
          <w:rFonts w:ascii="Times New Roman" w:hAnsi="Times New Roman" w:cs="Times New Roman"/>
          <w:b/>
          <w:sz w:val="24"/>
          <w:szCs w:val="24"/>
        </w:rPr>
        <w:t xml:space="preserve"> (</w:t>
      </w:r>
      <w:r w:rsidR="008C72CE" w:rsidRPr="008237BD">
        <w:rPr>
          <w:rFonts w:ascii="Times New Roman" w:hAnsi="Times New Roman" w:cs="Times New Roman"/>
          <w:b/>
          <w:color w:val="4F4F4F"/>
          <w:sz w:val="24"/>
          <w:szCs w:val="24"/>
        </w:rPr>
        <w:t>20-4134(2)</w:t>
      </w:r>
    </w:p>
    <w:p w14:paraId="5F41E7EC" w14:textId="77777777" w:rsidR="008C72CE" w:rsidRPr="008237BD" w:rsidRDefault="008C72CE" w:rsidP="008C72CE">
      <w:pPr>
        <w:pStyle w:val="Betarp"/>
        <w:jc w:val="center"/>
        <w:rPr>
          <w:rFonts w:ascii="Times New Roman" w:hAnsi="Times New Roman" w:cs="Times New Roman"/>
          <w:b/>
          <w:sz w:val="24"/>
          <w:szCs w:val="24"/>
        </w:rPr>
      </w:pPr>
    </w:p>
    <w:p w14:paraId="1B3A48AD" w14:textId="7580A657" w:rsidR="002A3DE2" w:rsidRPr="008237BD" w:rsidRDefault="00665E63" w:rsidP="008C72CE">
      <w:pPr>
        <w:pStyle w:val="Betarp"/>
        <w:jc w:val="center"/>
        <w:rPr>
          <w:rFonts w:ascii="Times New Roman" w:hAnsi="Times New Roman" w:cs="Times New Roman"/>
          <w:b/>
          <w:sz w:val="24"/>
          <w:szCs w:val="24"/>
        </w:rPr>
      </w:pPr>
      <w:r w:rsidRPr="008237BD">
        <w:rPr>
          <w:rFonts w:ascii="Times New Roman" w:hAnsi="Times New Roman" w:cs="Times New Roman"/>
          <w:b/>
          <w:sz w:val="24"/>
          <w:szCs w:val="24"/>
        </w:rPr>
        <w:t>Derinimo pažyma</w:t>
      </w:r>
    </w:p>
    <w:p w14:paraId="60F087DC" w14:textId="2602CF12" w:rsidR="004D6E0E" w:rsidRPr="008237BD" w:rsidRDefault="002A3DE2" w:rsidP="00814840">
      <w:pPr>
        <w:pStyle w:val="Betarp"/>
        <w:jc w:val="both"/>
        <w:rPr>
          <w:rFonts w:ascii="Times New Roman" w:hAnsi="Times New Roman" w:cs="Times New Roman"/>
          <w:sz w:val="24"/>
          <w:szCs w:val="24"/>
        </w:rPr>
      </w:pPr>
      <w:r w:rsidRPr="008237BD">
        <w:rPr>
          <w:rFonts w:ascii="Times New Roman" w:hAnsi="Times New Roman" w:cs="Times New Roman"/>
          <w:bCs/>
          <w:color w:val="FFFFFF"/>
          <w:sz w:val="24"/>
          <w:szCs w:val="24"/>
        </w:rPr>
        <w:t>projektas</w:t>
      </w:r>
    </w:p>
    <w:p w14:paraId="0DC8D1A7" w14:textId="6C1F9FE0" w:rsidR="002A3DE2" w:rsidRPr="008237BD" w:rsidRDefault="002A3DE2" w:rsidP="00814840">
      <w:pPr>
        <w:pStyle w:val="Betarp"/>
        <w:jc w:val="both"/>
        <w:rPr>
          <w:rFonts w:ascii="Times New Roman" w:hAnsi="Times New Roman" w:cs="Times New Roman"/>
          <w:sz w:val="24"/>
          <w:szCs w:val="24"/>
        </w:rPr>
      </w:pPr>
    </w:p>
    <w:tbl>
      <w:tblPr>
        <w:tblStyle w:val="Lentelstinklelis"/>
        <w:tblW w:w="14458" w:type="dxa"/>
        <w:tblInd w:w="421" w:type="dxa"/>
        <w:tblLook w:val="04A0" w:firstRow="1" w:lastRow="0" w:firstColumn="1" w:lastColumn="0" w:noHBand="0" w:noVBand="1"/>
      </w:tblPr>
      <w:tblGrid>
        <w:gridCol w:w="425"/>
        <w:gridCol w:w="1843"/>
        <w:gridCol w:w="5528"/>
        <w:gridCol w:w="6662"/>
      </w:tblGrid>
      <w:tr w:rsidR="00A31671" w:rsidRPr="008237BD" w14:paraId="28B85331" w14:textId="77777777" w:rsidTr="00383D33">
        <w:tc>
          <w:tcPr>
            <w:tcW w:w="425" w:type="dxa"/>
          </w:tcPr>
          <w:p w14:paraId="3E01FA9B" w14:textId="77777777" w:rsidR="002A3DE2" w:rsidRPr="008237BD" w:rsidRDefault="002A3DE2" w:rsidP="00814840">
            <w:pPr>
              <w:pStyle w:val="Betarp"/>
              <w:jc w:val="both"/>
              <w:rPr>
                <w:rFonts w:ascii="Times New Roman" w:hAnsi="Times New Roman" w:cs="Times New Roman"/>
                <w:sz w:val="24"/>
                <w:szCs w:val="24"/>
              </w:rPr>
            </w:pPr>
          </w:p>
        </w:tc>
        <w:tc>
          <w:tcPr>
            <w:tcW w:w="1843" w:type="dxa"/>
          </w:tcPr>
          <w:p w14:paraId="6CF7E386" w14:textId="6F6FF2A2" w:rsidR="002A3DE2" w:rsidRPr="008237BD" w:rsidRDefault="00665E63" w:rsidP="00814840">
            <w:pPr>
              <w:pStyle w:val="Betarp"/>
              <w:jc w:val="both"/>
              <w:rPr>
                <w:rFonts w:ascii="Times New Roman" w:hAnsi="Times New Roman" w:cs="Times New Roman"/>
                <w:sz w:val="24"/>
                <w:szCs w:val="24"/>
              </w:rPr>
            </w:pPr>
            <w:r w:rsidRPr="008237BD">
              <w:rPr>
                <w:rFonts w:ascii="Times New Roman" w:hAnsi="Times New Roman" w:cs="Times New Roman"/>
                <w:sz w:val="24"/>
                <w:szCs w:val="24"/>
              </w:rPr>
              <w:t>Institucija</w:t>
            </w:r>
          </w:p>
        </w:tc>
        <w:tc>
          <w:tcPr>
            <w:tcW w:w="5528" w:type="dxa"/>
          </w:tcPr>
          <w:p w14:paraId="7CE07600" w14:textId="428C7428" w:rsidR="002A3DE2" w:rsidRPr="008237BD" w:rsidRDefault="00665E63" w:rsidP="00814840">
            <w:pPr>
              <w:pStyle w:val="Betarp"/>
              <w:jc w:val="both"/>
              <w:rPr>
                <w:rFonts w:ascii="Times New Roman" w:hAnsi="Times New Roman" w:cs="Times New Roman"/>
                <w:sz w:val="24"/>
                <w:szCs w:val="24"/>
              </w:rPr>
            </w:pPr>
            <w:r w:rsidRPr="008237BD">
              <w:rPr>
                <w:rFonts w:ascii="Times New Roman" w:hAnsi="Times New Roman" w:cs="Times New Roman"/>
                <w:sz w:val="24"/>
                <w:szCs w:val="24"/>
              </w:rPr>
              <w:t>Pastaba</w:t>
            </w:r>
          </w:p>
        </w:tc>
        <w:tc>
          <w:tcPr>
            <w:tcW w:w="6662" w:type="dxa"/>
          </w:tcPr>
          <w:p w14:paraId="4A1BD49C" w14:textId="60FE7F1C" w:rsidR="002A3DE2" w:rsidRPr="008237BD" w:rsidRDefault="00355C88" w:rsidP="00814840">
            <w:pPr>
              <w:pStyle w:val="Betarp"/>
              <w:jc w:val="both"/>
              <w:rPr>
                <w:rFonts w:ascii="Times New Roman" w:hAnsi="Times New Roman" w:cs="Times New Roman"/>
                <w:sz w:val="24"/>
                <w:szCs w:val="24"/>
              </w:rPr>
            </w:pPr>
            <w:r w:rsidRPr="008237BD">
              <w:rPr>
                <w:rFonts w:ascii="Times New Roman" w:hAnsi="Times New Roman" w:cs="Times New Roman"/>
                <w:sz w:val="24"/>
                <w:szCs w:val="24"/>
              </w:rPr>
              <w:t>Atsakymas</w:t>
            </w:r>
          </w:p>
        </w:tc>
      </w:tr>
      <w:tr w:rsidR="00A31671" w:rsidRPr="008237BD" w14:paraId="4AF64FEF" w14:textId="77777777" w:rsidTr="00383D33">
        <w:tc>
          <w:tcPr>
            <w:tcW w:w="425" w:type="dxa"/>
          </w:tcPr>
          <w:p w14:paraId="425C5591" w14:textId="6E8ED23A" w:rsidR="002A3DE2" w:rsidRPr="008237BD" w:rsidRDefault="002A3DE2" w:rsidP="00814840">
            <w:pPr>
              <w:pStyle w:val="Betarp"/>
              <w:jc w:val="both"/>
              <w:rPr>
                <w:rFonts w:ascii="Times New Roman" w:hAnsi="Times New Roman" w:cs="Times New Roman"/>
                <w:sz w:val="24"/>
                <w:szCs w:val="24"/>
              </w:rPr>
            </w:pPr>
          </w:p>
        </w:tc>
        <w:tc>
          <w:tcPr>
            <w:tcW w:w="1843" w:type="dxa"/>
          </w:tcPr>
          <w:p w14:paraId="6B4B828D" w14:textId="54313115" w:rsidR="002A3DE2" w:rsidRPr="008237BD" w:rsidRDefault="00665E63" w:rsidP="00814840">
            <w:pPr>
              <w:pStyle w:val="Betarp"/>
              <w:jc w:val="both"/>
              <w:rPr>
                <w:rFonts w:ascii="Times New Roman" w:hAnsi="Times New Roman" w:cs="Times New Roman"/>
                <w:sz w:val="24"/>
                <w:szCs w:val="24"/>
              </w:rPr>
            </w:pPr>
            <w:r w:rsidRPr="008237BD">
              <w:rPr>
                <w:rFonts w:ascii="Times New Roman" w:hAnsi="Times New Roman" w:cs="Times New Roman"/>
                <w:sz w:val="24"/>
                <w:szCs w:val="24"/>
              </w:rPr>
              <w:t xml:space="preserve">LRVK Viešojo valdymo grupė </w:t>
            </w:r>
            <w:r w:rsidR="004F0A14" w:rsidRPr="008237BD">
              <w:rPr>
                <w:rFonts w:ascii="Times New Roman" w:hAnsi="Times New Roman" w:cs="Times New Roman"/>
                <w:sz w:val="24"/>
                <w:szCs w:val="24"/>
              </w:rPr>
              <w:t>(</w:t>
            </w:r>
            <w:r w:rsidR="004F0A14" w:rsidRPr="008237BD">
              <w:rPr>
                <w:rFonts w:ascii="Times New Roman" w:hAnsi="Times New Roman" w:cs="Times New Roman"/>
                <w:color w:val="4F4F4F"/>
                <w:sz w:val="24"/>
                <w:szCs w:val="24"/>
              </w:rPr>
              <w:t>NV-2645)</w:t>
            </w:r>
          </w:p>
        </w:tc>
        <w:tc>
          <w:tcPr>
            <w:tcW w:w="5528" w:type="dxa"/>
          </w:tcPr>
          <w:p w14:paraId="19DEF93F" w14:textId="77777777" w:rsidR="00355C88" w:rsidRPr="008237BD" w:rsidRDefault="00355C88" w:rsidP="00814840">
            <w:pPr>
              <w:pStyle w:val="Betarp"/>
              <w:jc w:val="both"/>
              <w:rPr>
                <w:rStyle w:val="normaltextrun1"/>
                <w:rFonts w:ascii="Times New Roman" w:hAnsi="Times New Roman" w:cs="Times New Roman"/>
                <w:b/>
                <w:bCs/>
                <w:sz w:val="24"/>
                <w:szCs w:val="24"/>
              </w:rPr>
            </w:pPr>
            <w:r w:rsidRPr="008237BD">
              <w:rPr>
                <w:rStyle w:val="normaltextrun1"/>
                <w:rFonts w:ascii="Times New Roman" w:hAnsi="Times New Roman" w:cs="Times New Roman"/>
                <w:b/>
                <w:bCs/>
                <w:sz w:val="24"/>
                <w:szCs w:val="24"/>
              </w:rPr>
              <w:t xml:space="preserve">Atkreiptinas dėmesys, kad ESINT pervedamos lėšos yra skirtos </w:t>
            </w:r>
            <w:r w:rsidRPr="008237BD">
              <w:rPr>
                <w:rStyle w:val="normaltextrun1"/>
                <w:rFonts w:ascii="Times New Roman" w:hAnsi="Times New Roman" w:cs="Times New Roman"/>
                <w:b/>
                <w:bCs/>
                <w:i/>
                <w:iCs/>
                <w:sz w:val="24"/>
                <w:szCs w:val="24"/>
              </w:rPr>
              <w:t>patirtoms išlaidoms kompensuoti</w:t>
            </w:r>
            <w:r w:rsidRPr="008237BD">
              <w:rPr>
                <w:rStyle w:val="normaltextrun1"/>
                <w:rFonts w:ascii="Times New Roman" w:hAnsi="Times New Roman" w:cs="Times New Roman"/>
                <w:b/>
                <w:bCs/>
                <w:sz w:val="24"/>
                <w:szCs w:val="24"/>
              </w:rPr>
              <w:t xml:space="preserve">. Atsižvelgiant į tai, kad šios išlaidos (jų paskirstymas) </w:t>
            </w:r>
            <w:r w:rsidRPr="008237BD">
              <w:rPr>
                <w:rStyle w:val="normaltextrun1"/>
                <w:rFonts w:ascii="Times New Roman" w:hAnsi="Times New Roman" w:cs="Times New Roman"/>
                <w:b/>
                <w:bCs/>
                <w:i/>
                <w:iCs/>
                <w:sz w:val="24"/>
                <w:szCs w:val="24"/>
              </w:rPr>
              <w:t>kasmet gali būti skirtingas</w:t>
            </w:r>
            <w:r w:rsidRPr="008237BD">
              <w:rPr>
                <w:rStyle w:val="normaltextrun1"/>
                <w:rFonts w:ascii="Times New Roman" w:hAnsi="Times New Roman" w:cs="Times New Roman"/>
                <w:b/>
                <w:bCs/>
                <w:sz w:val="24"/>
                <w:szCs w:val="24"/>
              </w:rPr>
              <w:t>, svarstytina ar atitinkamas teisės aktas dėl šių lėšų paskirstymo neturėtų būti vienkartinis, ir atitinkamai priimamas kasmet dėl kiekvienais metais gaunamų lėšų.</w:t>
            </w:r>
          </w:p>
          <w:p w14:paraId="4ADC441F" w14:textId="4298F9B4" w:rsidR="002A3DE2" w:rsidRPr="008237BD" w:rsidRDefault="002A3DE2" w:rsidP="00814840">
            <w:pPr>
              <w:pStyle w:val="Betarp"/>
              <w:jc w:val="both"/>
              <w:rPr>
                <w:rFonts w:ascii="Times New Roman" w:hAnsi="Times New Roman" w:cs="Times New Roman"/>
                <w:sz w:val="24"/>
                <w:szCs w:val="24"/>
              </w:rPr>
            </w:pPr>
          </w:p>
        </w:tc>
        <w:tc>
          <w:tcPr>
            <w:tcW w:w="6662" w:type="dxa"/>
          </w:tcPr>
          <w:p w14:paraId="445C1A9B" w14:textId="7EB379E0" w:rsidR="00355C88" w:rsidRPr="008237BD" w:rsidRDefault="008237BD" w:rsidP="00814840">
            <w:pPr>
              <w:pStyle w:val="Betarp"/>
              <w:jc w:val="both"/>
              <w:rPr>
                <w:rStyle w:val="normaltextrun1"/>
                <w:rFonts w:ascii="Times New Roman" w:hAnsi="Times New Roman" w:cs="Times New Roman"/>
                <w:sz w:val="24"/>
                <w:szCs w:val="24"/>
              </w:rPr>
            </w:pPr>
            <w:r w:rsidRPr="008237BD">
              <w:rPr>
                <w:rStyle w:val="normaltextrun1"/>
                <w:rFonts w:ascii="Times New Roman" w:hAnsi="Times New Roman" w:cs="Times New Roman"/>
                <w:b/>
                <w:bCs/>
                <w:sz w:val="24"/>
                <w:szCs w:val="24"/>
              </w:rPr>
              <w:t>Neatsižvelgta.</w:t>
            </w:r>
            <w:r>
              <w:rPr>
                <w:rStyle w:val="normaltextrun1"/>
              </w:rPr>
              <w:t xml:space="preserve"> </w:t>
            </w:r>
            <w:r w:rsidR="00355C88" w:rsidRPr="008237BD">
              <w:rPr>
                <w:rStyle w:val="normaltextrun1"/>
                <w:rFonts w:ascii="Times New Roman" w:hAnsi="Times New Roman" w:cs="Times New Roman"/>
                <w:sz w:val="24"/>
                <w:szCs w:val="24"/>
              </w:rPr>
              <w:t xml:space="preserve">Šiuo nutarimu siūloma nustatyti nuolatines lėšų paskirstymo tarp Lietuvos institucijų proporcijas, nes jų vaidmuo sistemoje yra pastovus, institucijų rodikliai tiesiogiai </w:t>
            </w:r>
            <w:r w:rsidR="00A31671" w:rsidRPr="008237BD">
              <w:rPr>
                <w:rStyle w:val="normaltextrun1"/>
                <w:rFonts w:ascii="Times New Roman" w:hAnsi="Times New Roman" w:cs="Times New Roman"/>
                <w:sz w:val="24"/>
                <w:szCs w:val="24"/>
              </w:rPr>
              <w:t xml:space="preserve">susiję, </w:t>
            </w:r>
            <w:r w:rsidR="00355C88" w:rsidRPr="008237BD">
              <w:rPr>
                <w:rStyle w:val="normaltextrun1"/>
                <w:rFonts w:ascii="Times New Roman" w:hAnsi="Times New Roman" w:cs="Times New Roman"/>
                <w:sz w:val="24"/>
                <w:szCs w:val="24"/>
              </w:rPr>
              <w:t>vienas nuo kito priklausomi</w:t>
            </w:r>
            <w:r w:rsidR="00A31671" w:rsidRPr="008237BD">
              <w:rPr>
                <w:rStyle w:val="normaltextrun1"/>
                <w:rFonts w:ascii="Times New Roman" w:hAnsi="Times New Roman" w:cs="Times New Roman"/>
                <w:sz w:val="24"/>
                <w:szCs w:val="24"/>
              </w:rPr>
              <w:t>.</w:t>
            </w:r>
            <w:r w:rsidR="00814840" w:rsidRPr="008237BD">
              <w:rPr>
                <w:rStyle w:val="normaltextrun1"/>
                <w:rFonts w:ascii="Times New Roman" w:hAnsi="Times New Roman" w:cs="Times New Roman"/>
                <w:sz w:val="24"/>
                <w:szCs w:val="24"/>
              </w:rPr>
              <w:t xml:space="preserve"> Kasmet gali skirtis tik Lietuvai skiriamų ESINT lėšų dydis, tačiau Reglamento 172 str. 5 dalyje nustatyti kriterijai </w:t>
            </w:r>
            <w:r w:rsidRPr="008237BD">
              <w:rPr>
                <w:rStyle w:val="normaltextrun1"/>
                <w:rFonts w:ascii="Times New Roman" w:hAnsi="Times New Roman" w:cs="Times New Roman"/>
                <w:sz w:val="24"/>
                <w:szCs w:val="24"/>
              </w:rPr>
              <w:t xml:space="preserve">ir institucijų funkcijos ES prekių ženklų apsaugos srityje </w:t>
            </w:r>
            <w:r w:rsidR="00814840" w:rsidRPr="008237BD">
              <w:rPr>
                <w:rStyle w:val="normaltextrun1"/>
                <w:rFonts w:ascii="Times New Roman" w:hAnsi="Times New Roman" w:cs="Times New Roman"/>
                <w:sz w:val="24"/>
                <w:szCs w:val="24"/>
              </w:rPr>
              <w:t>nesikei</w:t>
            </w:r>
            <w:r w:rsidR="00383D33" w:rsidRPr="008237BD">
              <w:rPr>
                <w:rStyle w:val="normaltextrun1"/>
                <w:rFonts w:ascii="Times New Roman" w:hAnsi="Times New Roman" w:cs="Times New Roman"/>
                <w:sz w:val="24"/>
                <w:szCs w:val="24"/>
              </w:rPr>
              <w:t>s.</w:t>
            </w:r>
          </w:p>
          <w:p w14:paraId="0EE38F1F" w14:textId="0112A036" w:rsidR="002A3DE2" w:rsidRPr="008237BD" w:rsidRDefault="002A3DE2" w:rsidP="00814840">
            <w:pPr>
              <w:pStyle w:val="Betarp"/>
              <w:jc w:val="both"/>
              <w:rPr>
                <w:rFonts w:ascii="Times New Roman" w:hAnsi="Times New Roman" w:cs="Times New Roman"/>
                <w:sz w:val="24"/>
                <w:szCs w:val="24"/>
              </w:rPr>
            </w:pPr>
          </w:p>
        </w:tc>
      </w:tr>
      <w:tr w:rsidR="00A31671" w:rsidRPr="008237BD" w14:paraId="762F2CBF" w14:textId="77777777" w:rsidTr="00383D33">
        <w:tc>
          <w:tcPr>
            <w:tcW w:w="425" w:type="dxa"/>
          </w:tcPr>
          <w:p w14:paraId="66655C16" w14:textId="77777777" w:rsidR="002A3DE2" w:rsidRPr="008237BD" w:rsidRDefault="002A3DE2" w:rsidP="00814840">
            <w:pPr>
              <w:pStyle w:val="Betarp"/>
              <w:jc w:val="both"/>
              <w:rPr>
                <w:rFonts w:ascii="Times New Roman" w:hAnsi="Times New Roman" w:cs="Times New Roman"/>
                <w:sz w:val="24"/>
                <w:szCs w:val="24"/>
              </w:rPr>
            </w:pPr>
          </w:p>
        </w:tc>
        <w:tc>
          <w:tcPr>
            <w:tcW w:w="1843" w:type="dxa"/>
          </w:tcPr>
          <w:p w14:paraId="598AB725" w14:textId="51921E7D" w:rsidR="002A3DE2" w:rsidRPr="008237BD" w:rsidRDefault="00A31671" w:rsidP="00814840">
            <w:pPr>
              <w:pStyle w:val="Betarp"/>
              <w:jc w:val="both"/>
              <w:rPr>
                <w:rFonts w:ascii="Times New Roman" w:hAnsi="Times New Roman" w:cs="Times New Roman"/>
                <w:sz w:val="24"/>
                <w:szCs w:val="24"/>
              </w:rPr>
            </w:pPr>
            <w:r w:rsidRPr="008237BD">
              <w:rPr>
                <w:rFonts w:ascii="Times New Roman" w:hAnsi="Times New Roman" w:cs="Times New Roman"/>
                <w:sz w:val="24"/>
                <w:szCs w:val="24"/>
              </w:rPr>
              <w:t xml:space="preserve">LRVK Teisės grupė </w:t>
            </w:r>
            <w:r w:rsidR="004F0A14" w:rsidRPr="008237BD">
              <w:rPr>
                <w:rFonts w:ascii="Times New Roman" w:hAnsi="Times New Roman" w:cs="Times New Roman"/>
                <w:sz w:val="24"/>
                <w:szCs w:val="24"/>
              </w:rPr>
              <w:t>(</w:t>
            </w:r>
            <w:r w:rsidR="004F0A14" w:rsidRPr="008237BD">
              <w:rPr>
                <w:rFonts w:ascii="Times New Roman" w:hAnsi="Times New Roman" w:cs="Times New Roman"/>
                <w:color w:val="4F4F4F"/>
                <w:sz w:val="24"/>
                <w:szCs w:val="24"/>
              </w:rPr>
              <w:t>NV-2643)</w:t>
            </w:r>
          </w:p>
        </w:tc>
        <w:tc>
          <w:tcPr>
            <w:tcW w:w="5528" w:type="dxa"/>
          </w:tcPr>
          <w:p w14:paraId="0A0212C5" w14:textId="77777777" w:rsidR="00A31671" w:rsidRPr="008237BD" w:rsidRDefault="00A31671" w:rsidP="00814840">
            <w:pPr>
              <w:pStyle w:val="Betarp"/>
              <w:jc w:val="both"/>
              <w:rPr>
                <w:rFonts w:ascii="Times New Roman" w:eastAsia="Times New Roman" w:hAnsi="Times New Roman" w:cs="Times New Roman"/>
                <w:sz w:val="24"/>
                <w:szCs w:val="24"/>
                <w:lang w:val="en-US" w:eastAsia="lt-LT"/>
              </w:rPr>
            </w:pPr>
            <w:r w:rsidRPr="008237BD">
              <w:rPr>
                <w:rFonts w:ascii="Times New Roman" w:eastAsia="Times New Roman" w:hAnsi="Times New Roman" w:cs="Times New Roman"/>
                <w:sz w:val="24"/>
                <w:szCs w:val="24"/>
                <w:lang w:eastAsia="lt-LT"/>
              </w:rPr>
              <w:t xml:space="preserve">1. Siekiant Projekto pagrįstumo ir valstybės biudžeto lėšų naudojimo skaidrumo, siūlome pateikti pagrindimą, kokiais kriterijais remiantis siūlomos lėšų, gaunamų pagal Reglamento (ES) Nr. 2017/1001 172 straipsnį, paskirstymo dalys (procentais) institucijoms ir teismams. Taip pat iš Projekto nuostatų lieka neaišku, ar siūlomos lėšų paskirstymo dalys (procentais) bus taikomos neribotą laiką (ir ateityje atitinkamais metais gaunamoms lėšoms), nes pagal Reglamento (ES) Nr. 2017/1001 172 straipsnio 4 dalį lėšos gali būti skiriamos kiekvienais metais, valstybės narėms pateikus statistinius duomenis išlaidoms pagrįsti. Kartu atkreiptinas dėmesys, kad lėšos pagal Reglamento (ES) Nr. 2017/1001 172 straipsnio 4 dalies nuostatas yra skiriamos </w:t>
            </w:r>
            <w:r w:rsidRPr="008237BD">
              <w:rPr>
                <w:rFonts w:ascii="Times New Roman" w:eastAsia="Times New Roman" w:hAnsi="Times New Roman" w:cs="Times New Roman"/>
                <w:i/>
                <w:iCs/>
                <w:sz w:val="24"/>
                <w:szCs w:val="24"/>
                <w:lang w:eastAsia="lt-LT"/>
              </w:rPr>
              <w:t>kompensuoti</w:t>
            </w:r>
            <w:r w:rsidRPr="008237BD">
              <w:rPr>
                <w:rFonts w:ascii="Times New Roman" w:eastAsia="Times New Roman" w:hAnsi="Times New Roman" w:cs="Times New Roman"/>
                <w:sz w:val="24"/>
                <w:szCs w:val="24"/>
                <w:lang w:eastAsia="lt-LT"/>
              </w:rPr>
              <w:t xml:space="preserve"> institucijų išlaidas, „kurių jos turėjo vykdydamos konkrečias užduotis kaip ES prekių ženklų sistemos funkcinės dalys“. Jei Projekto 1 punkte siūlomos nustatyti lėšų paskirstymo dalys (procentais) </w:t>
            </w:r>
            <w:r w:rsidRPr="008237BD">
              <w:rPr>
                <w:rFonts w:ascii="Times New Roman" w:eastAsia="Times New Roman" w:hAnsi="Times New Roman" w:cs="Times New Roman"/>
                <w:sz w:val="24"/>
                <w:szCs w:val="24"/>
                <w:lang w:eastAsia="lt-LT"/>
              </w:rPr>
              <w:lastRenderedPageBreak/>
              <w:t xml:space="preserve">būtų taikomos neatsižvelgiant į konkrečius metus (turėtas išlaidas), diskutuotina, ar siūlomos nustatyti lėšų, gaunamų pagal Reglamentą (ES) Nr. 2017/1001, paskirstymo dalys (procentais nuo gaunamų lėšų) </w:t>
            </w:r>
            <w:r w:rsidRPr="008237BD">
              <w:rPr>
                <w:rFonts w:ascii="Times New Roman" w:eastAsia="Times New Roman" w:hAnsi="Times New Roman" w:cs="Times New Roman"/>
                <w:i/>
                <w:iCs/>
                <w:sz w:val="24"/>
                <w:szCs w:val="24"/>
                <w:lang w:eastAsia="lt-LT"/>
              </w:rPr>
              <w:t>a priori</w:t>
            </w:r>
            <w:r w:rsidRPr="008237BD">
              <w:rPr>
                <w:rFonts w:ascii="Times New Roman" w:eastAsia="Times New Roman" w:hAnsi="Times New Roman" w:cs="Times New Roman"/>
                <w:sz w:val="24"/>
                <w:szCs w:val="24"/>
                <w:lang w:eastAsia="lt-LT"/>
              </w:rPr>
              <w:t xml:space="preserve">, nepagrindžiant atitinkamais metais institucijų ar teismų turėtų išlaidų atitiktų Reglamento (ES) Nr. 2017/1001 172 straipsnio sąlygas. Šiame kontekste taip pat pažymėtina, kad pagal Reglamento (ES) Nr. 2017/1001 172 straipsnio 5 dalį, valstybės narės, </w:t>
            </w:r>
            <w:r w:rsidRPr="008237BD">
              <w:rPr>
                <w:rFonts w:ascii="Times New Roman" w:eastAsia="Times New Roman" w:hAnsi="Times New Roman" w:cs="Times New Roman"/>
                <w:i/>
                <w:iCs/>
                <w:sz w:val="24"/>
                <w:szCs w:val="24"/>
                <w:lang w:eastAsia="lt-LT"/>
              </w:rPr>
              <w:t>siekdamos pagrįsti nurodytas išlaidas,</w:t>
            </w:r>
            <w:r w:rsidRPr="008237BD">
              <w:rPr>
                <w:rFonts w:ascii="Times New Roman" w:eastAsia="Times New Roman" w:hAnsi="Times New Roman" w:cs="Times New Roman"/>
                <w:sz w:val="24"/>
                <w:szCs w:val="24"/>
                <w:lang w:eastAsia="lt-LT"/>
              </w:rPr>
              <w:t xml:space="preserve"> ne vėliau kaip iki kiekvienų metų kovo 31 d. pateikia statistinius duomenis už praėjusius metus. </w:t>
            </w:r>
          </w:p>
          <w:p w14:paraId="0C96BA81" w14:textId="77777777" w:rsidR="00A31671" w:rsidRPr="008237BD" w:rsidRDefault="00A31671" w:rsidP="00814840">
            <w:pPr>
              <w:pStyle w:val="Betarp"/>
              <w:jc w:val="both"/>
              <w:rPr>
                <w:rFonts w:ascii="Times New Roman" w:eastAsia="Times New Roman" w:hAnsi="Times New Roman" w:cs="Times New Roman"/>
                <w:sz w:val="24"/>
                <w:szCs w:val="24"/>
                <w:lang w:val="en-US" w:eastAsia="lt-LT"/>
              </w:rPr>
            </w:pPr>
            <w:r w:rsidRPr="008237BD">
              <w:rPr>
                <w:rFonts w:ascii="Times New Roman" w:eastAsia="Times New Roman" w:hAnsi="Times New Roman" w:cs="Times New Roman"/>
                <w:sz w:val="24"/>
                <w:szCs w:val="24"/>
                <w:lang w:eastAsia="lt-LT"/>
              </w:rPr>
              <w:t>Vadovaujantis aukščiau išdėstytu, siūlome pateikti Projekto 1 punkte nurodytų lėšų paskirstymo (procentais) pagrindimą (paaiškinimus) bei įvertinti, ar nebūtų tikslinga atitinkamais metais gautas pagal Reglamento (ES) Nr. 2017/1001 172 straipsnį lėšas paskirstyti konkrečiomis dalimis. Pasirinkus nuolatinio taikymo teisinį reguliavimą, siūlytume nustatyti lėšų paskirstymo tarp institucijų ir teismų objektyvius kriterijus ir procedūras.</w:t>
            </w:r>
          </w:p>
          <w:p w14:paraId="39A0E9A6" w14:textId="047576D4" w:rsidR="002A3DE2" w:rsidRPr="008237BD" w:rsidRDefault="002A3DE2" w:rsidP="00814840">
            <w:pPr>
              <w:pStyle w:val="Betarp"/>
              <w:jc w:val="both"/>
              <w:rPr>
                <w:rFonts w:ascii="Times New Roman" w:hAnsi="Times New Roman" w:cs="Times New Roman"/>
                <w:bCs/>
                <w:sz w:val="24"/>
                <w:szCs w:val="24"/>
              </w:rPr>
            </w:pPr>
          </w:p>
        </w:tc>
        <w:tc>
          <w:tcPr>
            <w:tcW w:w="6662" w:type="dxa"/>
          </w:tcPr>
          <w:p w14:paraId="192528E3" w14:textId="01F666C9" w:rsidR="00180F3E" w:rsidRPr="008237BD" w:rsidRDefault="008237BD" w:rsidP="00383D33">
            <w:pPr>
              <w:pStyle w:val="Betarp"/>
              <w:jc w:val="both"/>
              <w:rPr>
                <w:rFonts w:ascii="Times New Roman" w:eastAsia="Times New Roman" w:hAnsi="Times New Roman" w:cs="Times New Roman"/>
                <w:sz w:val="24"/>
                <w:szCs w:val="24"/>
                <w:lang w:eastAsia="lt-LT"/>
              </w:rPr>
            </w:pPr>
            <w:r w:rsidRPr="008237BD">
              <w:rPr>
                <w:rFonts w:ascii="Times New Roman" w:eastAsia="Times New Roman" w:hAnsi="Times New Roman" w:cs="Times New Roman"/>
                <w:b/>
                <w:bCs/>
                <w:sz w:val="24"/>
                <w:szCs w:val="24"/>
                <w:lang w:eastAsia="lt-LT"/>
              </w:rPr>
              <w:lastRenderedPageBreak/>
              <w:t>Atsižvelgta iš dalies</w:t>
            </w:r>
            <w:r>
              <w:rPr>
                <w:rFonts w:ascii="Times New Roman" w:eastAsia="Times New Roman" w:hAnsi="Times New Roman" w:cs="Times New Roman"/>
                <w:sz w:val="24"/>
                <w:szCs w:val="24"/>
                <w:lang w:eastAsia="lt-LT"/>
              </w:rPr>
              <w:t xml:space="preserve">. </w:t>
            </w:r>
            <w:r w:rsidR="00A31671" w:rsidRPr="008237BD">
              <w:rPr>
                <w:rFonts w:ascii="Times New Roman" w:eastAsia="Times New Roman" w:hAnsi="Times New Roman" w:cs="Times New Roman"/>
                <w:sz w:val="24"/>
                <w:szCs w:val="24"/>
                <w:lang w:eastAsia="lt-LT"/>
              </w:rPr>
              <w:t>Nutarimo projekte siūlomos lėšų, gaunamų pagal Reglamento (ES) Nr. 2017/1001 172 straipsnį, paskirstymo dalys (procentais) institucijoms ir teismams grindžiamos ES prekių ženklų sistemos subjektų</w:t>
            </w:r>
            <w:r w:rsidR="00C669FC">
              <w:rPr>
                <w:rFonts w:ascii="Times New Roman" w:eastAsia="Times New Roman" w:hAnsi="Times New Roman" w:cs="Times New Roman"/>
                <w:sz w:val="24"/>
                <w:szCs w:val="24"/>
                <w:lang w:eastAsia="lt-LT"/>
              </w:rPr>
              <w:t xml:space="preserve"> – </w:t>
            </w:r>
            <w:r w:rsidR="00A31671" w:rsidRPr="008237BD">
              <w:rPr>
                <w:rFonts w:ascii="Times New Roman" w:eastAsia="Times New Roman" w:hAnsi="Times New Roman" w:cs="Times New Roman"/>
                <w:sz w:val="24"/>
                <w:szCs w:val="24"/>
                <w:lang w:eastAsia="lt-LT"/>
              </w:rPr>
              <w:t>valstybių narių centrinių pramoninės nuosavybės tarnybų ir visų kitų atitinkamų tarnybų, kurias turi paskirti valstybės narės, Reglamento (ES) Nr. 2017/1001 172 straipsnio 4 dalyje nurodytų vykdomų veiklų apimtim</w:t>
            </w:r>
            <w:r>
              <w:rPr>
                <w:rFonts w:ascii="Times New Roman" w:eastAsia="Times New Roman" w:hAnsi="Times New Roman" w:cs="Times New Roman"/>
                <w:sz w:val="24"/>
                <w:szCs w:val="24"/>
                <w:lang w:eastAsia="lt-LT"/>
              </w:rPr>
              <w:t>i</w:t>
            </w:r>
            <w:r w:rsidR="00180F3E" w:rsidRPr="008237BD">
              <w:rPr>
                <w:rFonts w:ascii="Times New Roman" w:eastAsia="Times New Roman" w:hAnsi="Times New Roman" w:cs="Times New Roman"/>
                <w:sz w:val="24"/>
                <w:szCs w:val="24"/>
                <w:lang w:eastAsia="lt-LT"/>
              </w:rPr>
              <w:t xml:space="preserve">. </w:t>
            </w:r>
          </w:p>
          <w:p w14:paraId="2D004F4C" w14:textId="30DBAFA2" w:rsidR="00A31671" w:rsidRPr="008237BD" w:rsidRDefault="00180F3E" w:rsidP="00383D33">
            <w:pPr>
              <w:pStyle w:val="Betarp"/>
              <w:jc w:val="both"/>
              <w:rPr>
                <w:rFonts w:ascii="Times New Roman" w:eastAsia="Times New Roman" w:hAnsi="Times New Roman" w:cs="Times New Roman"/>
                <w:sz w:val="24"/>
                <w:szCs w:val="24"/>
                <w:lang w:eastAsia="lt-LT"/>
              </w:rPr>
            </w:pPr>
            <w:r w:rsidRPr="008237BD">
              <w:rPr>
                <w:rFonts w:ascii="Times New Roman" w:eastAsia="Times New Roman" w:hAnsi="Times New Roman" w:cs="Times New Roman"/>
                <w:sz w:val="24"/>
                <w:szCs w:val="24"/>
                <w:lang w:eastAsia="lt-LT"/>
              </w:rPr>
              <w:t xml:space="preserve">Reglamento </w:t>
            </w:r>
            <w:r w:rsidR="00383D33" w:rsidRPr="008237BD">
              <w:rPr>
                <w:rFonts w:ascii="Times New Roman" w:eastAsia="Times New Roman" w:hAnsi="Times New Roman" w:cs="Times New Roman"/>
                <w:sz w:val="24"/>
                <w:szCs w:val="24"/>
                <w:lang w:eastAsia="lt-LT"/>
              </w:rPr>
              <w:t xml:space="preserve">172 str. 5 dalyje </w:t>
            </w:r>
            <w:r w:rsidRPr="008237BD">
              <w:rPr>
                <w:rFonts w:ascii="Times New Roman" w:eastAsia="Times New Roman" w:hAnsi="Times New Roman" w:cs="Times New Roman"/>
                <w:sz w:val="24"/>
                <w:szCs w:val="24"/>
                <w:lang w:eastAsia="lt-LT"/>
              </w:rPr>
              <w:t xml:space="preserve">yra nurodyti 4 kriterijai, pagal kuriuos </w:t>
            </w:r>
            <w:r w:rsidR="00C669FC" w:rsidRPr="008237BD">
              <w:rPr>
                <w:rFonts w:ascii="Times New Roman" w:eastAsia="Times New Roman" w:hAnsi="Times New Roman" w:cs="Times New Roman"/>
                <w:sz w:val="24"/>
                <w:szCs w:val="24"/>
                <w:lang w:eastAsia="lt-LT"/>
              </w:rPr>
              <w:t>valstybės narės turi pateikti duomenis</w:t>
            </w:r>
            <w:r w:rsidR="007576AE" w:rsidRPr="008237BD">
              <w:rPr>
                <w:rFonts w:ascii="Times New Roman" w:eastAsia="Times New Roman" w:hAnsi="Times New Roman" w:cs="Times New Roman"/>
                <w:sz w:val="24"/>
                <w:szCs w:val="24"/>
                <w:lang w:eastAsia="lt-LT"/>
              </w:rPr>
              <w:t xml:space="preserve">. 3 iš 4 kriterijų rodikliai yra tiesiogiai susiję su </w:t>
            </w:r>
            <w:r w:rsidR="005C1169">
              <w:rPr>
                <w:rFonts w:ascii="Times New Roman" w:eastAsia="Times New Roman" w:hAnsi="Times New Roman" w:cs="Times New Roman"/>
                <w:sz w:val="24"/>
                <w:szCs w:val="24"/>
                <w:lang w:eastAsia="lt-LT"/>
              </w:rPr>
              <w:t>Valstybinio patentų biuro (toliau – VPB)</w:t>
            </w:r>
            <w:r w:rsidR="007576AE" w:rsidRPr="008237BD">
              <w:rPr>
                <w:rFonts w:ascii="Times New Roman" w:eastAsia="Times New Roman" w:hAnsi="Times New Roman" w:cs="Times New Roman"/>
                <w:sz w:val="24"/>
                <w:szCs w:val="24"/>
                <w:lang w:eastAsia="lt-LT"/>
              </w:rPr>
              <w:t xml:space="preserve"> funkcijomis ES prekių ženklų sistemoje.</w:t>
            </w:r>
            <w:r w:rsidR="005C1169">
              <w:rPr>
                <w:rFonts w:ascii="Times New Roman" w:eastAsia="Times New Roman" w:hAnsi="Times New Roman" w:cs="Times New Roman"/>
                <w:sz w:val="24"/>
                <w:szCs w:val="24"/>
                <w:lang w:eastAsia="lt-LT"/>
              </w:rPr>
              <w:t xml:space="preserve"> </w:t>
            </w:r>
            <w:r w:rsidR="00A31671" w:rsidRPr="008237BD">
              <w:rPr>
                <w:rFonts w:ascii="Times New Roman" w:eastAsia="Times New Roman" w:hAnsi="Times New Roman" w:cs="Times New Roman"/>
                <w:sz w:val="24"/>
                <w:szCs w:val="24"/>
                <w:lang w:eastAsia="lt-LT"/>
              </w:rPr>
              <w:t xml:space="preserve">Vadovaujantis Prekių ženklų įstatymo 78 ir 79 str. VPB yra pagrindinė institucija, tiesiogiai atsakinga už Reglamente pramoninės nuosavybės tarnyboms nustatytų funkcijų įgyvendinimą. VPB Apeliacinis skyrius ikiteismine tvarka nagrinėja visus ginčus dėl prekių ženklų, įskaitant tuos, kuriuose ginčo šalis yra ES prekių ženklo savininkai, ir kurie vėliau gali būti skundžiami teismui. Todėl VPB indėlis į ES bendrą prekių ženklų sistemą proporcingai didžiausias ir yra </w:t>
            </w:r>
            <w:r w:rsidR="00A31671" w:rsidRPr="008237BD">
              <w:rPr>
                <w:rFonts w:ascii="Times New Roman" w:eastAsia="Times New Roman" w:hAnsi="Times New Roman" w:cs="Times New Roman"/>
                <w:sz w:val="24"/>
                <w:szCs w:val="24"/>
                <w:lang w:eastAsia="lt-LT"/>
              </w:rPr>
              <w:lastRenderedPageBreak/>
              <w:t>vertintinas 2/3. Likusią dalį siūloma padalint</w:t>
            </w:r>
            <w:r w:rsidR="00C669FC">
              <w:rPr>
                <w:rFonts w:ascii="Times New Roman" w:eastAsia="Times New Roman" w:hAnsi="Times New Roman" w:cs="Times New Roman"/>
                <w:sz w:val="24"/>
                <w:szCs w:val="24"/>
                <w:lang w:eastAsia="lt-LT"/>
              </w:rPr>
              <w:t>i</w:t>
            </w:r>
            <w:r w:rsidR="00A31671" w:rsidRPr="008237BD">
              <w:rPr>
                <w:rFonts w:ascii="Times New Roman" w:eastAsia="Times New Roman" w:hAnsi="Times New Roman" w:cs="Times New Roman"/>
                <w:sz w:val="24"/>
                <w:szCs w:val="24"/>
                <w:lang w:eastAsia="lt-LT"/>
              </w:rPr>
              <w:t xml:space="preserve"> proporcingai pagal ES prekių ženklų apsaugos sistemoje dalyvaujančių institucijų sutartinį indėlį, išreiškiamą per su ES prekių ženklų teisių gynimu susijusi</w:t>
            </w:r>
            <w:r w:rsidR="00C669FC">
              <w:rPr>
                <w:rFonts w:ascii="Times New Roman" w:eastAsia="Times New Roman" w:hAnsi="Times New Roman" w:cs="Times New Roman"/>
                <w:sz w:val="24"/>
                <w:szCs w:val="24"/>
                <w:lang w:eastAsia="lt-LT"/>
              </w:rPr>
              <w:t>a</w:t>
            </w:r>
            <w:r w:rsidR="00A31671" w:rsidRPr="008237BD">
              <w:rPr>
                <w:rFonts w:ascii="Times New Roman" w:eastAsia="Times New Roman" w:hAnsi="Times New Roman" w:cs="Times New Roman"/>
                <w:sz w:val="24"/>
                <w:szCs w:val="24"/>
                <w:lang w:eastAsia="lt-LT"/>
              </w:rPr>
              <w:t>s funkcijas, atliekamų veiksmų bendrame institucijos veiklos kontekste apimtis (teismų – nagrinėjamas bylas, muitinės – sulaikomas padirbtas prekes, policij</w:t>
            </w:r>
            <w:r w:rsidR="00C669FC">
              <w:rPr>
                <w:rFonts w:ascii="Times New Roman" w:eastAsia="Times New Roman" w:hAnsi="Times New Roman" w:cs="Times New Roman"/>
                <w:sz w:val="24"/>
                <w:szCs w:val="24"/>
                <w:lang w:eastAsia="lt-LT"/>
              </w:rPr>
              <w:t>os</w:t>
            </w:r>
            <w:r w:rsidR="00A31671" w:rsidRPr="008237BD">
              <w:rPr>
                <w:rFonts w:ascii="Times New Roman" w:eastAsia="Times New Roman" w:hAnsi="Times New Roman" w:cs="Times New Roman"/>
                <w:sz w:val="24"/>
                <w:szCs w:val="24"/>
                <w:lang w:eastAsia="lt-LT"/>
              </w:rPr>
              <w:t xml:space="preserve"> – baudžiam</w:t>
            </w:r>
            <w:r w:rsidR="00C669FC">
              <w:rPr>
                <w:rFonts w:ascii="Times New Roman" w:eastAsia="Times New Roman" w:hAnsi="Times New Roman" w:cs="Times New Roman"/>
                <w:sz w:val="24"/>
                <w:szCs w:val="24"/>
                <w:lang w:eastAsia="lt-LT"/>
              </w:rPr>
              <w:t>ąsias</w:t>
            </w:r>
            <w:r w:rsidR="00A31671" w:rsidRPr="008237BD">
              <w:rPr>
                <w:rFonts w:ascii="Times New Roman" w:eastAsia="Times New Roman" w:hAnsi="Times New Roman" w:cs="Times New Roman"/>
                <w:sz w:val="24"/>
                <w:szCs w:val="24"/>
                <w:lang w:eastAsia="lt-LT"/>
              </w:rPr>
              <w:t xml:space="preserve"> byl</w:t>
            </w:r>
            <w:r w:rsidR="00C669FC">
              <w:rPr>
                <w:rFonts w:ascii="Times New Roman" w:eastAsia="Times New Roman" w:hAnsi="Times New Roman" w:cs="Times New Roman"/>
                <w:sz w:val="24"/>
                <w:szCs w:val="24"/>
                <w:lang w:eastAsia="lt-LT"/>
              </w:rPr>
              <w:t>as</w:t>
            </w:r>
            <w:r w:rsidR="00A31671" w:rsidRPr="008237BD">
              <w:rPr>
                <w:rFonts w:ascii="Times New Roman" w:eastAsia="Times New Roman" w:hAnsi="Times New Roman" w:cs="Times New Roman"/>
                <w:sz w:val="24"/>
                <w:szCs w:val="24"/>
                <w:lang w:eastAsia="lt-LT"/>
              </w:rPr>
              <w:t xml:space="preserve">), pavestų funkcijų reikšmingumą bendroje teisės sistemoje. </w:t>
            </w:r>
          </w:p>
          <w:p w14:paraId="7FEEE714" w14:textId="76EDAB98" w:rsidR="00A31671" w:rsidRPr="008237BD" w:rsidRDefault="00A31671" w:rsidP="001E1CD8">
            <w:pPr>
              <w:pStyle w:val="Betarp"/>
              <w:jc w:val="both"/>
              <w:rPr>
                <w:rFonts w:ascii="Times New Roman" w:hAnsi="Times New Roman" w:cs="Times New Roman"/>
                <w:sz w:val="24"/>
                <w:szCs w:val="24"/>
              </w:rPr>
            </w:pPr>
            <w:r w:rsidRPr="008237BD">
              <w:rPr>
                <w:rFonts w:ascii="Times New Roman" w:eastAsia="Times New Roman" w:hAnsi="Times New Roman" w:cs="Times New Roman"/>
                <w:sz w:val="24"/>
                <w:szCs w:val="24"/>
                <w:lang w:eastAsia="lt-LT"/>
              </w:rPr>
              <w:t>2018 m. VPB gavo 2774 prekių ženklų paraiškas</w:t>
            </w:r>
            <w:r w:rsidRPr="008237BD">
              <w:rPr>
                <w:rStyle w:val="Puslapioinaosnuoroda"/>
                <w:rFonts w:ascii="Times New Roman" w:hAnsi="Times New Roman" w:cs="Times New Roman"/>
                <w:sz w:val="24"/>
                <w:szCs w:val="24"/>
                <w:lang w:eastAsia="lt-LT"/>
              </w:rPr>
              <w:footnoteReference w:id="1"/>
            </w:r>
            <w:r w:rsidRPr="008237BD">
              <w:rPr>
                <w:rFonts w:ascii="Times New Roman" w:eastAsia="Times New Roman" w:hAnsi="Times New Roman" w:cs="Times New Roman"/>
                <w:sz w:val="24"/>
                <w:szCs w:val="24"/>
                <w:lang w:eastAsia="lt-LT"/>
              </w:rPr>
              <w:t>, iš 105 gautų protestų</w:t>
            </w:r>
            <w:r w:rsidRPr="008237BD">
              <w:rPr>
                <w:rStyle w:val="Puslapioinaosnuoroda"/>
                <w:rFonts w:ascii="Times New Roman" w:hAnsi="Times New Roman" w:cs="Times New Roman"/>
                <w:sz w:val="24"/>
                <w:szCs w:val="24"/>
                <w:lang w:eastAsia="lt-LT"/>
              </w:rPr>
              <w:footnoteReference w:id="2"/>
            </w:r>
            <w:r w:rsidRPr="008237BD">
              <w:rPr>
                <w:rFonts w:ascii="Times New Roman" w:eastAsia="Times New Roman" w:hAnsi="Times New Roman" w:cs="Times New Roman"/>
                <w:sz w:val="24"/>
                <w:szCs w:val="24"/>
                <w:lang w:eastAsia="lt-LT"/>
              </w:rPr>
              <w:t xml:space="preserve"> 79 protestai buvo pagrįsti ES prekių ženklų ankstesnėmis teisėmis; teismuose buvo pradėtos 5 bylos dėl ES prekių ženklų; </w:t>
            </w:r>
            <w:r w:rsidRPr="008237BD">
              <w:rPr>
                <w:rFonts w:ascii="Times New Roman" w:hAnsi="Times New Roman" w:cs="Times New Roman"/>
                <w:sz w:val="24"/>
                <w:szCs w:val="24"/>
              </w:rPr>
              <w:t>Lietuvos muitinėje nustatyti 287 atvejai, kai prekės buvo sulaikytos dėl IN teisių pažeidimų</w:t>
            </w:r>
            <w:r w:rsidRPr="008237BD">
              <w:rPr>
                <w:rStyle w:val="Puslapioinaosnuoroda"/>
                <w:rFonts w:ascii="Times New Roman" w:hAnsi="Times New Roman" w:cs="Times New Roman"/>
                <w:sz w:val="24"/>
                <w:szCs w:val="24"/>
              </w:rPr>
              <w:footnoteReference w:id="3"/>
            </w:r>
            <w:r w:rsidRPr="008237BD">
              <w:rPr>
                <w:rFonts w:ascii="Times New Roman" w:hAnsi="Times New Roman" w:cs="Times New Roman"/>
                <w:sz w:val="24"/>
                <w:szCs w:val="24"/>
              </w:rPr>
              <w:t>; policija Lietuvoje užregistravo</w:t>
            </w:r>
            <w:r w:rsidR="008237BD">
              <w:rPr>
                <w:rFonts w:ascii="Times New Roman" w:hAnsi="Times New Roman" w:cs="Times New Roman"/>
                <w:sz w:val="24"/>
                <w:szCs w:val="24"/>
              </w:rPr>
              <w:t xml:space="preserve"> </w:t>
            </w:r>
            <w:r w:rsidRPr="008237BD">
              <w:rPr>
                <w:rFonts w:ascii="Times New Roman" w:hAnsi="Times New Roman" w:cs="Times New Roman"/>
                <w:sz w:val="24"/>
                <w:szCs w:val="24"/>
              </w:rPr>
              <w:t>19 nusikaltimų dėl svetimo prekių ar paslaugų ženklo naudojimo (BK 204 str.)</w:t>
            </w:r>
            <w:r w:rsidRPr="008237BD">
              <w:rPr>
                <w:rStyle w:val="Puslapioinaosnuoroda"/>
                <w:rFonts w:ascii="Times New Roman" w:hAnsi="Times New Roman" w:cs="Times New Roman"/>
                <w:sz w:val="24"/>
                <w:szCs w:val="24"/>
              </w:rPr>
              <w:footnoteReference w:id="4"/>
            </w:r>
            <w:r w:rsidR="005C1169">
              <w:rPr>
                <w:rFonts w:ascii="Times New Roman" w:hAnsi="Times New Roman" w:cs="Times New Roman"/>
                <w:sz w:val="24"/>
                <w:szCs w:val="24"/>
              </w:rPr>
              <w:t>.</w:t>
            </w:r>
          </w:p>
          <w:p w14:paraId="0B23ED9E" w14:textId="77777777" w:rsidR="00A31671" w:rsidRPr="008237BD" w:rsidRDefault="00A31671" w:rsidP="001E1CD8">
            <w:pPr>
              <w:pStyle w:val="Betarp"/>
              <w:jc w:val="both"/>
              <w:rPr>
                <w:rFonts w:ascii="Times New Roman" w:eastAsia="Times New Roman" w:hAnsi="Times New Roman" w:cs="Times New Roman"/>
                <w:sz w:val="24"/>
                <w:szCs w:val="24"/>
                <w:lang w:eastAsia="lt-LT"/>
              </w:rPr>
            </w:pPr>
            <w:r w:rsidRPr="008237BD">
              <w:rPr>
                <w:rFonts w:ascii="Times New Roman" w:eastAsia="Times New Roman" w:hAnsi="Times New Roman" w:cs="Times New Roman"/>
                <w:sz w:val="24"/>
                <w:szCs w:val="24"/>
                <w:lang w:eastAsia="lt-LT"/>
              </w:rPr>
              <w:t>Derinant nutarimo projektą atsakingos institucijos pastabų dėl pasiūlytų proporcijų neturėjo.</w:t>
            </w:r>
          </w:p>
          <w:p w14:paraId="148FB32A" w14:textId="1A16EB28" w:rsidR="00A31671" w:rsidRPr="008237BD" w:rsidRDefault="00A31671" w:rsidP="001E1CD8">
            <w:pPr>
              <w:pStyle w:val="Betarp"/>
              <w:jc w:val="both"/>
              <w:rPr>
                <w:rFonts w:ascii="Times New Roman" w:eastAsia="Times New Roman" w:hAnsi="Times New Roman" w:cs="Times New Roman"/>
                <w:sz w:val="24"/>
                <w:szCs w:val="24"/>
                <w:lang w:eastAsia="lt-LT"/>
              </w:rPr>
            </w:pPr>
            <w:r w:rsidRPr="008237BD">
              <w:rPr>
                <w:rFonts w:ascii="Times New Roman" w:eastAsia="Times New Roman" w:hAnsi="Times New Roman" w:cs="Times New Roman"/>
                <w:sz w:val="24"/>
                <w:szCs w:val="24"/>
                <w:lang w:eastAsia="lt-LT"/>
              </w:rPr>
              <w:t xml:space="preserve">Nutarimo projekte siūloma </w:t>
            </w:r>
            <w:r w:rsidR="001E1CD8" w:rsidRPr="008237BD">
              <w:rPr>
                <w:rFonts w:ascii="Times New Roman" w:eastAsia="Times New Roman" w:hAnsi="Times New Roman" w:cs="Times New Roman"/>
                <w:sz w:val="24"/>
                <w:szCs w:val="24"/>
                <w:lang w:eastAsia="lt-LT"/>
              </w:rPr>
              <w:t>nuolat</w:t>
            </w:r>
            <w:r w:rsidRPr="008237BD">
              <w:rPr>
                <w:rFonts w:ascii="Times New Roman" w:eastAsia="Times New Roman" w:hAnsi="Times New Roman" w:cs="Times New Roman"/>
                <w:sz w:val="24"/>
                <w:szCs w:val="24"/>
                <w:lang w:eastAsia="lt-LT"/>
              </w:rPr>
              <w:t xml:space="preserve"> išlaikyti </w:t>
            </w:r>
            <w:r w:rsidR="00C669FC">
              <w:rPr>
                <w:rFonts w:ascii="Times New Roman" w:eastAsia="Times New Roman" w:hAnsi="Times New Roman" w:cs="Times New Roman"/>
                <w:sz w:val="24"/>
                <w:szCs w:val="24"/>
                <w:lang w:eastAsia="lt-LT"/>
              </w:rPr>
              <w:t xml:space="preserve">tas pačias </w:t>
            </w:r>
            <w:r w:rsidR="00C669FC" w:rsidRPr="008237BD">
              <w:rPr>
                <w:rFonts w:ascii="Times New Roman" w:eastAsia="Times New Roman" w:hAnsi="Times New Roman" w:cs="Times New Roman"/>
                <w:sz w:val="24"/>
                <w:szCs w:val="24"/>
                <w:lang w:eastAsia="lt-LT"/>
              </w:rPr>
              <w:t>lėšų paskirstymo dalis</w:t>
            </w:r>
            <w:r w:rsidRPr="008237BD">
              <w:rPr>
                <w:rFonts w:ascii="Times New Roman" w:eastAsia="Times New Roman" w:hAnsi="Times New Roman" w:cs="Times New Roman"/>
                <w:sz w:val="24"/>
                <w:szCs w:val="24"/>
                <w:lang w:eastAsia="lt-LT"/>
              </w:rPr>
              <w:t xml:space="preserve">. </w:t>
            </w:r>
            <w:r w:rsidR="00C669FC">
              <w:rPr>
                <w:rFonts w:ascii="Times New Roman" w:eastAsia="Times New Roman" w:hAnsi="Times New Roman" w:cs="Times New Roman"/>
                <w:sz w:val="24"/>
                <w:szCs w:val="24"/>
                <w:lang w:eastAsia="lt-LT"/>
              </w:rPr>
              <w:t>J</w:t>
            </w:r>
            <w:r w:rsidRPr="008237BD">
              <w:rPr>
                <w:rFonts w:ascii="Times New Roman" w:eastAsia="Times New Roman" w:hAnsi="Times New Roman" w:cs="Times New Roman"/>
                <w:sz w:val="24"/>
                <w:szCs w:val="24"/>
                <w:lang w:eastAsia="lt-LT"/>
              </w:rPr>
              <w:t>as keisti kiekvienais metais</w:t>
            </w:r>
            <w:r w:rsidR="00C669FC">
              <w:rPr>
                <w:rFonts w:ascii="Times New Roman" w:eastAsia="Times New Roman" w:hAnsi="Times New Roman" w:cs="Times New Roman"/>
                <w:sz w:val="24"/>
                <w:szCs w:val="24"/>
                <w:lang w:eastAsia="lt-LT"/>
              </w:rPr>
              <w:t xml:space="preserve"> būtų netikslinga</w:t>
            </w:r>
            <w:r w:rsidRPr="008237BD">
              <w:rPr>
                <w:rFonts w:ascii="Times New Roman" w:eastAsia="Times New Roman" w:hAnsi="Times New Roman" w:cs="Times New Roman"/>
                <w:sz w:val="24"/>
                <w:szCs w:val="24"/>
                <w:lang w:eastAsia="lt-LT"/>
              </w:rPr>
              <w:t>, nes, kaip minėta, jas sąlygoja vykdomos veiklos apimtis ES prekių ženklų apsaugos sistemoje, o ne konkrečios išlaidos vykdant veiklas</w:t>
            </w:r>
            <w:r w:rsidR="001E1CD8" w:rsidRPr="008237BD">
              <w:rPr>
                <w:rFonts w:ascii="Times New Roman" w:eastAsia="Times New Roman" w:hAnsi="Times New Roman" w:cs="Times New Roman"/>
                <w:sz w:val="24"/>
                <w:szCs w:val="24"/>
                <w:lang w:eastAsia="lt-LT"/>
              </w:rPr>
              <w:t xml:space="preserve"> konkrečiais metais</w:t>
            </w:r>
            <w:r w:rsidRPr="008237BD">
              <w:rPr>
                <w:rFonts w:ascii="Times New Roman" w:eastAsia="Times New Roman" w:hAnsi="Times New Roman" w:cs="Times New Roman"/>
                <w:sz w:val="24"/>
                <w:szCs w:val="24"/>
                <w:lang w:eastAsia="lt-LT"/>
              </w:rPr>
              <w:t>. Be to, valstybių statistiniai duomenys</w:t>
            </w:r>
            <w:r w:rsidR="001E1CD8" w:rsidRPr="008237BD">
              <w:rPr>
                <w:rFonts w:ascii="Times New Roman" w:eastAsia="Times New Roman" w:hAnsi="Times New Roman" w:cs="Times New Roman"/>
                <w:sz w:val="24"/>
                <w:szCs w:val="24"/>
                <w:lang w:eastAsia="lt-LT"/>
              </w:rPr>
              <w:t xml:space="preserve"> </w:t>
            </w:r>
            <w:r w:rsidRPr="008237BD">
              <w:rPr>
                <w:rFonts w:ascii="Times New Roman" w:eastAsia="Times New Roman" w:hAnsi="Times New Roman" w:cs="Times New Roman"/>
                <w:sz w:val="24"/>
                <w:szCs w:val="24"/>
                <w:lang w:eastAsia="lt-LT"/>
              </w:rPr>
              <w:t>turi įtakos ESINT skiriamo finansavimo paskirstymui įvertinus visų ES valstybių narių statistinius rodiklius, o ne kiekvienos valstybės atskirų institucijų rodiklius.</w:t>
            </w:r>
          </w:p>
          <w:p w14:paraId="55ED045B" w14:textId="5FEAEFE6" w:rsidR="00EB1C24" w:rsidRPr="008237BD" w:rsidRDefault="00EB1C24" w:rsidP="001E1CD8">
            <w:pPr>
              <w:pStyle w:val="Betarp"/>
              <w:jc w:val="both"/>
              <w:rPr>
                <w:rFonts w:ascii="Times New Roman" w:hAnsi="Times New Roman" w:cs="Times New Roman"/>
                <w:sz w:val="24"/>
                <w:szCs w:val="24"/>
              </w:rPr>
            </w:pPr>
            <w:r w:rsidRPr="008237BD">
              <w:rPr>
                <w:rFonts w:ascii="Times New Roman" w:eastAsia="Times New Roman" w:hAnsi="Times New Roman" w:cs="Times New Roman"/>
                <w:sz w:val="24"/>
                <w:szCs w:val="24"/>
                <w:lang w:eastAsia="lt-LT"/>
              </w:rPr>
              <w:t>Reglamento 36 preambulės punkte nurodyta, kad „</w:t>
            </w:r>
            <w:r w:rsidRPr="008237BD">
              <w:rPr>
                <w:rFonts w:ascii="Times New Roman" w:hAnsi="Times New Roman" w:cs="Times New Roman"/>
                <w:sz w:val="24"/>
                <w:szCs w:val="24"/>
              </w:rPr>
              <w:t>sukūrus ES prekių ženklų sistemą padidėjo valstybių narių centrinių pramoninės nuosavybės tarnybų ir kitų valdžios institucijų finansinė našta</w:t>
            </w:r>
            <w:r w:rsidR="005C1169">
              <w:rPr>
                <w:rFonts w:ascii="Times New Roman" w:hAnsi="Times New Roman" w:cs="Times New Roman"/>
                <w:sz w:val="24"/>
                <w:szCs w:val="24"/>
              </w:rPr>
              <w:t>“</w:t>
            </w:r>
            <w:r w:rsidRPr="008237BD">
              <w:rPr>
                <w:rFonts w:ascii="Times New Roman" w:hAnsi="Times New Roman" w:cs="Times New Roman"/>
                <w:sz w:val="24"/>
                <w:szCs w:val="24"/>
              </w:rPr>
              <w:t xml:space="preserve">. Papildomos išlaidos yra susijusios su tuo, kad vykdoma daugiau protesto ir pripažinimo negaliojančiu procedūrų, kurios yra susijusios su ES prekių ženklais arba kurias inicijuoja </w:t>
            </w:r>
            <w:r w:rsidRPr="008237BD">
              <w:rPr>
                <w:rFonts w:ascii="Times New Roman" w:hAnsi="Times New Roman" w:cs="Times New Roman"/>
                <w:sz w:val="24"/>
                <w:szCs w:val="24"/>
              </w:rPr>
              <w:lastRenderedPageBreak/>
              <w:t>tokių prekių ženklų savininkai, taip pat su informuotumo didinimo veikla, susijusia su ES prekių ženklų sistema, ir su veikla, kuria siekiama užtikrinti ES prekių ženklų teises. Todėl yra tikslinga užtikrinti, kad Tarnyba valstybėms narėms kompensuotų išlaidų dalį, patiriamą dėl jų vaidmens užtikrinant sklandų ES prekių ženklų sistemos veikimą. Tokia kompensacija turėtų būti mokama su sąlyga, kad valstybės narės pateikia atitinkamus statistinius duomenis. Toks kompensavimas neturėtų būti tokios apimties, dėl kurios susidarytų Tarnybos biudžeto deficitas“.</w:t>
            </w:r>
          </w:p>
          <w:p w14:paraId="00CCE92F" w14:textId="1F9A8BBD" w:rsidR="00EB1C24" w:rsidRPr="00C669FC" w:rsidRDefault="00EB1C24" w:rsidP="001E1CD8">
            <w:pPr>
              <w:pStyle w:val="Betarp"/>
              <w:jc w:val="both"/>
              <w:rPr>
                <w:rFonts w:ascii="Times New Roman" w:hAnsi="Times New Roman" w:cs="Times New Roman"/>
                <w:sz w:val="24"/>
                <w:szCs w:val="24"/>
              </w:rPr>
            </w:pPr>
            <w:r w:rsidRPr="008237BD">
              <w:rPr>
                <w:rFonts w:ascii="Times New Roman" w:hAnsi="Times New Roman" w:cs="Times New Roman"/>
                <w:sz w:val="24"/>
                <w:szCs w:val="24"/>
              </w:rPr>
              <w:t xml:space="preserve">Be to, Reglamento 39 preambulės punkte nurodytas mokesčių, kurie sudaro ESINT biudžetą, tikslas </w:t>
            </w:r>
            <w:r w:rsidR="00C669FC">
              <w:rPr>
                <w:rFonts w:ascii="Times New Roman" w:hAnsi="Times New Roman" w:cs="Times New Roman"/>
                <w:sz w:val="24"/>
                <w:szCs w:val="24"/>
              </w:rPr>
              <w:t>–</w:t>
            </w:r>
            <w:r w:rsidRPr="008237BD">
              <w:rPr>
                <w:rFonts w:ascii="Times New Roman" w:hAnsi="Times New Roman" w:cs="Times New Roman"/>
                <w:sz w:val="24"/>
                <w:szCs w:val="24"/>
              </w:rPr>
              <w:t xml:space="preserve"> subalansuotas ES ir nacionalinių prekių ženklų sistemų režimas, pripažįstant, kad </w:t>
            </w:r>
            <w:r w:rsidRPr="00C669FC">
              <w:rPr>
                <w:rFonts w:ascii="Times New Roman" w:hAnsi="Times New Roman" w:cs="Times New Roman"/>
                <w:sz w:val="24"/>
                <w:szCs w:val="24"/>
              </w:rPr>
              <w:t>nacionalinės sistemos ženkliai prisideda prie ES ženklų sistemos egzistavimo</w:t>
            </w:r>
            <w:r w:rsidRPr="00C669FC">
              <w:rPr>
                <w:rFonts w:ascii="Times New Roman" w:eastAsia="Times New Roman" w:hAnsi="Times New Roman" w:cs="Times New Roman"/>
                <w:sz w:val="24"/>
                <w:szCs w:val="24"/>
                <w:lang w:eastAsia="lt-LT"/>
              </w:rPr>
              <w:t>; antra, ES prekių ženklų ir nacionalinės prekių ženklų sistemos egzistuotų kartu ir papild</w:t>
            </w:r>
            <w:r w:rsidR="00C669FC" w:rsidRPr="00C669FC">
              <w:rPr>
                <w:rFonts w:ascii="Times New Roman" w:eastAsia="Times New Roman" w:hAnsi="Times New Roman" w:cs="Times New Roman"/>
                <w:sz w:val="24"/>
                <w:szCs w:val="24"/>
                <w:lang w:eastAsia="lt-LT"/>
              </w:rPr>
              <w:t>o</w:t>
            </w:r>
            <w:r w:rsidRPr="00C669FC">
              <w:rPr>
                <w:rFonts w:ascii="Times New Roman" w:eastAsia="Times New Roman" w:hAnsi="Times New Roman" w:cs="Times New Roman"/>
                <w:sz w:val="24"/>
                <w:szCs w:val="24"/>
                <w:lang w:eastAsia="lt-LT"/>
              </w:rPr>
              <w:t xml:space="preserve"> viena kitą; ir, trečia, valstybėse narėse </w:t>
            </w:r>
            <w:r w:rsidR="00C669FC" w:rsidRPr="00C669FC">
              <w:rPr>
                <w:rFonts w:ascii="Times New Roman" w:eastAsia="Times New Roman" w:hAnsi="Times New Roman" w:cs="Times New Roman"/>
                <w:sz w:val="24"/>
                <w:szCs w:val="24"/>
                <w:lang w:eastAsia="lt-LT"/>
              </w:rPr>
              <w:t>turi būti</w:t>
            </w:r>
            <w:r w:rsidRPr="00C669FC">
              <w:rPr>
                <w:rFonts w:ascii="Times New Roman" w:eastAsia="Times New Roman" w:hAnsi="Times New Roman" w:cs="Times New Roman"/>
                <w:sz w:val="24"/>
                <w:szCs w:val="24"/>
                <w:lang w:eastAsia="lt-LT"/>
              </w:rPr>
              <w:t xml:space="preserve"> veiksmingai užtikrinamos ES prekių ženklo savininkų teisės“</w:t>
            </w:r>
            <w:r w:rsidR="00C669FC">
              <w:rPr>
                <w:rFonts w:ascii="Times New Roman" w:eastAsia="Times New Roman" w:hAnsi="Times New Roman" w:cs="Times New Roman"/>
                <w:sz w:val="24"/>
                <w:szCs w:val="24"/>
                <w:lang w:eastAsia="lt-LT"/>
              </w:rPr>
              <w:t>.</w:t>
            </w:r>
          </w:p>
          <w:p w14:paraId="501A668C" w14:textId="2184358B" w:rsidR="00EB1C24" w:rsidRPr="008237BD" w:rsidRDefault="001E1CD8" w:rsidP="001E1CD8">
            <w:pPr>
              <w:pStyle w:val="Betarp"/>
              <w:jc w:val="both"/>
              <w:rPr>
                <w:rFonts w:ascii="Times New Roman" w:eastAsia="Times New Roman" w:hAnsi="Times New Roman" w:cs="Times New Roman"/>
                <w:sz w:val="24"/>
                <w:szCs w:val="24"/>
                <w:lang w:eastAsia="lt-LT"/>
              </w:rPr>
            </w:pPr>
            <w:r w:rsidRPr="00C669FC">
              <w:rPr>
                <w:rFonts w:ascii="Times New Roman" w:hAnsi="Times New Roman" w:cs="Times New Roman"/>
                <w:sz w:val="24"/>
                <w:szCs w:val="24"/>
              </w:rPr>
              <w:t xml:space="preserve">Reglamente terminas </w:t>
            </w:r>
            <w:r w:rsidR="00EB1C24" w:rsidRPr="00C669FC">
              <w:rPr>
                <w:rFonts w:ascii="Times New Roman" w:hAnsi="Times New Roman" w:cs="Times New Roman"/>
                <w:sz w:val="24"/>
                <w:szCs w:val="24"/>
              </w:rPr>
              <w:t>„</w:t>
            </w:r>
            <w:r w:rsidRPr="00C669FC">
              <w:rPr>
                <w:rFonts w:ascii="Times New Roman" w:hAnsi="Times New Roman" w:cs="Times New Roman"/>
                <w:sz w:val="24"/>
                <w:szCs w:val="24"/>
              </w:rPr>
              <w:t>k</w:t>
            </w:r>
            <w:r w:rsidR="00EB1C24" w:rsidRPr="00C669FC">
              <w:rPr>
                <w:rFonts w:ascii="Times New Roman" w:hAnsi="Times New Roman" w:cs="Times New Roman"/>
                <w:sz w:val="24"/>
                <w:szCs w:val="24"/>
              </w:rPr>
              <w:t>ompensuoti</w:t>
            </w:r>
            <w:r w:rsidR="00EB1C24" w:rsidRPr="008237BD">
              <w:rPr>
                <w:rFonts w:ascii="Times New Roman" w:hAnsi="Times New Roman" w:cs="Times New Roman"/>
                <w:sz w:val="24"/>
                <w:szCs w:val="24"/>
              </w:rPr>
              <w:t>“ yra vartojama</w:t>
            </w:r>
            <w:r w:rsidR="00C669FC">
              <w:rPr>
                <w:rFonts w:ascii="Times New Roman" w:hAnsi="Times New Roman" w:cs="Times New Roman"/>
                <w:sz w:val="24"/>
                <w:szCs w:val="24"/>
              </w:rPr>
              <w:t>s</w:t>
            </w:r>
            <w:r w:rsidR="00EB1C24" w:rsidRPr="008237BD">
              <w:rPr>
                <w:rFonts w:ascii="Times New Roman" w:hAnsi="Times New Roman" w:cs="Times New Roman"/>
                <w:sz w:val="24"/>
                <w:szCs w:val="24"/>
              </w:rPr>
              <w:t xml:space="preserve"> </w:t>
            </w:r>
            <w:r w:rsidR="00C669FC">
              <w:rPr>
                <w:rFonts w:ascii="Times New Roman" w:hAnsi="Times New Roman" w:cs="Times New Roman"/>
                <w:sz w:val="24"/>
                <w:szCs w:val="24"/>
              </w:rPr>
              <w:t>ta prasme</w:t>
            </w:r>
            <w:r w:rsidR="00EB1C24" w:rsidRPr="008237BD">
              <w:rPr>
                <w:rStyle w:val="Puslapioinaosnuoroda"/>
                <w:rFonts w:ascii="Times New Roman" w:hAnsi="Times New Roman" w:cs="Times New Roman"/>
                <w:sz w:val="24"/>
                <w:szCs w:val="24"/>
              </w:rPr>
              <w:footnoteReference w:id="5"/>
            </w:r>
            <w:r w:rsidR="00EB1C24" w:rsidRPr="008237BD">
              <w:rPr>
                <w:rFonts w:ascii="Times New Roman" w:hAnsi="Times New Roman" w:cs="Times New Roman"/>
                <w:sz w:val="24"/>
                <w:szCs w:val="24"/>
              </w:rPr>
              <w:t xml:space="preserve">, </w:t>
            </w:r>
            <w:r w:rsidR="00C669FC">
              <w:rPr>
                <w:rFonts w:ascii="Times New Roman" w:hAnsi="Times New Roman" w:cs="Times New Roman"/>
                <w:sz w:val="24"/>
                <w:szCs w:val="24"/>
              </w:rPr>
              <w:t xml:space="preserve">kad </w:t>
            </w:r>
            <w:r w:rsidR="00EB1C24" w:rsidRPr="008237BD">
              <w:rPr>
                <w:rFonts w:ascii="Times New Roman" w:hAnsi="Times New Roman" w:cs="Times New Roman"/>
                <w:sz w:val="24"/>
                <w:szCs w:val="24"/>
              </w:rPr>
              <w:t xml:space="preserve">valstybėms narėms </w:t>
            </w:r>
            <w:r w:rsidR="00C669FC">
              <w:rPr>
                <w:rFonts w:ascii="Times New Roman" w:hAnsi="Times New Roman" w:cs="Times New Roman"/>
                <w:sz w:val="24"/>
                <w:szCs w:val="24"/>
              </w:rPr>
              <w:t xml:space="preserve">turi būti </w:t>
            </w:r>
            <w:r w:rsidR="00EB1C24" w:rsidRPr="008237BD">
              <w:rPr>
                <w:rFonts w:ascii="Times New Roman" w:hAnsi="Times New Roman" w:cs="Times New Roman"/>
                <w:sz w:val="24"/>
                <w:szCs w:val="24"/>
              </w:rPr>
              <w:t>atlygint</w:t>
            </w:r>
            <w:r w:rsidR="00C669FC">
              <w:rPr>
                <w:rFonts w:ascii="Times New Roman" w:hAnsi="Times New Roman" w:cs="Times New Roman"/>
                <w:sz w:val="24"/>
                <w:szCs w:val="24"/>
              </w:rPr>
              <w:t>a</w:t>
            </w:r>
            <w:r w:rsidR="00EB1C24" w:rsidRPr="008237BD">
              <w:rPr>
                <w:rFonts w:ascii="Times New Roman" w:hAnsi="Times New Roman" w:cs="Times New Roman"/>
                <w:sz w:val="24"/>
                <w:szCs w:val="24"/>
              </w:rPr>
              <w:t xml:space="preserve"> už </w:t>
            </w:r>
            <w:r w:rsidRPr="008237BD">
              <w:rPr>
                <w:rFonts w:ascii="Times New Roman" w:hAnsi="Times New Roman" w:cs="Times New Roman"/>
                <w:sz w:val="24"/>
                <w:szCs w:val="24"/>
              </w:rPr>
              <w:t xml:space="preserve">joms </w:t>
            </w:r>
            <w:r w:rsidR="00C669FC">
              <w:rPr>
                <w:rFonts w:ascii="Times New Roman" w:hAnsi="Times New Roman" w:cs="Times New Roman"/>
                <w:sz w:val="24"/>
                <w:szCs w:val="24"/>
              </w:rPr>
              <w:t xml:space="preserve">bendrai </w:t>
            </w:r>
            <w:r w:rsidR="00EB1C24" w:rsidRPr="008237BD">
              <w:rPr>
                <w:rFonts w:ascii="Times New Roman" w:hAnsi="Times New Roman" w:cs="Times New Roman"/>
                <w:sz w:val="24"/>
                <w:szCs w:val="24"/>
              </w:rPr>
              <w:t>padidėjusią finansinę naštą ir   papildomas išlaidas, patiriamas „dėl jų vaidmens užtikrinant sklandų ES prekių ženklų sistemos veikimą“. Terminai „finansinė našta“, „vaidmuo“ suponuoja, kad tai nėra tiesiogiai patirtų išlaidų kompensa</w:t>
            </w:r>
            <w:r w:rsidR="008C72CE" w:rsidRPr="008237BD">
              <w:rPr>
                <w:rFonts w:ascii="Times New Roman" w:hAnsi="Times New Roman" w:cs="Times New Roman"/>
                <w:sz w:val="24"/>
                <w:szCs w:val="24"/>
              </w:rPr>
              <w:t>vimas</w:t>
            </w:r>
            <w:r w:rsidR="00EB1C24" w:rsidRPr="008237BD">
              <w:rPr>
                <w:rFonts w:ascii="Times New Roman" w:hAnsi="Times New Roman" w:cs="Times New Roman"/>
                <w:sz w:val="24"/>
                <w:szCs w:val="24"/>
              </w:rPr>
              <w:t xml:space="preserve">, o tam tikras sutartinis atlygis </w:t>
            </w:r>
            <w:r w:rsidR="008C72CE" w:rsidRPr="008237BD">
              <w:rPr>
                <w:rFonts w:ascii="Times New Roman" w:hAnsi="Times New Roman" w:cs="Times New Roman"/>
                <w:sz w:val="24"/>
                <w:szCs w:val="24"/>
              </w:rPr>
              <w:t xml:space="preserve">nacionalinėms ženklų sistemoms </w:t>
            </w:r>
            <w:r w:rsidR="00EB1C24" w:rsidRPr="008237BD">
              <w:rPr>
                <w:rFonts w:ascii="Times New Roman" w:hAnsi="Times New Roman" w:cs="Times New Roman"/>
                <w:sz w:val="24"/>
                <w:szCs w:val="24"/>
              </w:rPr>
              <w:t xml:space="preserve">už dalyvavimą </w:t>
            </w:r>
            <w:r w:rsidR="008C72CE" w:rsidRPr="008237BD">
              <w:rPr>
                <w:rFonts w:ascii="Times New Roman" w:hAnsi="Times New Roman" w:cs="Times New Roman"/>
                <w:sz w:val="24"/>
                <w:szCs w:val="24"/>
              </w:rPr>
              <w:t xml:space="preserve">ir vaidmenį </w:t>
            </w:r>
            <w:r w:rsidR="00EB1C24" w:rsidRPr="008237BD">
              <w:rPr>
                <w:rFonts w:ascii="Times New Roman" w:hAnsi="Times New Roman" w:cs="Times New Roman"/>
                <w:sz w:val="24"/>
                <w:szCs w:val="24"/>
              </w:rPr>
              <w:t>ES prekių ženklų sistemoje. Pagal Reglamentą skiriant šią kompensaciją valstybės narės neturi pateikti patirtų konkrečių išlaidų įrodymų, prašoma pateikti tik tam tikrus duomenis, kurie padėtų paskirstyti sukauptą ir kompensavimui skiriamą bendrą sumą</w:t>
            </w:r>
            <w:r w:rsidR="008C72CE" w:rsidRPr="008237BD">
              <w:rPr>
                <w:rFonts w:ascii="Times New Roman" w:hAnsi="Times New Roman" w:cs="Times New Roman"/>
                <w:sz w:val="24"/>
                <w:szCs w:val="24"/>
              </w:rPr>
              <w:t xml:space="preserve"> tarp valstybių narių.</w:t>
            </w:r>
          </w:p>
          <w:p w14:paraId="2A2B52AB" w14:textId="77777777" w:rsidR="002A3DE2" w:rsidRDefault="00EB1C24" w:rsidP="00C314EA">
            <w:pPr>
              <w:pStyle w:val="Betarp"/>
              <w:jc w:val="both"/>
              <w:rPr>
                <w:rFonts w:ascii="Times New Roman" w:eastAsia="Times New Roman" w:hAnsi="Times New Roman" w:cs="Times New Roman"/>
                <w:sz w:val="24"/>
                <w:szCs w:val="24"/>
                <w:lang w:eastAsia="lt-LT"/>
              </w:rPr>
            </w:pPr>
            <w:r w:rsidRPr="008237BD">
              <w:rPr>
                <w:rFonts w:ascii="Times New Roman" w:eastAsia="Times New Roman" w:hAnsi="Times New Roman" w:cs="Times New Roman"/>
                <w:sz w:val="24"/>
                <w:szCs w:val="24"/>
                <w:lang w:eastAsia="lt-LT"/>
              </w:rPr>
              <w:t>Atsižvelgiant į teikiamų statistinių duomenų pobūdį</w:t>
            </w:r>
            <w:r w:rsidR="00C669FC">
              <w:rPr>
                <w:rFonts w:ascii="Times New Roman" w:eastAsia="Times New Roman" w:hAnsi="Times New Roman" w:cs="Times New Roman"/>
                <w:sz w:val="24"/>
                <w:szCs w:val="24"/>
                <w:lang w:eastAsia="lt-LT"/>
              </w:rPr>
              <w:t xml:space="preserve"> </w:t>
            </w:r>
            <w:r w:rsidRPr="008237BD">
              <w:rPr>
                <w:rFonts w:ascii="Times New Roman" w:eastAsia="Times New Roman" w:hAnsi="Times New Roman" w:cs="Times New Roman"/>
                <w:sz w:val="24"/>
                <w:szCs w:val="24"/>
                <w:lang w:eastAsia="lt-LT"/>
              </w:rPr>
              <w:t>konstatuotina, kad valstybių narių teikiami statistiniai duomen</w:t>
            </w:r>
            <w:r w:rsidR="00C669FC">
              <w:rPr>
                <w:rFonts w:ascii="Times New Roman" w:eastAsia="Times New Roman" w:hAnsi="Times New Roman" w:cs="Times New Roman"/>
                <w:sz w:val="24"/>
                <w:szCs w:val="24"/>
                <w:lang w:eastAsia="lt-LT"/>
              </w:rPr>
              <w:t>y</w:t>
            </w:r>
            <w:r w:rsidRPr="008237BD">
              <w:rPr>
                <w:rFonts w:ascii="Times New Roman" w:eastAsia="Times New Roman" w:hAnsi="Times New Roman" w:cs="Times New Roman"/>
                <w:sz w:val="24"/>
                <w:szCs w:val="24"/>
                <w:lang w:eastAsia="lt-LT"/>
              </w:rPr>
              <w:t>s nėra skirti išlaid</w:t>
            </w:r>
            <w:r w:rsidR="00C669FC">
              <w:rPr>
                <w:rFonts w:ascii="Times New Roman" w:eastAsia="Times New Roman" w:hAnsi="Times New Roman" w:cs="Times New Roman"/>
                <w:sz w:val="24"/>
                <w:szCs w:val="24"/>
                <w:lang w:eastAsia="lt-LT"/>
              </w:rPr>
              <w:t>om</w:t>
            </w:r>
            <w:r w:rsidRPr="008237BD">
              <w:rPr>
                <w:rFonts w:ascii="Times New Roman" w:eastAsia="Times New Roman" w:hAnsi="Times New Roman" w:cs="Times New Roman"/>
                <w:sz w:val="24"/>
                <w:szCs w:val="24"/>
                <w:lang w:eastAsia="lt-LT"/>
              </w:rPr>
              <w:t>s</w:t>
            </w:r>
            <w:r w:rsidR="00C669FC" w:rsidRPr="008237BD">
              <w:rPr>
                <w:rFonts w:ascii="Times New Roman" w:eastAsia="Times New Roman" w:hAnsi="Times New Roman" w:cs="Times New Roman"/>
                <w:sz w:val="24"/>
                <w:szCs w:val="24"/>
                <w:lang w:eastAsia="lt-LT"/>
              </w:rPr>
              <w:t xml:space="preserve"> pagrįsti</w:t>
            </w:r>
            <w:r w:rsidRPr="008237BD">
              <w:rPr>
                <w:rFonts w:ascii="Times New Roman" w:eastAsia="Times New Roman" w:hAnsi="Times New Roman" w:cs="Times New Roman"/>
                <w:sz w:val="24"/>
                <w:szCs w:val="24"/>
                <w:lang w:eastAsia="lt-LT"/>
              </w:rPr>
              <w:t xml:space="preserve">, </w:t>
            </w:r>
            <w:r w:rsidR="00C669FC">
              <w:rPr>
                <w:rFonts w:ascii="Times New Roman" w:eastAsia="Times New Roman" w:hAnsi="Times New Roman" w:cs="Times New Roman"/>
                <w:sz w:val="24"/>
                <w:szCs w:val="24"/>
                <w:lang w:eastAsia="lt-LT"/>
              </w:rPr>
              <w:t xml:space="preserve">tačiau </w:t>
            </w:r>
            <w:r w:rsidRPr="008237BD">
              <w:rPr>
                <w:rFonts w:ascii="Times New Roman" w:eastAsia="Times New Roman" w:hAnsi="Times New Roman" w:cs="Times New Roman"/>
                <w:sz w:val="24"/>
                <w:szCs w:val="24"/>
                <w:lang w:eastAsia="lt-LT"/>
              </w:rPr>
              <w:t>įvertinti</w:t>
            </w:r>
            <w:r w:rsidR="00C669FC">
              <w:rPr>
                <w:rFonts w:ascii="Times New Roman" w:eastAsia="Times New Roman" w:hAnsi="Times New Roman" w:cs="Times New Roman"/>
                <w:sz w:val="24"/>
                <w:szCs w:val="24"/>
                <w:lang w:eastAsia="lt-LT"/>
              </w:rPr>
              <w:t xml:space="preserve"> </w:t>
            </w:r>
            <w:r w:rsidRPr="008237BD">
              <w:rPr>
                <w:rFonts w:ascii="Times New Roman" w:eastAsia="Times New Roman" w:hAnsi="Times New Roman" w:cs="Times New Roman"/>
                <w:sz w:val="24"/>
                <w:szCs w:val="24"/>
                <w:lang w:eastAsia="lt-LT"/>
              </w:rPr>
              <w:t xml:space="preserve">įvykdytų veiklų apimtis. Pagal Prekių ženklų įstatymo 79 str. 2 str. VPB yra atsakingas už </w:t>
            </w:r>
            <w:r w:rsidR="00C669FC">
              <w:rPr>
                <w:rFonts w:ascii="Times New Roman" w:eastAsia="Times New Roman" w:hAnsi="Times New Roman" w:cs="Times New Roman"/>
                <w:sz w:val="24"/>
                <w:szCs w:val="24"/>
                <w:lang w:eastAsia="lt-LT"/>
              </w:rPr>
              <w:t xml:space="preserve">šių </w:t>
            </w:r>
            <w:r w:rsidRPr="008237BD">
              <w:rPr>
                <w:rFonts w:ascii="Times New Roman" w:eastAsia="Times New Roman" w:hAnsi="Times New Roman" w:cs="Times New Roman"/>
                <w:sz w:val="24"/>
                <w:szCs w:val="24"/>
                <w:lang w:eastAsia="lt-LT"/>
              </w:rPr>
              <w:lastRenderedPageBreak/>
              <w:t>statistinių duomenų surinkimą ir pateikimą. Reglamento 172 str. 5 dalyje nurodytos išlaidos pagrindžiamos absoliučiais skaičiais, o ne konkrečiomis išlaidomis.</w:t>
            </w:r>
          </w:p>
          <w:p w14:paraId="4B6ED6B1" w14:textId="76E0D3D4" w:rsidR="00C314EA" w:rsidRPr="008237BD" w:rsidRDefault="00C314EA" w:rsidP="00C314EA">
            <w:pPr>
              <w:pStyle w:val="Betarp"/>
              <w:jc w:val="both"/>
              <w:rPr>
                <w:rFonts w:ascii="Times New Roman" w:hAnsi="Times New Roman" w:cs="Times New Roman"/>
                <w:b/>
                <w:bCs/>
                <w:sz w:val="24"/>
                <w:szCs w:val="24"/>
              </w:rPr>
            </w:pPr>
          </w:p>
        </w:tc>
      </w:tr>
      <w:tr w:rsidR="00A31671" w:rsidRPr="008237BD" w14:paraId="1F104F1F" w14:textId="77777777" w:rsidTr="00383D33">
        <w:tc>
          <w:tcPr>
            <w:tcW w:w="425" w:type="dxa"/>
          </w:tcPr>
          <w:p w14:paraId="0AD4A389" w14:textId="77777777" w:rsidR="002A3DE2" w:rsidRPr="008237BD" w:rsidRDefault="002A3DE2" w:rsidP="00814840">
            <w:pPr>
              <w:pStyle w:val="Betarp"/>
              <w:jc w:val="both"/>
              <w:rPr>
                <w:rFonts w:ascii="Times New Roman" w:hAnsi="Times New Roman" w:cs="Times New Roman"/>
                <w:sz w:val="24"/>
                <w:szCs w:val="24"/>
              </w:rPr>
            </w:pPr>
          </w:p>
        </w:tc>
        <w:tc>
          <w:tcPr>
            <w:tcW w:w="1843" w:type="dxa"/>
          </w:tcPr>
          <w:p w14:paraId="1A9273E5" w14:textId="77777777" w:rsidR="002A3DE2" w:rsidRPr="008237BD" w:rsidRDefault="002A3DE2" w:rsidP="00814840">
            <w:pPr>
              <w:pStyle w:val="Betarp"/>
              <w:jc w:val="both"/>
              <w:rPr>
                <w:rFonts w:ascii="Times New Roman" w:hAnsi="Times New Roman" w:cs="Times New Roman"/>
                <w:sz w:val="24"/>
                <w:szCs w:val="24"/>
              </w:rPr>
            </w:pPr>
          </w:p>
        </w:tc>
        <w:tc>
          <w:tcPr>
            <w:tcW w:w="5528" w:type="dxa"/>
          </w:tcPr>
          <w:p w14:paraId="0B0837C2" w14:textId="1AA768D0" w:rsidR="00EB1C24" w:rsidRPr="008237BD" w:rsidRDefault="00EB1C24" w:rsidP="00814840">
            <w:pPr>
              <w:pStyle w:val="Betarp"/>
              <w:jc w:val="both"/>
              <w:rPr>
                <w:rFonts w:ascii="Times New Roman" w:eastAsia="Times New Roman" w:hAnsi="Times New Roman" w:cs="Times New Roman"/>
                <w:b/>
                <w:bCs/>
                <w:sz w:val="24"/>
                <w:szCs w:val="24"/>
                <w:lang w:eastAsia="lt-LT"/>
              </w:rPr>
            </w:pPr>
            <w:r w:rsidRPr="008237BD">
              <w:rPr>
                <w:rFonts w:ascii="Times New Roman" w:eastAsia="Times New Roman" w:hAnsi="Times New Roman" w:cs="Times New Roman"/>
                <w:b/>
                <w:bCs/>
                <w:sz w:val="24"/>
                <w:szCs w:val="24"/>
                <w:lang w:eastAsia="lt-LT"/>
              </w:rPr>
              <w:t>2. Siekiant teisinio aiškumo, siūlytina Projekte patikslinti (tarpusavyje suderinti) vartojamas formuluotes „Lietuvos Respublikos valstybinio patentų biuro gaunamos lėšos“, „lėšų, skiriamų pagal &lt;...&gt;“, „gautų lėšų“, kadangi lieka neaišku, apie kokias lėšas yra kalbama, t. y., ar tik 2020 metais Lietuvos Respublikai skirtas lėšas pagal Reglamentą (ES) Nr. 2017/1001, ar bet kuriais metais ateityje skiriamas lėšas pagal minėtą reglamentą.</w:t>
            </w:r>
          </w:p>
          <w:p w14:paraId="7F74E9B6" w14:textId="55D6984C" w:rsidR="002A3DE2" w:rsidRPr="008237BD" w:rsidRDefault="002A3DE2" w:rsidP="00814840">
            <w:pPr>
              <w:pStyle w:val="Betarp"/>
              <w:jc w:val="both"/>
              <w:rPr>
                <w:rFonts w:ascii="Times New Roman" w:hAnsi="Times New Roman" w:cs="Times New Roman"/>
                <w:sz w:val="24"/>
                <w:szCs w:val="24"/>
              </w:rPr>
            </w:pPr>
          </w:p>
        </w:tc>
        <w:tc>
          <w:tcPr>
            <w:tcW w:w="6662" w:type="dxa"/>
          </w:tcPr>
          <w:p w14:paraId="5285A9C5" w14:textId="5FA0AAF8" w:rsidR="00667BFF" w:rsidRPr="008237BD" w:rsidRDefault="00667BFF" w:rsidP="00814840">
            <w:pPr>
              <w:jc w:val="both"/>
              <w:rPr>
                <w:rFonts w:ascii="Times New Roman" w:eastAsia="Times New Roman" w:hAnsi="Times New Roman" w:cs="Times New Roman"/>
                <w:sz w:val="24"/>
                <w:szCs w:val="24"/>
              </w:rPr>
            </w:pPr>
            <w:r w:rsidRPr="008237BD">
              <w:rPr>
                <w:rFonts w:ascii="Times New Roman" w:eastAsia="Times New Roman" w:hAnsi="Times New Roman" w:cs="Times New Roman"/>
                <w:b/>
                <w:bCs/>
                <w:sz w:val="24"/>
                <w:szCs w:val="24"/>
              </w:rPr>
              <w:t>Atsižvelg</w:t>
            </w:r>
            <w:r w:rsidR="000D1942">
              <w:rPr>
                <w:rFonts w:ascii="Times New Roman" w:eastAsia="Times New Roman" w:hAnsi="Times New Roman" w:cs="Times New Roman"/>
                <w:b/>
                <w:bCs/>
                <w:sz w:val="24"/>
                <w:szCs w:val="24"/>
              </w:rPr>
              <w:t>t</w:t>
            </w:r>
            <w:r w:rsidRPr="008237BD">
              <w:rPr>
                <w:rFonts w:ascii="Times New Roman" w:eastAsia="Times New Roman" w:hAnsi="Times New Roman" w:cs="Times New Roman"/>
                <w:b/>
                <w:bCs/>
                <w:sz w:val="24"/>
                <w:szCs w:val="24"/>
              </w:rPr>
              <w:t>a</w:t>
            </w:r>
            <w:r w:rsidR="00C314EA">
              <w:rPr>
                <w:rFonts w:ascii="Times New Roman" w:eastAsia="Times New Roman" w:hAnsi="Times New Roman" w:cs="Times New Roman"/>
                <w:b/>
                <w:bCs/>
                <w:sz w:val="24"/>
                <w:szCs w:val="24"/>
              </w:rPr>
              <w:t>.</w:t>
            </w:r>
            <w:r w:rsidRPr="008237BD">
              <w:rPr>
                <w:rFonts w:ascii="Times New Roman" w:eastAsia="Times New Roman" w:hAnsi="Times New Roman" w:cs="Times New Roman"/>
                <w:sz w:val="24"/>
                <w:szCs w:val="24"/>
              </w:rPr>
              <w:t xml:space="preserve"> </w:t>
            </w:r>
            <w:r w:rsidR="00C314EA">
              <w:rPr>
                <w:rFonts w:ascii="Times New Roman" w:eastAsia="Times New Roman" w:hAnsi="Times New Roman" w:cs="Times New Roman"/>
                <w:sz w:val="24"/>
                <w:szCs w:val="24"/>
              </w:rPr>
              <w:t>Nutarimo p</w:t>
            </w:r>
            <w:r w:rsidRPr="008237BD">
              <w:rPr>
                <w:rFonts w:ascii="Times New Roman" w:hAnsi="Times New Roman" w:cs="Times New Roman"/>
                <w:sz w:val="24"/>
                <w:szCs w:val="24"/>
              </w:rPr>
              <w:t>rojekto 1 punkt</w:t>
            </w:r>
            <w:r w:rsidR="0003378F" w:rsidRPr="008237BD">
              <w:rPr>
                <w:rFonts w:ascii="Times New Roman" w:hAnsi="Times New Roman" w:cs="Times New Roman"/>
                <w:sz w:val="24"/>
                <w:szCs w:val="24"/>
              </w:rPr>
              <w:t>e nurodyt</w:t>
            </w:r>
            <w:r w:rsidR="000D1942">
              <w:rPr>
                <w:rFonts w:ascii="Times New Roman" w:hAnsi="Times New Roman" w:cs="Times New Roman"/>
                <w:sz w:val="24"/>
                <w:szCs w:val="24"/>
              </w:rPr>
              <w:t>a</w:t>
            </w:r>
            <w:r w:rsidR="0003378F" w:rsidRPr="008237BD">
              <w:rPr>
                <w:rFonts w:ascii="Times New Roman" w:hAnsi="Times New Roman" w:cs="Times New Roman"/>
                <w:sz w:val="24"/>
                <w:szCs w:val="24"/>
              </w:rPr>
              <w:t xml:space="preserve"> santrump</w:t>
            </w:r>
            <w:r w:rsidR="000D1942">
              <w:rPr>
                <w:rFonts w:ascii="Times New Roman" w:hAnsi="Times New Roman" w:cs="Times New Roman"/>
                <w:sz w:val="24"/>
                <w:szCs w:val="24"/>
              </w:rPr>
              <w:t>a</w:t>
            </w:r>
            <w:r w:rsidR="0003378F" w:rsidRPr="008237BD">
              <w:rPr>
                <w:rFonts w:ascii="Times New Roman" w:hAnsi="Times New Roman" w:cs="Times New Roman"/>
                <w:sz w:val="24"/>
                <w:szCs w:val="24"/>
              </w:rPr>
              <w:t xml:space="preserve"> (lėšos) ir 1 punkt</w:t>
            </w:r>
            <w:r w:rsidR="000D1942">
              <w:rPr>
                <w:rFonts w:ascii="Times New Roman" w:hAnsi="Times New Roman" w:cs="Times New Roman"/>
                <w:sz w:val="24"/>
                <w:szCs w:val="24"/>
              </w:rPr>
              <w:t>as</w:t>
            </w:r>
            <w:r w:rsidR="0003378F" w:rsidRPr="008237BD">
              <w:rPr>
                <w:rFonts w:ascii="Times New Roman" w:hAnsi="Times New Roman" w:cs="Times New Roman"/>
                <w:sz w:val="24"/>
                <w:szCs w:val="24"/>
              </w:rPr>
              <w:t xml:space="preserve"> </w:t>
            </w:r>
            <w:r w:rsidRPr="008237BD">
              <w:rPr>
                <w:rFonts w:ascii="Times New Roman" w:hAnsi="Times New Roman" w:cs="Times New Roman"/>
                <w:sz w:val="24"/>
                <w:szCs w:val="24"/>
              </w:rPr>
              <w:t xml:space="preserve"> patikslint</w:t>
            </w:r>
            <w:r w:rsidR="000D1942">
              <w:rPr>
                <w:rFonts w:ascii="Times New Roman" w:hAnsi="Times New Roman" w:cs="Times New Roman"/>
                <w:sz w:val="24"/>
                <w:szCs w:val="24"/>
              </w:rPr>
              <w:t>as</w:t>
            </w:r>
            <w:r w:rsidRPr="008237BD">
              <w:rPr>
                <w:rFonts w:ascii="Times New Roman" w:hAnsi="Times New Roman" w:cs="Times New Roman"/>
                <w:sz w:val="24"/>
                <w:szCs w:val="24"/>
              </w:rPr>
              <w:t xml:space="preserve"> taip:</w:t>
            </w:r>
          </w:p>
          <w:p w14:paraId="6CCEC886" w14:textId="019C4B00" w:rsidR="00667BFF" w:rsidRPr="001E0818" w:rsidRDefault="00667BFF" w:rsidP="001E0818">
            <w:pPr>
              <w:tabs>
                <w:tab w:val="left" w:pos="1134"/>
              </w:tabs>
              <w:jc w:val="both"/>
              <w:rPr>
                <w:rFonts w:ascii="Times New Roman" w:eastAsia="Times New Roman" w:hAnsi="Times New Roman" w:cs="Times New Roman"/>
                <w:sz w:val="24"/>
                <w:szCs w:val="24"/>
              </w:rPr>
            </w:pPr>
            <w:r w:rsidRPr="001E0818">
              <w:rPr>
                <w:rFonts w:ascii="Times New Roman" w:hAnsi="Times New Roman" w:cs="Times New Roman"/>
                <w:sz w:val="24"/>
                <w:szCs w:val="24"/>
              </w:rPr>
              <w:t>„</w:t>
            </w:r>
            <w:r w:rsidR="001E0818" w:rsidRPr="001E0818">
              <w:rPr>
                <w:rFonts w:ascii="Times New Roman" w:hAnsi="Times New Roman" w:cs="Times New Roman"/>
                <w:sz w:val="24"/>
                <w:szCs w:val="24"/>
              </w:rPr>
              <w:t xml:space="preserve">1. Nustatyti, kad Lietuvos Respublikos valstybinio patentų biuro pagal Reglamento (ES) Nr. 2017/1001 172 straipsnio 4 dalį </w:t>
            </w:r>
            <w:r w:rsidR="001E0818" w:rsidRPr="001E0818">
              <w:rPr>
                <w:rFonts w:ascii="Times New Roman" w:hAnsi="Times New Roman" w:cs="Times New Roman"/>
                <w:bCs/>
                <w:sz w:val="24"/>
                <w:szCs w:val="24"/>
              </w:rPr>
              <w:t>gaunamos lėšos (toliau – lėšos) paskirstomos</w:t>
            </w:r>
            <w:r w:rsidR="001E0818" w:rsidRPr="001E0818">
              <w:rPr>
                <w:rFonts w:ascii="Times New Roman" w:hAnsi="Times New Roman" w:cs="Times New Roman"/>
                <w:sz w:val="24"/>
                <w:szCs w:val="24"/>
              </w:rPr>
              <w:t xml:space="preserve"> taip:</w:t>
            </w:r>
            <w:r w:rsidRPr="001E0818">
              <w:rPr>
                <w:rFonts w:ascii="Times New Roman" w:hAnsi="Times New Roman" w:cs="Times New Roman"/>
                <w:sz w:val="24"/>
                <w:szCs w:val="24"/>
              </w:rPr>
              <w:t>“</w:t>
            </w:r>
            <w:r w:rsidR="009E0478" w:rsidRPr="001E0818">
              <w:rPr>
                <w:rFonts w:ascii="Times New Roman" w:hAnsi="Times New Roman" w:cs="Times New Roman"/>
                <w:sz w:val="24"/>
                <w:szCs w:val="24"/>
              </w:rPr>
              <w:t>.</w:t>
            </w:r>
            <w:bookmarkStart w:id="0" w:name="_GoBack"/>
            <w:bookmarkEnd w:id="0"/>
          </w:p>
          <w:p w14:paraId="2AC6935E" w14:textId="740426E7" w:rsidR="002A3DE2" w:rsidRPr="008237BD" w:rsidRDefault="003164D8" w:rsidP="00814840">
            <w:pPr>
              <w:pStyle w:val="Betarp"/>
              <w:jc w:val="both"/>
              <w:rPr>
                <w:rFonts w:ascii="Times New Roman" w:hAnsi="Times New Roman" w:cs="Times New Roman"/>
                <w:sz w:val="24"/>
                <w:szCs w:val="24"/>
              </w:rPr>
            </w:pPr>
            <w:r w:rsidRPr="008237BD">
              <w:rPr>
                <w:rFonts w:ascii="Times New Roman" w:hAnsi="Times New Roman" w:cs="Times New Roman"/>
                <w:sz w:val="24"/>
                <w:szCs w:val="24"/>
              </w:rPr>
              <w:t xml:space="preserve">Formuluotė „lėšos“ taikoma visoms gautoms ir ateityje numatomoms gauti lėšoms </w:t>
            </w:r>
            <w:r w:rsidR="00EB1C24" w:rsidRPr="008237BD">
              <w:rPr>
                <w:rFonts w:ascii="Times New Roman" w:hAnsi="Times New Roman" w:cs="Times New Roman"/>
                <w:sz w:val="24"/>
                <w:szCs w:val="24"/>
              </w:rPr>
              <w:t xml:space="preserve">pagal Reglamento 172 str. </w:t>
            </w:r>
            <w:r w:rsidRPr="008237BD">
              <w:rPr>
                <w:rFonts w:ascii="Times New Roman" w:hAnsi="Times New Roman" w:cs="Times New Roman"/>
                <w:sz w:val="24"/>
                <w:szCs w:val="24"/>
              </w:rPr>
              <w:t xml:space="preserve">4 </w:t>
            </w:r>
            <w:r w:rsidR="00EB1C24" w:rsidRPr="008237BD">
              <w:rPr>
                <w:rFonts w:ascii="Times New Roman" w:hAnsi="Times New Roman" w:cs="Times New Roman"/>
                <w:sz w:val="24"/>
                <w:szCs w:val="24"/>
              </w:rPr>
              <w:t>dalį.</w:t>
            </w:r>
          </w:p>
        </w:tc>
      </w:tr>
      <w:tr w:rsidR="00A31671" w:rsidRPr="008237BD" w14:paraId="1BE48B56" w14:textId="77777777" w:rsidTr="00383D33">
        <w:tc>
          <w:tcPr>
            <w:tcW w:w="425" w:type="dxa"/>
          </w:tcPr>
          <w:p w14:paraId="4FB82729" w14:textId="77777777" w:rsidR="002A3DE2" w:rsidRPr="008237BD" w:rsidRDefault="002A3DE2" w:rsidP="00814840">
            <w:pPr>
              <w:pStyle w:val="Betarp"/>
              <w:jc w:val="both"/>
              <w:rPr>
                <w:rFonts w:ascii="Times New Roman" w:hAnsi="Times New Roman" w:cs="Times New Roman"/>
                <w:sz w:val="24"/>
                <w:szCs w:val="24"/>
              </w:rPr>
            </w:pPr>
          </w:p>
        </w:tc>
        <w:tc>
          <w:tcPr>
            <w:tcW w:w="1843" w:type="dxa"/>
          </w:tcPr>
          <w:p w14:paraId="66C333FF" w14:textId="77777777" w:rsidR="002A3DE2" w:rsidRPr="008237BD" w:rsidRDefault="002A3DE2" w:rsidP="00814840">
            <w:pPr>
              <w:pStyle w:val="Betarp"/>
              <w:jc w:val="both"/>
              <w:rPr>
                <w:rFonts w:ascii="Times New Roman" w:hAnsi="Times New Roman" w:cs="Times New Roman"/>
                <w:sz w:val="24"/>
                <w:szCs w:val="24"/>
              </w:rPr>
            </w:pPr>
          </w:p>
        </w:tc>
        <w:tc>
          <w:tcPr>
            <w:tcW w:w="5528" w:type="dxa"/>
          </w:tcPr>
          <w:p w14:paraId="4A62D80D" w14:textId="034A1102" w:rsidR="002A3DE2" w:rsidRPr="008237BD" w:rsidRDefault="00EB1C24" w:rsidP="00814840">
            <w:pPr>
              <w:pStyle w:val="Betarp"/>
              <w:jc w:val="both"/>
              <w:rPr>
                <w:rFonts w:ascii="Times New Roman" w:hAnsi="Times New Roman" w:cs="Times New Roman"/>
                <w:sz w:val="24"/>
                <w:szCs w:val="24"/>
              </w:rPr>
            </w:pPr>
            <w:r w:rsidRPr="008237BD">
              <w:rPr>
                <w:rFonts w:ascii="Times New Roman" w:eastAsia="Times New Roman" w:hAnsi="Times New Roman" w:cs="Times New Roman"/>
                <w:b/>
                <w:bCs/>
                <w:sz w:val="24"/>
                <w:szCs w:val="24"/>
                <w:lang w:eastAsia="lt-LT"/>
              </w:rPr>
              <w:t xml:space="preserve">3. Projekto 1 punkto nuostata, kad Valstybinio patentų biuro gaunamos lėšos yra </w:t>
            </w:r>
            <w:bookmarkStart w:id="1" w:name="_Hlk52374996"/>
            <w:r w:rsidRPr="008237BD">
              <w:rPr>
                <w:rFonts w:ascii="Times New Roman" w:eastAsia="Times New Roman" w:hAnsi="Times New Roman" w:cs="Times New Roman"/>
                <w:b/>
                <w:bCs/>
                <w:sz w:val="24"/>
                <w:szCs w:val="24"/>
                <w:lang w:eastAsia="lt-LT"/>
              </w:rPr>
              <w:t xml:space="preserve">„tikslinės paskirties valstybės biudžeto lėšos“, </w:t>
            </w:r>
            <w:bookmarkEnd w:id="1"/>
            <w:r w:rsidRPr="008237BD">
              <w:rPr>
                <w:rFonts w:ascii="Times New Roman" w:eastAsia="Times New Roman" w:hAnsi="Times New Roman" w:cs="Times New Roman"/>
                <w:b/>
                <w:bCs/>
                <w:sz w:val="24"/>
                <w:szCs w:val="24"/>
                <w:lang w:eastAsia="lt-LT"/>
              </w:rPr>
              <w:t xml:space="preserve">diskutuotina tikslingumo aspektu, taip pat derintina su biudžeto sudarymą reglamentuojančiuose įstatymuose vartojamomis </w:t>
            </w:r>
            <w:r w:rsidRPr="008237BD">
              <w:rPr>
                <w:rFonts w:ascii="Times New Roman" w:eastAsia="Times New Roman" w:hAnsi="Times New Roman" w:cs="Times New Roman"/>
                <w:b/>
                <w:bCs/>
                <w:color w:val="000000"/>
                <w:sz w:val="24"/>
                <w:szCs w:val="24"/>
                <w:lang w:eastAsia="lt-LT"/>
              </w:rPr>
              <w:t>formuluotėmis, pvz., „</w:t>
            </w:r>
            <w:r w:rsidRPr="008237BD">
              <w:rPr>
                <w:rFonts w:ascii="Times New Roman" w:eastAsia="Times New Roman" w:hAnsi="Times New Roman" w:cs="Times New Roman"/>
                <w:b/>
                <w:bCs/>
                <w:color w:val="000000"/>
                <w:sz w:val="24"/>
                <w:szCs w:val="24"/>
                <w:shd w:val="clear" w:color="auto" w:fill="FFFFFF"/>
                <w:lang w:eastAsia="lt-LT"/>
              </w:rPr>
              <w:t>valstybės biudžeto pajamų iš mokesčių dalis ir kitos lėšos, įstatymais, nutarimais ir kitais teisės aktais skiriamos programoms finansuoti“.</w:t>
            </w:r>
          </w:p>
        </w:tc>
        <w:tc>
          <w:tcPr>
            <w:tcW w:w="6662" w:type="dxa"/>
          </w:tcPr>
          <w:p w14:paraId="15F7C28B" w14:textId="1CD34C8E" w:rsidR="00AD55B2" w:rsidRPr="008237BD" w:rsidRDefault="00AD55B2" w:rsidP="00814840">
            <w:pPr>
              <w:jc w:val="both"/>
              <w:rPr>
                <w:rFonts w:ascii="Times New Roman" w:eastAsia="Times New Roman" w:hAnsi="Times New Roman" w:cs="Times New Roman"/>
                <w:sz w:val="24"/>
                <w:szCs w:val="24"/>
              </w:rPr>
            </w:pPr>
            <w:r w:rsidRPr="008237BD">
              <w:rPr>
                <w:rFonts w:ascii="Times New Roman" w:eastAsia="Times New Roman" w:hAnsi="Times New Roman" w:cs="Times New Roman"/>
                <w:b/>
                <w:bCs/>
                <w:sz w:val="24"/>
                <w:szCs w:val="24"/>
              </w:rPr>
              <w:t>Atsižvelg</w:t>
            </w:r>
            <w:r w:rsidR="008237BD" w:rsidRPr="008237BD">
              <w:rPr>
                <w:rFonts w:ascii="Times New Roman" w:eastAsia="Times New Roman" w:hAnsi="Times New Roman" w:cs="Times New Roman"/>
                <w:b/>
                <w:bCs/>
                <w:sz w:val="24"/>
                <w:szCs w:val="24"/>
              </w:rPr>
              <w:t>ta</w:t>
            </w:r>
            <w:r w:rsidR="00C314EA" w:rsidRPr="00C314EA">
              <w:rPr>
                <w:rFonts w:ascii="Times New Roman" w:eastAsia="Times New Roman" w:hAnsi="Times New Roman" w:cs="Times New Roman"/>
                <w:bCs/>
                <w:sz w:val="24"/>
                <w:szCs w:val="24"/>
              </w:rPr>
              <w:t xml:space="preserve">. </w:t>
            </w:r>
            <w:r w:rsidR="00C314EA">
              <w:rPr>
                <w:rFonts w:ascii="Times New Roman" w:eastAsia="Times New Roman" w:hAnsi="Times New Roman" w:cs="Times New Roman"/>
                <w:bCs/>
                <w:sz w:val="24"/>
                <w:szCs w:val="24"/>
              </w:rPr>
              <w:t>Nutarimo p</w:t>
            </w:r>
            <w:r w:rsidRPr="00C314EA">
              <w:rPr>
                <w:rFonts w:ascii="Times New Roman" w:hAnsi="Times New Roman" w:cs="Times New Roman"/>
                <w:sz w:val="24"/>
                <w:szCs w:val="24"/>
              </w:rPr>
              <w:t>rojekto</w:t>
            </w:r>
            <w:r w:rsidRPr="008237BD">
              <w:rPr>
                <w:rFonts w:ascii="Times New Roman" w:hAnsi="Times New Roman" w:cs="Times New Roman"/>
                <w:sz w:val="24"/>
                <w:szCs w:val="24"/>
              </w:rPr>
              <w:t xml:space="preserve"> 1 punkt</w:t>
            </w:r>
            <w:r w:rsidR="000D1942">
              <w:rPr>
                <w:rFonts w:ascii="Times New Roman" w:hAnsi="Times New Roman" w:cs="Times New Roman"/>
                <w:sz w:val="24"/>
                <w:szCs w:val="24"/>
              </w:rPr>
              <w:t>as</w:t>
            </w:r>
            <w:r w:rsidRPr="008237BD">
              <w:rPr>
                <w:rFonts w:ascii="Times New Roman" w:hAnsi="Times New Roman" w:cs="Times New Roman"/>
                <w:sz w:val="24"/>
                <w:szCs w:val="24"/>
              </w:rPr>
              <w:t xml:space="preserve"> patikslint</w:t>
            </w:r>
            <w:r w:rsidR="000D1942">
              <w:rPr>
                <w:rFonts w:ascii="Times New Roman" w:hAnsi="Times New Roman" w:cs="Times New Roman"/>
                <w:sz w:val="24"/>
                <w:szCs w:val="24"/>
              </w:rPr>
              <w:t>as</w:t>
            </w:r>
            <w:r w:rsidRPr="008237BD">
              <w:rPr>
                <w:rFonts w:ascii="Times New Roman" w:hAnsi="Times New Roman" w:cs="Times New Roman"/>
                <w:sz w:val="24"/>
                <w:szCs w:val="24"/>
              </w:rPr>
              <w:t xml:space="preserve"> taip:</w:t>
            </w:r>
          </w:p>
          <w:p w14:paraId="45C38182" w14:textId="13E88A0C" w:rsidR="00AD55B2" w:rsidRPr="009E0478" w:rsidRDefault="00AD55B2" w:rsidP="001E0818">
            <w:pPr>
              <w:tabs>
                <w:tab w:val="left" w:pos="1134"/>
              </w:tabs>
              <w:jc w:val="both"/>
              <w:rPr>
                <w:rFonts w:ascii="Times New Roman" w:hAnsi="Times New Roman" w:cs="Times New Roman"/>
                <w:sz w:val="24"/>
                <w:szCs w:val="24"/>
              </w:rPr>
            </w:pPr>
            <w:r w:rsidRPr="001E0818">
              <w:rPr>
                <w:rFonts w:ascii="Times New Roman" w:hAnsi="Times New Roman" w:cs="Times New Roman"/>
                <w:sz w:val="24"/>
                <w:szCs w:val="24"/>
              </w:rPr>
              <w:t>„</w:t>
            </w:r>
            <w:r w:rsidR="001E0818" w:rsidRPr="001E0818">
              <w:rPr>
                <w:rFonts w:ascii="Times New Roman" w:hAnsi="Times New Roman" w:cs="Times New Roman"/>
                <w:sz w:val="24"/>
                <w:szCs w:val="24"/>
              </w:rPr>
              <w:t xml:space="preserve">1. Nustatyti, kad Lietuvos Respublikos valstybinio patentų biuro pagal Reglamento (ES) Nr. 2017/1001 172 straipsnio 4 dalį </w:t>
            </w:r>
            <w:r w:rsidR="001E0818" w:rsidRPr="001E0818">
              <w:rPr>
                <w:rFonts w:ascii="Times New Roman" w:hAnsi="Times New Roman" w:cs="Times New Roman"/>
                <w:bCs/>
                <w:sz w:val="24"/>
                <w:szCs w:val="24"/>
              </w:rPr>
              <w:t>gaunamos lėšos (toliau – lėšos) paskirstomos</w:t>
            </w:r>
            <w:r w:rsidR="001E0818" w:rsidRPr="001E0818">
              <w:rPr>
                <w:rFonts w:ascii="Times New Roman" w:hAnsi="Times New Roman" w:cs="Times New Roman"/>
                <w:sz w:val="24"/>
                <w:szCs w:val="24"/>
              </w:rPr>
              <w:t xml:space="preserve"> taip:</w:t>
            </w:r>
            <w:r w:rsidRPr="009E0478">
              <w:rPr>
                <w:rFonts w:ascii="Times New Roman" w:hAnsi="Times New Roman" w:cs="Times New Roman"/>
                <w:sz w:val="24"/>
                <w:szCs w:val="24"/>
              </w:rPr>
              <w:t>“</w:t>
            </w:r>
            <w:r w:rsidR="009E0478" w:rsidRPr="009E0478">
              <w:rPr>
                <w:rFonts w:ascii="Times New Roman" w:hAnsi="Times New Roman" w:cs="Times New Roman"/>
                <w:sz w:val="24"/>
                <w:szCs w:val="24"/>
              </w:rPr>
              <w:t>.</w:t>
            </w:r>
          </w:p>
          <w:p w14:paraId="5D79920B" w14:textId="249D8F9A" w:rsidR="002A3DE2" w:rsidRPr="008237BD" w:rsidRDefault="002A3DE2" w:rsidP="00814840">
            <w:pPr>
              <w:pStyle w:val="Betarp"/>
              <w:jc w:val="both"/>
              <w:rPr>
                <w:rFonts w:ascii="Times New Roman" w:hAnsi="Times New Roman" w:cs="Times New Roman"/>
                <w:sz w:val="24"/>
                <w:szCs w:val="24"/>
              </w:rPr>
            </w:pPr>
          </w:p>
        </w:tc>
      </w:tr>
      <w:tr w:rsidR="00EB1C24" w:rsidRPr="008237BD" w14:paraId="36E5BD35" w14:textId="77777777" w:rsidTr="00383D33">
        <w:tc>
          <w:tcPr>
            <w:tcW w:w="425" w:type="dxa"/>
          </w:tcPr>
          <w:p w14:paraId="59213A57" w14:textId="77777777" w:rsidR="00EB1C24" w:rsidRPr="008237BD" w:rsidRDefault="00EB1C24" w:rsidP="00814840">
            <w:pPr>
              <w:pStyle w:val="Betarp"/>
              <w:jc w:val="both"/>
              <w:rPr>
                <w:rFonts w:ascii="Times New Roman" w:hAnsi="Times New Roman" w:cs="Times New Roman"/>
                <w:sz w:val="24"/>
                <w:szCs w:val="24"/>
              </w:rPr>
            </w:pPr>
          </w:p>
        </w:tc>
        <w:tc>
          <w:tcPr>
            <w:tcW w:w="1843" w:type="dxa"/>
          </w:tcPr>
          <w:p w14:paraId="6AC7FDC2" w14:textId="77777777" w:rsidR="00EB1C24" w:rsidRPr="008237BD" w:rsidRDefault="00EB1C24" w:rsidP="00814840">
            <w:pPr>
              <w:pStyle w:val="Betarp"/>
              <w:jc w:val="both"/>
              <w:rPr>
                <w:rFonts w:ascii="Times New Roman" w:hAnsi="Times New Roman" w:cs="Times New Roman"/>
                <w:sz w:val="24"/>
                <w:szCs w:val="24"/>
              </w:rPr>
            </w:pPr>
          </w:p>
        </w:tc>
        <w:tc>
          <w:tcPr>
            <w:tcW w:w="5528" w:type="dxa"/>
          </w:tcPr>
          <w:p w14:paraId="155EF9BC" w14:textId="60EC8EF6" w:rsidR="00EB1C24" w:rsidRPr="008237BD" w:rsidRDefault="00EB1C24" w:rsidP="00814840">
            <w:pPr>
              <w:pStyle w:val="Betarp"/>
              <w:jc w:val="both"/>
              <w:rPr>
                <w:rFonts w:ascii="Times New Roman" w:eastAsia="Times New Roman" w:hAnsi="Times New Roman" w:cs="Times New Roman"/>
                <w:b/>
                <w:bCs/>
                <w:sz w:val="24"/>
                <w:szCs w:val="24"/>
                <w:lang w:eastAsia="lt-LT"/>
              </w:rPr>
            </w:pPr>
            <w:r w:rsidRPr="008237BD">
              <w:rPr>
                <w:rFonts w:ascii="Times New Roman" w:eastAsia="Times New Roman" w:hAnsi="Times New Roman" w:cs="Times New Roman"/>
                <w:b/>
                <w:bCs/>
                <w:color w:val="000000"/>
                <w:sz w:val="24"/>
                <w:szCs w:val="24"/>
                <w:shd w:val="clear" w:color="auto" w:fill="FFFFFF"/>
                <w:lang w:eastAsia="lt-LT"/>
              </w:rPr>
              <w:t>4. Jei būtų pritarta Projekte nustatyti lėšų, skirtų 2020 metais pagal Reglamentą (ES) Nr. 2017/1001, panaudojimą, atitinkamai turėtų būti tikslinamas Projekto 2 punktas.</w:t>
            </w:r>
          </w:p>
        </w:tc>
        <w:tc>
          <w:tcPr>
            <w:tcW w:w="6662" w:type="dxa"/>
          </w:tcPr>
          <w:p w14:paraId="74BFEB6D" w14:textId="53FB0DF3" w:rsidR="00EB1C24" w:rsidRDefault="000D1942" w:rsidP="00814840">
            <w:pPr>
              <w:pStyle w:val="Betarp"/>
              <w:jc w:val="both"/>
              <w:rPr>
                <w:rFonts w:ascii="Times New Roman" w:hAnsi="Times New Roman" w:cs="Times New Roman"/>
                <w:sz w:val="24"/>
                <w:szCs w:val="24"/>
              </w:rPr>
            </w:pPr>
            <w:r w:rsidRPr="008237BD">
              <w:rPr>
                <w:rFonts w:ascii="Times New Roman" w:eastAsia="Times New Roman" w:hAnsi="Times New Roman" w:cs="Times New Roman"/>
                <w:b/>
                <w:bCs/>
                <w:sz w:val="24"/>
                <w:szCs w:val="24"/>
              </w:rPr>
              <w:t>Atsižvelgta</w:t>
            </w:r>
            <w:r w:rsidR="00C314EA">
              <w:rPr>
                <w:rFonts w:ascii="Times New Roman" w:eastAsia="Times New Roman" w:hAnsi="Times New Roman" w:cs="Times New Roman"/>
                <w:b/>
                <w:bCs/>
                <w:sz w:val="24"/>
                <w:szCs w:val="24"/>
              </w:rPr>
              <w:t>.</w:t>
            </w:r>
            <w:r w:rsidR="00AD55B2" w:rsidRPr="008237BD">
              <w:rPr>
                <w:rFonts w:ascii="Times New Roman" w:hAnsi="Times New Roman" w:cs="Times New Roman"/>
                <w:sz w:val="24"/>
                <w:szCs w:val="24"/>
              </w:rPr>
              <w:t xml:space="preserve"> </w:t>
            </w:r>
            <w:r w:rsidR="00C314EA">
              <w:rPr>
                <w:rFonts w:ascii="Times New Roman" w:hAnsi="Times New Roman" w:cs="Times New Roman"/>
                <w:sz w:val="24"/>
                <w:szCs w:val="24"/>
              </w:rPr>
              <w:t>Nutarimo p</w:t>
            </w:r>
            <w:r w:rsidR="004F768E" w:rsidRPr="008237BD">
              <w:rPr>
                <w:rFonts w:ascii="Times New Roman" w:hAnsi="Times New Roman" w:cs="Times New Roman"/>
                <w:sz w:val="24"/>
                <w:szCs w:val="24"/>
              </w:rPr>
              <w:t>rojekto 2 punkt</w:t>
            </w:r>
            <w:r>
              <w:rPr>
                <w:rFonts w:ascii="Times New Roman" w:hAnsi="Times New Roman" w:cs="Times New Roman"/>
                <w:sz w:val="24"/>
                <w:szCs w:val="24"/>
              </w:rPr>
              <w:t>as</w:t>
            </w:r>
            <w:r w:rsidR="004F768E" w:rsidRPr="008237BD">
              <w:rPr>
                <w:rFonts w:ascii="Times New Roman" w:hAnsi="Times New Roman" w:cs="Times New Roman"/>
                <w:sz w:val="24"/>
                <w:szCs w:val="24"/>
              </w:rPr>
              <w:t xml:space="preserve"> </w:t>
            </w:r>
            <w:r>
              <w:rPr>
                <w:rFonts w:ascii="Times New Roman" w:hAnsi="Times New Roman" w:cs="Times New Roman"/>
                <w:sz w:val="24"/>
                <w:szCs w:val="24"/>
              </w:rPr>
              <w:t>patikslintas taip:</w:t>
            </w:r>
          </w:p>
          <w:p w14:paraId="4F6107A4" w14:textId="4C101559" w:rsidR="000D1942" w:rsidRPr="00C314EA" w:rsidRDefault="000D1942" w:rsidP="000D1942">
            <w:pPr>
              <w:pStyle w:val="Betarp"/>
              <w:jc w:val="both"/>
              <w:rPr>
                <w:rFonts w:ascii="Times New Roman" w:hAnsi="Times New Roman" w:cs="Times New Roman"/>
                <w:sz w:val="24"/>
                <w:szCs w:val="24"/>
              </w:rPr>
            </w:pPr>
            <w:r w:rsidRPr="00C314EA">
              <w:rPr>
                <w:rFonts w:ascii="Times New Roman" w:hAnsi="Times New Roman" w:cs="Times New Roman"/>
                <w:sz w:val="24"/>
                <w:szCs w:val="24"/>
              </w:rPr>
              <w:t xml:space="preserve">„2. </w:t>
            </w:r>
            <w:r w:rsidR="00C314EA" w:rsidRPr="00C314EA">
              <w:rPr>
                <w:rFonts w:ascii="Times New Roman" w:hAnsi="Times New Roman" w:cs="Times New Roman"/>
                <w:sz w:val="24"/>
                <w:szCs w:val="24"/>
              </w:rPr>
              <w:t>Pavesti Lietuvos Respublikos valstybiniam patentų biurui lėšas per 10 darbo dienų nuo jų gavimo dienos (2020 metais – per 10 darbo dienų nuo šio nutarimo įsigaliojimo dienos) pervesti į Lietuvos Respublikos valstybės biudžetą, apskaičiuoti lėšų sumas pagal šio nutarimo 1 punkte nustatytas lėšų paskirstymo proporcijas ir pranešti apie apskaičiuotų lėšų sumas Lietuvos Respublikos finansų ministerijai, Lietuvos Respublikos vidaus reikalų ministerijai ir Nacionalinei teismų administracijai</w:t>
            </w:r>
            <w:r w:rsidRPr="00C314EA">
              <w:rPr>
                <w:rFonts w:ascii="Times New Roman" w:hAnsi="Times New Roman" w:cs="Times New Roman"/>
                <w:sz w:val="24"/>
                <w:szCs w:val="24"/>
              </w:rPr>
              <w:t>“</w:t>
            </w:r>
            <w:r w:rsidR="00C314EA">
              <w:rPr>
                <w:rFonts w:ascii="Times New Roman" w:hAnsi="Times New Roman" w:cs="Times New Roman"/>
                <w:sz w:val="24"/>
                <w:szCs w:val="24"/>
              </w:rPr>
              <w:t>.</w:t>
            </w:r>
          </w:p>
          <w:p w14:paraId="779F5751" w14:textId="72E8DBBA" w:rsidR="0003378F" w:rsidRPr="008237BD" w:rsidRDefault="0003378F" w:rsidP="00814840">
            <w:pPr>
              <w:pStyle w:val="Betarp"/>
              <w:jc w:val="both"/>
              <w:rPr>
                <w:rFonts w:ascii="Times New Roman" w:hAnsi="Times New Roman" w:cs="Times New Roman"/>
                <w:sz w:val="24"/>
                <w:szCs w:val="24"/>
              </w:rPr>
            </w:pPr>
          </w:p>
        </w:tc>
      </w:tr>
      <w:tr w:rsidR="00EB1C24" w:rsidRPr="008237BD" w14:paraId="1B63A80A" w14:textId="77777777" w:rsidTr="00383D33">
        <w:tc>
          <w:tcPr>
            <w:tcW w:w="425" w:type="dxa"/>
          </w:tcPr>
          <w:p w14:paraId="7AE2B4D4" w14:textId="77777777" w:rsidR="00EB1C24" w:rsidRPr="008237BD" w:rsidRDefault="00EB1C24" w:rsidP="00814840">
            <w:pPr>
              <w:pStyle w:val="Betarp"/>
              <w:jc w:val="both"/>
              <w:rPr>
                <w:rFonts w:ascii="Times New Roman" w:hAnsi="Times New Roman" w:cs="Times New Roman"/>
                <w:sz w:val="24"/>
                <w:szCs w:val="24"/>
              </w:rPr>
            </w:pPr>
          </w:p>
        </w:tc>
        <w:tc>
          <w:tcPr>
            <w:tcW w:w="1843" w:type="dxa"/>
          </w:tcPr>
          <w:p w14:paraId="66403308" w14:textId="77777777" w:rsidR="00EB1C24" w:rsidRPr="008237BD" w:rsidRDefault="00EB1C24" w:rsidP="00814840">
            <w:pPr>
              <w:pStyle w:val="Betarp"/>
              <w:jc w:val="both"/>
              <w:rPr>
                <w:rFonts w:ascii="Times New Roman" w:hAnsi="Times New Roman" w:cs="Times New Roman"/>
                <w:sz w:val="24"/>
                <w:szCs w:val="24"/>
              </w:rPr>
            </w:pPr>
          </w:p>
        </w:tc>
        <w:tc>
          <w:tcPr>
            <w:tcW w:w="5528" w:type="dxa"/>
          </w:tcPr>
          <w:p w14:paraId="47F2AA39" w14:textId="68898915" w:rsidR="00EB1C24" w:rsidRPr="008237BD" w:rsidRDefault="00EB1C24" w:rsidP="00814840">
            <w:pPr>
              <w:pStyle w:val="Betarp"/>
              <w:jc w:val="both"/>
              <w:rPr>
                <w:rFonts w:ascii="Times New Roman" w:eastAsia="Times New Roman" w:hAnsi="Times New Roman" w:cs="Times New Roman"/>
                <w:b/>
                <w:bCs/>
                <w:sz w:val="24"/>
                <w:szCs w:val="24"/>
                <w:lang w:eastAsia="lt-LT"/>
              </w:rPr>
            </w:pPr>
            <w:r w:rsidRPr="008237BD">
              <w:rPr>
                <w:rFonts w:ascii="Times New Roman" w:eastAsia="Times New Roman" w:hAnsi="Times New Roman" w:cs="Times New Roman"/>
                <w:b/>
                <w:bCs/>
                <w:color w:val="000000"/>
                <w:sz w:val="24"/>
                <w:szCs w:val="24"/>
                <w:shd w:val="clear" w:color="auto" w:fill="FFFFFF"/>
                <w:lang w:eastAsia="lt-LT"/>
              </w:rPr>
              <w:t>5. Atsižvelgiant į Reglamento (ES) Nr. 2017/1001 172 straipsnio 4 dalies nuostatas, siūlytume įvertinti Projekto 4 punkto tikslingumą.</w:t>
            </w:r>
          </w:p>
        </w:tc>
        <w:tc>
          <w:tcPr>
            <w:tcW w:w="6662" w:type="dxa"/>
          </w:tcPr>
          <w:p w14:paraId="6C24204C" w14:textId="2E0F7E67" w:rsidR="009E0478" w:rsidRDefault="009E0478" w:rsidP="009E0478">
            <w:pPr>
              <w:pStyle w:val="Betarp"/>
              <w:jc w:val="both"/>
              <w:rPr>
                <w:rFonts w:ascii="Times New Roman" w:hAnsi="Times New Roman" w:cs="Times New Roman"/>
                <w:sz w:val="24"/>
                <w:szCs w:val="24"/>
              </w:rPr>
            </w:pPr>
            <w:r w:rsidRPr="009E0478">
              <w:rPr>
                <w:rFonts w:ascii="Times New Roman" w:hAnsi="Times New Roman" w:cs="Times New Roman"/>
                <w:b/>
                <w:bCs/>
                <w:sz w:val="24"/>
                <w:szCs w:val="24"/>
              </w:rPr>
              <w:t>Atsižvelgta iš dalies</w:t>
            </w:r>
            <w:r w:rsidR="00C314EA">
              <w:rPr>
                <w:rFonts w:ascii="Times New Roman" w:hAnsi="Times New Roman" w:cs="Times New Roman"/>
                <w:b/>
                <w:bCs/>
                <w:sz w:val="24"/>
                <w:szCs w:val="24"/>
              </w:rPr>
              <w:t>.</w:t>
            </w:r>
            <w:r w:rsidRPr="009E0478">
              <w:rPr>
                <w:rFonts w:ascii="Times New Roman" w:hAnsi="Times New Roman" w:cs="Times New Roman"/>
                <w:sz w:val="24"/>
                <w:szCs w:val="24"/>
              </w:rPr>
              <w:t xml:space="preserve"> </w:t>
            </w:r>
            <w:r w:rsidR="00C314EA">
              <w:rPr>
                <w:rFonts w:ascii="Times New Roman" w:hAnsi="Times New Roman" w:cs="Times New Roman"/>
                <w:sz w:val="24"/>
                <w:szCs w:val="24"/>
              </w:rPr>
              <w:t>Nutarimo p</w:t>
            </w:r>
            <w:r w:rsidRPr="009E0478">
              <w:rPr>
                <w:rFonts w:ascii="Times New Roman" w:hAnsi="Times New Roman" w:cs="Times New Roman"/>
                <w:sz w:val="24"/>
                <w:szCs w:val="24"/>
              </w:rPr>
              <w:t xml:space="preserve">rojekto 4 punktas paliktas įvertinus </w:t>
            </w:r>
            <w:r>
              <w:rPr>
                <w:rFonts w:ascii="Times New Roman" w:hAnsi="Times New Roman" w:cs="Times New Roman"/>
                <w:sz w:val="24"/>
                <w:szCs w:val="24"/>
              </w:rPr>
              <w:t>Lietuvos Respublikos finansų ministerijos</w:t>
            </w:r>
            <w:r w:rsidRPr="009E0478">
              <w:rPr>
                <w:rFonts w:ascii="Times New Roman" w:hAnsi="Times New Roman" w:cs="Times New Roman"/>
                <w:sz w:val="24"/>
                <w:szCs w:val="24"/>
              </w:rPr>
              <w:t xml:space="preserve"> pastabas ir patikslintas taip:</w:t>
            </w:r>
          </w:p>
          <w:p w14:paraId="660DB9C4" w14:textId="73ED6488" w:rsidR="004F768E" w:rsidRPr="008237BD" w:rsidRDefault="009E0478" w:rsidP="000D1942">
            <w:pPr>
              <w:jc w:val="both"/>
              <w:rPr>
                <w:rFonts w:ascii="Times New Roman" w:eastAsia="Times New Roman" w:hAnsi="Times New Roman" w:cs="Times New Roman"/>
                <w:sz w:val="24"/>
                <w:szCs w:val="24"/>
              </w:rPr>
            </w:pPr>
            <w:r w:rsidRPr="008237BD" w:rsidDel="009E0478">
              <w:rPr>
                <w:rFonts w:ascii="Times New Roman" w:hAnsi="Times New Roman" w:cs="Times New Roman"/>
                <w:b/>
                <w:bCs/>
                <w:sz w:val="24"/>
                <w:szCs w:val="24"/>
              </w:rPr>
              <w:t xml:space="preserve"> </w:t>
            </w:r>
            <w:r w:rsidR="004F768E" w:rsidRPr="008237BD">
              <w:rPr>
                <w:rFonts w:ascii="Times New Roman" w:eastAsia="Times New Roman" w:hAnsi="Times New Roman" w:cs="Times New Roman"/>
                <w:sz w:val="24"/>
                <w:szCs w:val="24"/>
              </w:rPr>
              <w:t>„4. Nustatyti, kad lėšos gali būti naudojamos apmokėti išlaidoms, susijusioms su prekių ženklų apsauga.“</w:t>
            </w:r>
          </w:p>
          <w:p w14:paraId="43793143" w14:textId="26E000AD" w:rsidR="004F768E" w:rsidRPr="008237BD" w:rsidRDefault="004F768E" w:rsidP="00814840">
            <w:pPr>
              <w:pStyle w:val="Betarp"/>
              <w:jc w:val="both"/>
              <w:rPr>
                <w:rFonts w:ascii="Times New Roman" w:hAnsi="Times New Roman" w:cs="Times New Roman"/>
                <w:sz w:val="24"/>
                <w:szCs w:val="24"/>
              </w:rPr>
            </w:pPr>
          </w:p>
        </w:tc>
      </w:tr>
    </w:tbl>
    <w:p w14:paraId="144534A9" w14:textId="77777777" w:rsidR="002A3DE2" w:rsidRDefault="002A3DE2" w:rsidP="00814840">
      <w:pPr>
        <w:pStyle w:val="Betarp"/>
        <w:jc w:val="both"/>
        <w:rPr>
          <w:rFonts w:ascii="Times New Roman" w:hAnsi="Times New Roman" w:cs="Times New Roman"/>
          <w:sz w:val="24"/>
          <w:szCs w:val="24"/>
        </w:rPr>
      </w:pPr>
    </w:p>
    <w:p w14:paraId="23711268" w14:textId="43DBE338" w:rsidR="00C314EA" w:rsidRPr="008237BD" w:rsidRDefault="00C314EA" w:rsidP="00C314EA">
      <w:pPr>
        <w:pStyle w:val="Betarp"/>
        <w:jc w:val="center"/>
        <w:rPr>
          <w:rFonts w:ascii="Times New Roman" w:hAnsi="Times New Roman" w:cs="Times New Roman"/>
          <w:sz w:val="24"/>
          <w:szCs w:val="24"/>
        </w:rPr>
      </w:pPr>
      <w:r>
        <w:rPr>
          <w:rFonts w:ascii="Times New Roman" w:hAnsi="Times New Roman" w:cs="Times New Roman"/>
          <w:sz w:val="24"/>
          <w:szCs w:val="24"/>
        </w:rPr>
        <w:t>____________________</w:t>
      </w:r>
    </w:p>
    <w:sectPr w:rsidR="00C314EA" w:rsidRPr="008237BD" w:rsidSect="00A31671">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BD57C" w14:textId="77777777" w:rsidR="00FE32C1" w:rsidRDefault="00FE32C1" w:rsidP="00A31671">
      <w:pPr>
        <w:spacing w:after="0" w:line="240" w:lineRule="auto"/>
      </w:pPr>
      <w:r>
        <w:separator/>
      </w:r>
    </w:p>
  </w:endnote>
  <w:endnote w:type="continuationSeparator" w:id="0">
    <w:p w14:paraId="301C5F50" w14:textId="77777777" w:rsidR="00FE32C1" w:rsidRDefault="00FE32C1" w:rsidP="00A31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66E42" w14:textId="77777777" w:rsidR="00FE32C1" w:rsidRDefault="00FE32C1" w:rsidP="00A31671">
      <w:pPr>
        <w:spacing w:after="0" w:line="240" w:lineRule="auto"/>
      </w:pPr>
      <w:r>
        <w:separator/>
      </w:r>
    </w:p>
  </w:footnote>
  <w:footnote w:type="continuationSeparator" w:id="0">
    <w:p w14:paraId="6E7762A2" w14:textId="77777777" w:rsidR="00FE32C1" w:rsidRDefault="00FE32C1" w:rsidP="00A31671">
      <w:pPr>
        <w:spacing w:after="0" w:line="240" w:lineRule="auto"/>
      </w:pPr>
      <w:r>
        <w:continuationSeparator/>
      </w:r>
    </w:p>
  </w:footnote>
  <w:footnote w:id="1">
    <w:p w14:paraId="783A7C5E" w14:textId="77777777" w:rsidR="00A31671" w:rsidRDefault="00A31671" w:rsidP="00A31671">
      <w:pPr>
        <w:pStyle w:val="Puslapioinaostekstas"/>
      </w:pPr>
      <w:r>
        <w:rPr>
          <w:rStyle w:val="Puslapioinaosnuoroda"/>
        </w:rPr>
        <w:footnoteRef/>
      </w:r>
      <w:r>
        <w:t xml:space="preserve"> </w:t>
      </w:r>
      <w:r w:rsidRPr="00D5377B">
        <w:t>https://vpb.lrv.lt/uploads/vpb/documents/files/Statistika%20VPB%202018%20m%20%5B2019-02-21%5D.pdf</w:t>
      </w:r>
    </w:p>
  </w:footnote>
  <w:footnote w:id="2">
    <w:p w14:paraId="76C22259" w14:textId="77777777" w:rsidR="00A31671" w:rsidRDefault="00A31671" w:rsidP="00A31671">
      <w:pPr>
        <w:pStyle w:val="Puslapioinaostekstas"/>
      </w:pPr>
      <w:r>
        <w:rPr>
          <w:rStyle w:val="Puslapioinaosnuoroda"/>
        </w:rPr>
        <w:footnoteRef/>
      </w:r>
      <w:r>
        <w:t xml:space="preserve"> </w:t>
      </w:r>
      <w:r w:rsidRPr="00D5377B">
        <w:t>https://vpb.lrv.lt/uploads/vpb/documents/files/VPB%20Metine%20apzvalga%20LT.pdf</w:t>
      </w:r>
    </w:p>
  </w:footnote>
  <w:footnote w:id="3">
    <w:p w14:paraId="10ACA872" w14:textId="77777777" w:rsidR="00A31671" w:rsidRDefault="00A31671" w:rsidP="00A31671">
      <w:pPr>
        <w:pStyle w:val="Puslapioinaostekstas"/>
      </w:pPr>
      <w:r>
        <w:rPr>
          <w:rStyle w:val="Puslapioinaosnuoroda"/>
        </w:rPr>
        <w:footnoteRef/>
      </w:r>
      <w:r>
        <w:t xml:space="preserve"> </w:t>
      </w:r>
      <w:r w:rsidRPr="00C9122B">
        <w:t>https://www.lrmuitine.lt/mport/failai/leidiniai/failai/2018_Muitines_ataskaita.pdf</w:t>
      </w:r>
    </w:p>
  </w:footnote>
  <w:footnote w:id="4">
    <w:p w14:paraId="4AC6D77C" w14:textId="77777777" w:rsidR="00A31671" w:rsidRDefault="00A31671" w:rsidP="00A31671">
      <w:pPr>
        <w:pStyle w:val="Puslapioinaostekstas"/>
      </w:pPr>
      <w:r>
        <w:rPr>
          <w:rStyle w:val="Puslapioinaosnuoroda"/>
        </w:rPr>
        <w:footnoteRef/>
      </w:r>
      <w:r>
        <w:t xml:space="preserve"> </w:t>
      </w:r>
      <w:hyperlink r:id="rId1" w:history="1">
        <w:r w:rsidRPr="00EA4FB9">
          <w:rPr>
            <w:rStyle w:val="Hipersaitas"/>
          </w:rPr>
          <w:t>https://www.ird.lt/lt/paslaugos/ataskaitos-1/nusikalstamumo-ir-ikiteisminiu-tyrimu-statistika-1?year=2019&amp;period=1-12&amp;group=163</w:t>
        </w:r>
      </w:hyperlink>
      <w:r>
        <w:t xml:space="preserve"> </w:t>
      </w:r>
    </w:p>
  </w:footnote>
  <w:footnote w:id="5">
    <w:p w14:paraId="1FDCE4BA" w14:textId="77777777" w:rsidR="00EB1C24" w:rsidRDefault="00EB1C24" w:rsidP="00EB1C24">
      <w:pPr>
        <w:pStyle w:val="Puslapioinaostekstas"/>
      </w:pPr>
      <w:r>
        <w:rPr>
          <w:rStyle w:val="Puslapioinaosnuoroda"/>
        </w:rPr>
        <w:footnoteRef/>
      </w:r>
      <w:r>
        <w:t xml:space="preserve"> </w:t>
      </w:r>
      <w:r w:rsidRPr="000934F3">
        <w:t>https://www.lietuviuzodynas.lt/zodynas/Kompensuoti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153A86"/>
    <w:multiLevelType w:val="hybridMultilevel"/>
    <w:tmpl w:val="DE82A0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DE2"/>
    <w:rsid w:val="0003378F"/>
    <w:rsid w:val="000C7ED3"/>
    <w:rsid w:val="000D1942"/>
    <w:rsid w:val="00180F3E"/>
    <w:rsid w:val="001E0818"/>
    <w:rsid w:val="001E1CD8"/>
    <w:rsid w:val="002A3DE2"/>
    <w:rsid w:val="003164D8"/>
    <w:rsid w:val="00355C88"/>
    <w:rsid w:val="00383D33"/>
    <w:rsid w:val="004D6E0E"/>
    <w:rsid w:val="004F0A14"/>
    <w:rsid w:val="004F768E"/>
    <w:rsid w:val="005C1169"/>
    <w:rsid w:val="00665E63"/>
    <w:rsid w:val="00667BFF"/>
    <w:rsid w:val="007576AE"/>
    <w:rsid w:val="00814840"/>
    <w:rsid w:val="008237BD"/>
    <w:rsid w:val="008C72CE"/>
    <w:rsid w:val="009E0478"/>
    <w:rsid w:val="00A31671"/>
    <w:rsid w:val="00A5408C"/>
    <w:rsid w:val="00AD55B2"/>
    <w:rsid w:val="00C314EA"/>
    <w:rsid w:val="00C669FC"/>
    <w:rsid w:val="00D00780"/>
    <w:rsid w:val="00E473CC"/>
    <w:rsid w:val="00EB1C24"/>
    <w:rsid w:val="00F4297D"/>
    <w:rsid w:val="00FE32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C74F6"/>
  <w15:chartTrackingRefBased/>
  <w15:docId w15:val="{E67DD8FF-39C3-438E-B830-95ADA5943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67B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A3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2A3DE2"/>
    <w:pPr>
      <w:spacing w:after="0" w:line="240" w:lineRule="auto"/>
    </w:pPr>
  </w:style>
  <w:style w:type="paragraph" w:styleId="Debesliotekstas">
    <w:name w:val="Balloon Text"/>
    <w:basedOn w:val="prastasis"/>
    <w:link w:val="DebesliotekstasDiagrama"/>
    <w:uiPriority w:val="99"/>
    <w:semiHidden/>
    <w:unhideWhenUsed/>
    <w:rsid w:val="00665E6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5E63"/>
    <w:rPr>
      <w:rFonts w:ascii="Segoe UI" w:hAnsi="Segoe UI" w:cs="Segoe UI"/>
      <w:sz w:val="18"/>
      <w:szCs w:val="18"/>
    </w:rPr>
  </w:style>
  <w:style w:type="character" w:customStyle="1" w:styleId="normaltextrun1">
    <w:name w:val="normaltextrun1"/>
    <w:basedOn w:val="Numatytasispastraiposriftas"/>
    <w:rsid w:val="00355C88"/>
  </w:style>
  <w:style w:type="paragraph" w:styleId="Sraopastraipa">
    <w:name w:val="List Paragraph"/>
    <w:basedOn w:val="prastasis"/>
    <w:uiPriority w:val="34"/>
    <w:qFormat/>
    <w:rsid w:val="00A31671"/>
    <w:pPr>
      <w:ind w:left="720"/>
      <w:contextualSpacing/>
    </w:p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ft"/>
    <w:basedOn w:val="prastasis"/>
    <w:link w:val="PuslapioinaostekstasDiagrama"/>
    <w:unhideWhenUsed/>
    <w:qFormat/>
    <w:rsid w:val="00A31671"/>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rsid w:val="00A31671"/>
    <w:rPr>
      <w:rFonts w:ascii="Times New Roman" w:eastAsia="Times New Roman" w:hAnsi="Times New Roman" w:cs="Times New Roman"/>
      <w:sz w:val="20"/>
      <w:szCs w:val="20"/>
    </w:rPr>
  </w:style>
  <w:style w:type="character" w:styleId="Puslapioinaosnuoroda">
    <w:name w:val="footnote reference"/>
    <w:aliases w:val="• Isnasos nuoroda,Footnotes refss,Appel note de bas de p,Footnote symbol,Voetnootverwijzing,Times 10 Point,Exposant 3 Point,BVI fnr,Footnote Reference Number,Footnote anchor,Footnote reference number,Footnote number,fr,FR,SUPERS"/>
    <w:basedOn w:val="Numatytasispastraiposriftas"/>
    <w:link w:val="SUPERSChar"/>
    <w:unhideWhenUsed/>
    <w:qFormat/>
    <w:rsid w:val="00A31671"/>
    <w:rPr>
      <w:vertAlign w:val="superscript"/>
    </w:rPr>
  </w:style>
  <w:style w:type="character" w:styleId="Hipersaitas">
    <w:name w:val="Hyperlink"/>
    <w:basedOn w:val="Numatytasispastraiposriftas"/>
    <w:uiPriority w:val="99"/>
    <w:unhideWhenUsed/>
    <w:rsid w:val="00A31671"/>
    <w:rPr>
      <w:color w:val="0563C1" w:themeColor="hyperlink"/>
      <w:u w:val="single"/>
    </w:rPr>
  </w:style>
  <w:style w:type="paragraph" w:customStyle="1" w:styleId="SUPERSChar">
    <w:name w:val="SUPERS Char"/>
    <w:aliases w:val="EN Footnote Reference Char"/>
    <w:basedOn w:val="prastasis"/>
    <w:link w:val="Puslapioinaosnuoroda"/>
    <w:rsid w:val="00A31671"/>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5064">
      <w:bodyDiv w:val="1"/>
      <w:marLeft w:val="0"/>
      <w:marRight w:val="0"/>
      <w:marTop w:val="0"/>
      <w:marBottom w:val="0"/>
      <w:divBdr>
        <w:top w:val="none" w:sz="0" w:space="0" w:color="auto"/>
        <w:left w:val="none" w:sz="0" w:space="0" w:color="auto"/>
        <w:bottom w:val="none" w:sz="0" w:space="0" w:color="auto"/>
        <w:right w:val="none" w:sz="0" w:space="0" w:color="auto"/>
      </w:divBdr>
    </w:div>
    <w:div w:id="84157732">
      <w:bodyDiv w:val="1"/>
      <w:marLeft w:val="0"/>
      <w:marRight w:val="0"/>
      <w:marTop w:val="0"/>
      <w:marBottom w:val="0"/>
      <w:divBdr>
        <w:top w:val="none" w:sz="0" w:space="0" w:color="auto"/>
        <w:left w:val="none" w:sz="0" w:space="0" w:color="auto"/>
        <w:bottom w:val="none" w:sz="0" w:space="0" w:color="auto"/>
        <w:right w:val="none" w:sz="0" w:space="0" w:color="auto"/>
      </w:divBdr>
    </w:div>
    <w:div w:id="1033967806">
      <w:bodyDiv w:val="1"/>
      <w:marLeft w:val="0"/>
      <w:marRight w:val="0"/>
      <w:marTop w:val="0"/>
      <w:marBottom w:val="0"/>
      <w:divBdr>
        <w:top w:val="none" w:sz="0" w:space="0" w:color="auto"/>
        <w:left w:val="none" w:sz="0" w:space="0" w:color="auto"/>
        <w:bottom w:val="none" w:sz="0" w:space="0" w:color="auto"/>
        <w:right w:val="none" w:sz="0" w:space="0" w:color="auto"/>
      </w:divBdr>
    </w:div>
    <w:div w:id="1380978909">
      <w:bodyDiv w:val="1"/>
      <w:marLeft w:val="0"/>
      <w:marRight w:val="0"/>
      <w:marTop w:val="0"/>
      <w:marBottom w:val="0"/>
      <w:divBdr>
        <w:top w:val="none" w:sz="0" w:space="0" w:color="auto"/>
        <w:left w:val="none" w:sz="0" w:space="0" w:color="auto"/>
        <w:bottom w:val="none" w:sz="0" w:space="0" w:color="auto"/>
        <w:right w:val="none" w:sz="0" w:space="0" w:color="auto"/>
      </w:divBdr>
    </w:div>
    <w:div w:id="158957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ntTable.xml"
                 Type="http://schemas.openxmlformats.org/officeDocument/2006/relationships/fontTable"/>
   <Relationship Id="rId9" Target="theme/theme1.xml"
                 Type="http://schemas.openxmlformats.org/officeDocument/2006/relationships/theme"/>
</Relationships>
</file>

<file path=word/_rels/footnotes.xml.rels><?xml version="1.0" encoding="UTF-8" standalone="yes"?>
<Relationships xmlns="http://schemas.openxmlformats.org/package/2006/relationships">
   <Relationship Id="rId1"
                 Target="https://www.ird.lt/lt/paslaugos/ataskaitos-1/nusikalstamumo-ir-ikiteisminiu-tyrimu-statistika-1?year=2019&amp;period=1-12&amp;group=163"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4914D-1575-46F0-A034-7F52737F9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6903</Words>
  <Characters>3936</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10818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2020-10-08T10:49:00Z</dcterms:created>
  <dc:creator>Lina Mickienė</dc:creator>
  <cp:lastModifiedBy>Daiva Bliūdžiuvienė</cp:lastModifiedBy>
  <dcterms:modified xsi:type="dcterms:W3CDTF">2020-10-08T12:12:00Z</dcterms:modified>
  <cp:revision>5</cp:revision>
</cp:coreProperties>
</file>