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393" w:rsidRPr="003E150B" w:rsidRDefault="00E81393" w:rsidP="00E81393">
      <w:pPr>
        <w:pStyle w:val="Preformatted"/>
        <w:spacing w:line="340" w:lineRule="exact"/>
        <w:jc w:val="center"/>
        <w:rPr>
          <w:rFonts w:ascii="Times New Roman" w:hAnsi="Times New Roman"/>
          <w:b/>
          <w:sz w:val="24"/>
          <w:szCs w:val="24"/>
        </w:rPr>
      </w:pPr>
      <w:bookmarkStart w:id="0" w:name="_GoBack"/>
      <w:bookmarkEnd w:id="0"/>
      <w:r w:rsidRPr="003E150B">
        <w:rPr>
          <w:rFonts w:ascii="Times New Roman" w:hAnsi="Times New Roman"/>
          <w:b/>
          <w:sz w:val="24"/>
          <w:szCs w:val="24"/>
        </w:rPr>
        <w:t>LIETUVOS RESPUBLIKOS VYRIAUSYBĖS KANCELIARIJA</w:t>
      </w:r>
    </w:p>
    <w:p w:rsidR="00E81393" w:rsidRPr="003E150B" w:rsidRDefault="00E81393" w:rsidP="00E81393">
      <w:pPr>
        <w:pStyle w:val="Preformatted"/>
        <w:spacing w:line="340" w:lineRule="exact"/>
        <w:jc w:val="center"/>
        <w:rPr>
          <w:rFonts w:ascii="Times New Roman" w:hAnsi="Times New Roman"/>
          <w:b/>
          <w:sz w:val="24"/>
          <w:szCs w:val="24"/>
        </w:rPr>
      </w:pPr>
      <w:r w:rsidRPr="003E150B">
        <w:rPr>
          <w:rFonts w:ascii="Times New Roman" w:hAnsi="Times New Roman"/>
          <w:b/>
          <w:sz w:val="24"/>
          <w:szCs w:val="24"/>
        </w:rPr>
        <w:t>TEISĖS GRUPĖ</w:t>
      </w:r>
    </w:p>
    <w:p w:rsidR="00E81393" w:rsidRPr="003E150B" w:rsidRDefault="00E81393" w:rsidP="00E81393">
      <w:pPr>
        <w:pStyle w:val="Preformatted"/>
        <w:spacing w:line="340" w:lineRule="exact"/>
        <w:jc w:val="center"/>
        <w:rPr>
          <w:rFonts w:ascii="Times New Roman" w:hAnsi="Times New Roman"/>
          <w:b/>
          <w:sz w:val="24"/>
          <w:szCs w:val="24"/>
        </w:rPr>
      </w:pPr>
      <w:r w:rsidRPr="003E150B">
        <w:rPr>
          <w:rFonts w:ascii="Times New Roman" w:hAnsi="Times New Roman"/>
          <w:b/>
          <w:sz w:val="24"/>
          <w:szCs w:val="24"/>
        </w:rPr>
        <w:t>IŠVADA</w:t>
      </w:r>
    </w:p>
    <w:tbl>
      <w:tblPr>
        <w:tblStyle w:val="Lentelstinklelis"/>
        <w:tblW w:w="0" w:type="auto"/>
        <w:tblInd w:w="2518" w:type="dxa"/>
        <w:tblLook w:val="04A0" w:firstRow="1" w:lastRow="0" w:firstColumn="1" w:lastColumn="0" w:noHBand="0" w:noVBand="1"/>
      </w:tblPr>
      <w:tblGrid>
        <w:gridCol w:w="4820"/>
      </w:tblGrid>
      <w:tr w:rsidR="00E81393" w:rsidRPr="007D245C" w:rsidTr="00361CD0">
        <w:tc>
          <w:tcPr>
            <w:tcW w:w="4820" w:type="dxa"/>
            <w:tcBorders>
              <w:top w:val="nil"/>
              <w:left w:val="nil"/>
              <w:bottom w:val="nil"/>
              <w:right w:val="nil"/>
            </w:tcBorders>
          </w:tcPr>
          <w:p w:rsidR="00E81393" w:rsidRPr="007D245C" w:rsidRDefault="00867F7A" w:rsidP="00361CD0">
            <w:pPr>
              <w:pStyle w:val="Preformatted"/>
              <w:spacing w:before="60" w:after="60" w:line="340" w:lineRule="exact"/>
              <w:jc w:val="center"/>
              <w:rPr>
                <w:rFonts w:ascii="Times New Roman" w:hAnsi="Times New Roman"/>
                <w:sz w:val="24"/>
                <w:szCs w:val="24"/>
              </w:rPr>
            </w:pPr>
            <w:sdt>
              <w:sdtPr>
                <w:rPr>
                  <w:rStyle w:val="Emfaz"/>
                  <w:szCs w:val="24"/>
                </w:rPr>
                <w:tag w:val="registravimoData"/>
                <w:id w:val="119810254"/>
                <w:placeholder>
                  <w:docPart w:val="5C76AE161272422E92AF6BECA56BD363"/>
                </w:placeholder>
                <w:showingPlcHdr/>
              </w:sdtPr>
              <w:sdtEndPr>
                <w:rPr>
                  <w:rStyle w:val="Emfaz"/>
                </w:rPr>
              </w:sdtEndPr>
              <w:sdtContent>
                <w:r>
                  <w:t/>
                </w:r>
              </w:sdtContent>
            </w:sdt>
            <w:r w:rsidR="00E81393" w:rsidRPr="007D245C">
              <w:rPr>
                <w:rFonts w:ascii="Times New Roman" w:hAnsi="Times New Roman"/>
                <w:sz w:val="24"/>
                <w:szCs w:val="24"/>
              </w:rPr>
              <w:t xml:space="preserve"> Nr.</w:t>
            </w:r>
            <w:sdt>
              <w:sdtPr>
                <w:rPr>
                  <w:rStyle w:val="Emfaz"/>
                  <w:szCs w:val="24"/>
                </w:rPr>
                <w:tag w:val="registravimoNr"/>
                <w:id w:val="-956788734"/>
                <w:placeholder>
                  <w:docPart w:val="5C76AE161272422E92AF6BECA56BD363"/>
                </w:placeholder>
                <w:showingPlcHdr/>
              </w:sdtPr>
              <w:sdtEndPr>
                <w:rPr>
                  <w:rStyle w:val="Emfaz"/>
                </w:rPr>
              </w:sdtEndPr>
              <w:sdtContent>
                <w:r>
                  <w:t/>
                </w:r>
              </w:sdtContent>
            </w:sdt>
          </w:p>
        </w:tc>
      </w:tr>
    </w:tbl>
    <w:p w:rsidR="00E81393" w:rsidRPr="007D245C" w:rsidRDefault="00E81393" w:rsidP="00E81393">
      <w:pPr>
        <w:pStyle w:val="Preformatted"/>
        <w:spacing w:before="120" w:line="340" w:lineRule="exact"/>
        <w:jc w:val="center"/>
        <w:rPr>
          <w:rFonts w:ascii="Times New Roman" w:hAnsi="Times New Roman"/>
          <w:sz w:val="24"/>
          <w:szCs w:val="24"/>
        </w:rPr>
      </w:pPr>
      <w:r w:rsidRPr="007D245C">
        <w:rPr>
          <w:rFonts w:ascii="Times New Roman" w:hAnsi="Times New Roman"/>
          <w:sz w:val="24"/>
          <w:szCs w:val="24"/>
        </w:rPr>
        <w:t>Vilnius</w:t>
      </w:r>
    </w:p>
    <w:p w:rsidR="00E81393" w:rsidRPr="003E150B" w:rsidRDefault="00E81393" w:rsidP="00E81393">
      <w:pPr>
        <w:shd w:val="clear" w:color="auto" w:fill="FFFFFF"/>
        <w:spacing w:line="340" w:lineRule="exact"/>
        <w:jc w:val="center"/>
        <w:rPr>
          <w:b/>
          <w:caps/>
          <w:szCs w:val="24"/>
          <w:lang w:eastAsia="lt-LT"/>
        </w:rPr>
      </w:pPr>
    </w:p>
    <w:p w:rsidR="00E81393" w:rsidRPr="003E150B" w:rsidRDefault="00E81393" w:rsidP="00E81393">
      <w:pPr>
        <w:shd w:val="clear" w:color="auto" w:fill="FFFFFF"/>
        <w:spacing w:line="340" w:lineRule="exact"/>
        <w:jc w:val="center"/>
        <w:rPr>
          <w:b/>
          <w:caps/>
          <w:szCs w:val="24"/>
          <w:lang w:eastAsia="lt-LT"/>
        </w:rPr>
      </w:pPr>
      <w:r w:rsidRPr="003E150B">
        <w:rPr>
          <w:b/>
          <w:caps/>
          <w:szCs w:val="24"/>
          <w:lang w:eastAsia="lt-LT"/>
        </w:rPr>
        <w:t xml:space="preserve">DĖL LIETUVOS RESPUBLIKOS </w:t>
      </w:r>
      <w:r>
        <w:rPr>
          <w:b/>
          <w:caps/>
          <w:szCs w:val="24"/>
          <w:lang w:eastAsia="lt-LT"/>
        </w:rPr>
        <w:t>VYRIAUSYBĖS NUTARIMO „DĖL ŽEMAITIJOS METŲ MINĖJIMO 2019 METAIS PLANO PATVIRTINIMO“</w:t>
      </w:r>
      <w:r w:rsidRPr="003E150B">
        <w:rPr>
          <w:b/>
          <w:caps/>
          <w:szCs w:val="24"/>
          <w:lang w:eastAsia="lt-LT"/>
        </w:rPr>
        <w:t xml:space="preserve"> PROJEKTO</w:t>
      </w:r>
    </w:p>
    <w:p w:rsidR="00E81393" w:rsidRPr="00970E5A" w:rsidRDefault="00E81393" w:rsidP="00E81393">
      <w:pPr>
        <w:jc w:val="center"/>
        <w:rPr>
          <w:b/>
          <w:color w:val="000000"/>
          <w:szCs w:val="24"/>
        </w:rPr>
      </w:pPr>
      <w:r w:rsidRPr="003E150B">
        <w:rPr>
          <w:b/>
          <w:color w:val="000000"/>
          <w:szCs w:val="24"/>
        </w:rPr>
        <w:t>(TAP NR. TAP-</w:t>
      </w:r>
      <w:r>
        <w:rPr>
          <w:b/>
          <w:color w:val="000000"/>
          <w:szCs w:val="24"/>
        </w:rPr>
        <w:t>19-57</w:t>
      </w:r>
      <w:r w:rsidRPr="003E150B">
        <w:rPr>
          <w:b/>
          <w:color w:val="000000"/>
          <w:szCs w:val="24"/>
        </w:rPr>
        <w:t xml:space="preserve">, TAIS NR. </w:t>
      </w:r>
      <w:r w:rsidRPr="00970E5A">
        <w:rPr>
          <w:b/>
          <w:szCs w:val="24"/>
        </w:rPr>
        <w:t>18-</w:t>
      </w:r>
      <w:r>
        <w:rPr>
          <w:b/>
          <w:szCs w:val="24"/>
        </w:rPr>
        <w:t>13550</w:t>
      </w:r>
      <w:r w:rsidRPr="00970E5A">
        <w:rPr>
          <w:b/>
          <w:szCs w:val="24"/>
        </w:rPr>
        <w:t>(</w:t>
      </w:r>
      <w:r>
        <w:rPr>
          <w:b/>
          <w:szCs w:val="24"/>
        </w:rPr>
        <w:t>2</w:t>
      </w:r>
      <w:r w:rsidRPr="00970E5A">
        <w:rPr>
          <w:b/>
          <w:szCs w:val="24"/>
        </w:rPr>
        <w:t>)</w:t>
      </w:r>
      <w:r w:rsidRPr="00970E5A">
        <w:rPr>
          <w:b/>
          <w:color w:val="000000"/>
          <w:szCs w:val="24"/>
        </w:rPr>
        <w:t>)</w:t>
      </w:r>
    </w:p>
    <w:p w:rsidR="00E81393" w:rsidRPr="003E150B" w:rsidRDefault="00E81393" w:rsidP="00E81393">
      <w:pPr>
        <w:jc w:val="center"/>
        <w:rPr>
          <w:color w:val="000000"/>
          <w:szCs w:val="24"/>
        </w:rPr>
      </w:pPr>
      <w:r>
        <w:rPr>
          <w:color w:val="000000"/>
          <w:szCs w:val="24"/>
        </w:rPr>
        <w:t>(toliau – nutarimo projektas)</w:t>
      </w:r>
    </w:p>
    <w:p w:rsidR="00E81393" w:rsidRPr="003E150B" w:rsidRDefault="00E81393" w:rsidP="00E81393">
      <w:pPr>
        <w:rPr>
          <w:color w:val="000000"/>
          <w:szCs w:val="24"/>
        </w:rPr>
      </w:pPr>
    </w:p>
    <w:p w:rsidR="00E81393" w:rsidRDefault="00E81393" w:rsidP="00E81393">
      <w:pPr>
        <w:spacing w:line="360" w:lineRule="auto"/>
        <w:ind w:firstLine="709"/>
        <w:jc w:val="both"/>
        <w:rPr>
          <w:color w:val="000000"/>
          <w:szCs w:val="24"/>
        </w:rPr>
      </w:pPr>
      <w:r w:rsidRPr="003E150B">
        <w:rPr>
          <w:color w:val="000000"/>
          <w:szCs w:val="24"/>
        </w:rPr>
        <w:t xml:space="preserve">Įvertinę </w:t>
      </w:r>
      <w:r>
        <w:rPr>
          <w:color w:val="000000"/>
          <w:szCs w:val="24"/>
        </w:rPr>
        <w:t>nutarimo</w:t>
      </w:r>
      <w:r w:rsidRPr="003E150B">
        <w:rPr>
          <w:color w:val="000000"/>
          <w:szCs w:val="24"/>
        </w:rPr>
        <w:t xml:space="preserve"> projekto</w:t>
      </w:r>
      <w:r>
        <w:rPr>
          <w:color w:val="000000"/>
          <w:szCs w:val="24"/>
        </w:rPr>
        <w:t xml:space="preserve"> atitiktį</w:t>
      </w:r>
      <w:r w:rsidRPr="003E150B">
        <w:rPr>
          <w:color w:val="000000"/>
          <w:szCs w:val="24"/>
        </w:rPr>
        <w:t xml:space="preserve"> įstatymams</w:t>
      </w:r>
      <w:r>
        <w:rPr>
          <w:color w:val="000000"/>
          <w:szCs w:val="24"/>
        </w:rPr>
        <w:t>, Vyriausybės nutarimams</w:t>
      </w:r>
      <w:r w:rsidRPr="003E150B">
        <w:rPr>
          <w:color w:val="000000"/>
          <w:szCs w:val="24"/>
        </w:rPr>
        <w:t xml:space="preserve"> ir teisės technikos reikalavimams, teikiame pastabas ir pasiūlymus:</w:t>
      </w:r>
    </w:p>
    <w:p w:rsidR="00E81393" w:rsidRPr="00127DA1" w:rsidRDefault="00E81393" w:rsidP="00E81393">
      <w:pPr>
        <w:pStyle w:val="Sraopastraipa"/>
        <w:numPr>
          <w:ilvl w:val="0"/>
          <w:numId w:val="1"/>
        </w:numPr>
        <w:spacing w:line="360" w:lineRule="auto"/>
        <w:ind w:left="0" w:firstLine="709"/>
        <w:jc w:val="both"/>
        <w:rPr>
          <w:color w:val="000000"/>
          <w:szCs w:val="24"/>
        </w:rPr>
      </w:pPr>
      <w:r w:rsidRPr="00127DA1">
        <w:rPr>
          <w:szCs w:val="24"/>
          <w:lang w:eastAsia="lt-LT"/>
        </w:rPr>
        <w:t xml:space="preserve">Atsižvelgiant į tai, kad </w:t>
      </w:r>
      <w:r w:rsidR="008C2917">
        <w:rPr>
          <w:szCs w:val="24"/>
          <w:lang w:eastAsia="lt-LT"/>
        </w:rPr>
        <w:t>Žemaitijos</w:t>
      </w:r>
      <w:r w:rsidRPr="00127DA1">
        <w:rPr>
          <w:szCs w:val="24"/>
          <w:lang w:eastAsia="lt-LT"/>
        </w:rPr>
        <w:t xml:space="preserve"> metų minėjimo 2019 metais planas (toliau – Planas) yra tvirtinamas Vyriausybės bei siekiant užtikrinti Vyriausybei galimybę kontroliuoti Plano įgyvendinimą ir Plane numatytų rezultatų pasiekimą, Plano </w:t>
      </w:r>
      <w:r w:rsidRPr="00127DA1">
        <w:rPr>
          <w:szCs w:val="24"/>
          <w:u w:val="single"/>
          <w:lang w:eastAsia="lt-LT"/>
        </w:rPr>
        <w:t>pirmaisiais atsakingais vykdytojais turėtų būti numatomi Vyriausybei atskaitingi subjektai</w:t>
      </w:r>
      <w:r w:rsidRPr="00127DA1">
        <w:rPr>
          <w:szCs w:val="24"/>
          <w:lang w:eastAsia="lt-LT"/>
        </w:rPr>
        <w:t xml:space="preserve">. </w:t>
      </w:r>
      <w:r>
        <w:rPr>
          <w:szCs w:val="24"/>
          <w:lang w:eastAsia="lt-LT"/>
        </w:rPr>
        <w:t>Priešingu</w:t>
      </w:r>
      <w:r w:rsidRPr="00127DA1">
        <w:rPr>
          <w:szCs w:val="24"/>
          <w:lang w:eastAsia="lt-LT"/>
        </w:rPr>
        <w:t xml:space="preserve"> atveju, Vyriausybė </w:t>
      </w:r>
      <w:r>
        <w:rPr>
          <w:szCs w:val="24"/>
          <w:lang w:eastAsia="lt-LT"/>
        </w:rPr>
        <w:t>neturėtų</w:t>
      </w:r>
      <w:r w:rsidRPr="00127DA1">
        <w:rPr>
          <w:szCs w:val="24"/>
          <w:lang w:eastAsia="lt-LT"/>
        </w:rPr>
        <w:t xml:space="preserve"> galimybių užtikrinti Plano įgyvendinimo. Be to, atsakingais vykdytojais negalėtų būti viešosios įstaigos, asociacijos</w:t>
      </w:r>
      <w:r>
        <w:rPr>
          <w:szCs w:val="24"/>
          <w:lang w:eastAsia="lt-LT"/>
        </w:rPr>
        <w:t>. Atsižvelgiant į tai, tikslinti</w:t>
      </w:r>
      <w:r w:rsidR="00CE2ED3">
        <w:rPr>
          <w:szCs w:val="24"/>
          <w:lang w:eastAsia="lt-LT"/>
        </w:rPr>
        <w:t>ni</w:t>
      </w:r>
      <w:r>
        <w:rPr>
          <w:szCs w:val="24"/>
          <w:lang w:eastAsia="lt-LT"/>
        </w:rPr>
        <w:t xml:space="preserve"> Žemaitijos metų minėjimo 2019 metais plano 1, 4, 5, </w:t>
      </w:r>
      <w:r w:rsidR="007F5F96">
        <w:rPr>
          <w:szCs w:val="24"/>
          <w:lang w:eastAsia="lt-LT"/>
        </w:rPr>
        <w:t xml:space="preserve">6, </w:t>
      </w:r>
      <w:r>
        <w:rPr>
          <w:szCs w:val="24"/>
          <w:lang w:eastAsia="lt-LT"/>
        </w:rPr>
        <w:t>14, 15, 16, 26, 30, 39 punktai</w:t>
      </w:r>
      <w:r w:rsidR="00CE2ED3">
        <w:rPr>
          <w:szCs w:val="24"/>
          <w:lang w:eastAsia="lt-LT"/>
        </w:rPr>
        <w:t xml:space="preserve"> (arba jų atsisakytina)</w:t>
      </w:r>
      <w:r w:rsidRPr="00127DA1">
        <w:rPr>
          <w:szCs w:val="24"/>
          <w:lang w:eastAsia="lt-LT"/>
        </w:rPr>
        <w:t xml:space="preserve">. </w:t>
      </w:r>
    </w:p>
    <w:p w:rsidR="00E81393" w:rsidRDefault="00E81393" w:rsidP="00E81393">
      <w:pPr>
        <w:pStyle w:val="Sraopastraipa"/>
        <w:spacing w:line="360" w:lineRule="auto"/>
        <w:ind w:left="0" w:firstLine="709"/>
        <w:jc w:val="both"/>
        <w:rPr>
          <w:szCs w:val="24"/>
          <w:lang w:eastAsia="lt-LT"/>
        </w:rPr>
      </w:pPr>
      <w:r w:rsidRPr="00127DA1">
        <w:rPr>
          <w:szCs w:val="24"/>
          <w:lang w:eastAsia="lt-LT"/>
        </w:rPr>
        <w:t>Nutarimo projekto 2 p. nurodoma, jog Planas bus įgyvendinamas iš Lietuvos Respublikos valstybės biudžete atitinkamoms ministerijoms, institucijoms, įstaigoms patvirtintų bendrųjų asignavimų ir kitų teisėtai gautų lėšų. Vadovaujantis Biudžeto sandaros įstatymu, nustatančiu, kad programų vykdymo ir paskirtų asignavimų naudojimo teisėtumą, ekonomiškumą, efektyvumą bei rezultatyvumą privalo užtikrinti biudžeto asignavimų valdytojai (5 str. 7p.), kurie taip pat atsako už programų vykdymą, neviršijant patvirtintų asignavimų sumų, paskirsto skirtus valstybės biudžeto asignavimus pavaldžioms biudžetinėms įstaigoms bei kitiems subjektams, atitinkantiems nustatyt</w:t>
      </w:r>
      <w:r>
        <w:rPr>
          <w:szCs w:val="24"/>
          <w:lang w:eastAsia="lt-LT"/>
        </w:rPr>
        <w:t>us kriterijus (5 str. 1 d. 1p.). Atsižvelgiant į tai,</w:t>
      </w:r>
      <w:r w:rsidRPr="00127DA1">
        <w:rPr>
          <w:szCs w:val="24"/>
          <w:lang w:eastAsia="lt-LT"/>
        </w:rPr>
        <w:t xml:space="preserve"> Plano atsakingi vykdytojai turėtų būti patikslinti</w:t>
      </w:r>
      <w:r w:rsidR="00FA102C">
        <w:rPr>
          <w:szCs w:val="24"/>
          <w:lang w:eastAsia="lt-LT"/>
        </w:rPr>
        <w:t xml:space="preserve"> (pvz. Plano 15 p. kaip atsakingas vykdytojas turėtų būti nurodyta ir Socialinės apsaugos ir darbo ministerija, 16 p. kaip atsakingas vykdytojas turėtų būti nurodyta Lietuvos vyriausiojo archyvaro tarnyba, su asignavimų valdytojais turėtų būti suderintas ir nutarimo projektas</w:t>
      </w:r>
      <w:r w:rsidR="00210D23">
        <w:rPr>
          <w:szCs w:val="24"/>
          <w:lang w:eastAsia="lt-LT"/>
        </w:rPr>
        <w:t>. Analogiškai tikslintini 20, 21</w:t>
      </w:r>
      <w:r w:rsidR="008C2917">
        <w:rPr>
          <w:szCs w:val="24"/>
          <w:lang w:eastAsia="lt-LT"/>
        </w:rPr>
        <w:t>p.</w:t>
      </w:r>
      <w:r w:rsidR="00FA102C">
        <w:rPr>
          <w:szCs w:val="24"/>
          <w:lang w:eastAsia="lt-LT"/>
        </w:rPr>
        <w:t>)</w:t>
      </w:r>
      <w:r w:rsidRPr="00127DA1">
        <w:rPr>
          <w:szCs w:val="24"/>
          <w:lang w:eastAsia="lt-LT"/>
        </w:rPr>
        <w:t>.</w:t>
      </w:r>
    </w:p>
    <w:p w:rsidR="00CE2ED3" w:rsidRPr="00127DA1" w:rsidRDefault="00CE2ED3" w:rsidP="00E81393">
      <w:pPr>
        <w:pStyle w:val="Sraopastraipa"/>
        <w:spacing w:line="360" w:lineRule="auto"/>
        <w:ind w:left="0" w:firstLine="709"/>
        <w:jc w:val="both"/>
        <w:rPr>
          <w:color w:val="000000"/>
          <w:szCs w:val="24"/>
        </w:rPr>
      </w:pPr>
      <w:r>
        <w:rPr>
          <w:color w:val="000000"/>
          <w:szCs w:val="24"/>
        </w:rPr>
        <w:t>Atsižvelgiant į pateiktą pastabą, iš esmės tikslintinas nutarimo projekto 3.1 p.</w:t>
      </w:r>
    </w:p>
    <w:p w:rsidR="008402E6" w:rsidRDefault="008402E6" w:rsidP="00E81393">
      <w:pPr>
        <w:numPr>
          <w:ilvl w:val="0"/>
          <w:numId w:val="1"/>
        </w:numPr>
        <w:spacing w:after="160" w:line="360" w:lineRule="auto"/>
        <w:ind w:left="0" w:firstLine="709"/>
        <w:contextualSpacing/>
        <w:jc w:val="both"/>
        <w:rPr>
          <w:rFonts w:eastAsiaTheme="minorHAnsi"/>
          <w:szCs w:val="24"/>
        </w:rPr>
      </w:pPr>
      <w:r>
        <w:rPr>
          <w:rFonts w:eastAsiaTheme="minorHAnsi"/>
          <w:szCs w:val="24"/>
        </w:rPr>
        <w:t xml:space="preserve">Tikslintinas Plano 1 p. turinys, kadangi iš pateiktos formuluotės darytina išvada, kad Lietuvos nacionalinis operos ir baleto teatras savo iniciatyva ir lėšomis organizuos ir rengs Žemaitijos </w:t>
      </w:r>
      <w:r>
        <w:rPr>
          <w:rFonts w:eastAsiaTheme="minorHAnsi"/>
          <w:szCs w:val="24"/>
        </w:rPr>
        <w:lastRenderedPageBreak/>
        <w:t>metų minėjimo renginį, tačiau abejotina, ar tai atitiktų Lietuvos nacionalinio operos ir baleto teatro nuostatuose nurodytą teatro paskirt</w:t>
      </w:r>
      <w:r w:rsidR="00FE4C46">
        <w:rPr>
          <w:rFonts w:eastAsiaTheme="minorHAnsi"/>
          <w:szCs w:val="24"/>
        </w:rPr>
        <w:t>į</w:t>
      </w:r>
      <w:r>
        <w:rPr>
          <w:rFonts w:eastAsiaTheme="minorHAnsi"/>
          <w:szCs w:val="24"/>
        </w:rPr>
        <w:t xml:space="preserve"> ir veiklos tikslus. </w:t>
      </w:r>
    </w:p>
    <w:p w:rsidR="00E81393" w:rsidRDefault="00E81393" w:rsidP="00E81393">
      <w:pPr>
        <w:numPr>
          <w:ilvl w:val="0"/>
          <w:numId w:val="1"/>
        </w:numPr>
        <w:spacing w:after="160" w:line="360" w:lineRule="auto"/>
        <w:ind w:left="0" w:firstLine="709"/>
        <w:contextualSpacing/>
        <w:jc w:val="both"/>
        <w:rPr>
          <w:rFonts w:eastAsiaTheme="minorHAnsi"/>
          <w:szCs w:val="24"/>
        </w:rPr>
      </w:pPr>
      <w:r>
        <w:rPr>
          <w:rFonts w:eastAsiaTheme="minorHAnsi"/>
          <w:szCs w:val="24"/>
        </w:rPr>
        <w:t>Plan</w:t>
      </w:r>
      <w:r w:rsidR="00FA102C">
        <w:rPr>
          <w:rFonts w:eastAsiaTheme="minorHAnsi"/>
          <w:szCs w:val="24"/>
        </w:rPr>
        <w:t>o 16 p. vietoj Klaipėdos regioninio valstybės archyvo Telšių filialo kaip atsakingas vykdytojas turėtų būti nurodomas Klaipėdos regioninis valstybės</w:t>
      </w:r>
      <w:r>
        <w:rPr>
          <w:rFonts w:eastAsiaTheme="minorHAnsi"/>
          <w:szCs w:val="24"/>
        </w:rPr>
        <w:t>.</w:t>
      </w:r>
    </w:p>
    <w:p w:rsidR="008402E6" w:rsidRDefault="008402E6" w:rsidP="00E81393">
      <w:pPr>
        <w:numPr>
          <w:ilvl w:val="0"/>
          <w:numId w:val="1"/>
        </w:numPr>
        <w:spacing w:after="160" w:line="360" w:lineRule="auto"/>
        <w:ind w:left="0" w:firstLine="709"/>
        <w:contextualSpacing/>
        <w:jc w:val="both"/>
        <w:rPr>
          <w:rFonts w:eastAsiaTheme="minorHAnsi"/>
          <w:szCs w:val="24"/>
        </w:rPr>
      </w:pPr>
      <w:r>
        <w:rPr>
          <w:rFonts w:eastAsiaTheme="minorHAnsi"/>
          <w:szCs w:val="24"/>
        </w:rPr>
        <w:t>Atsižvelgiant į tai, kad Baltijos regiono istorijos ir archeologijos institutas yra Klaipėdos universiteto padalinys, Plano 33 p. kaip atsakingas vykdytojas turėtų būti nurodomas Klaipėdos universitetas.</w:t>
      </w:r>
    </w:p>
    <w:p w:rsidR="00210D23" w:rsidRDefault="00210D23" w:rsidP="00E81393">
      <w:pPr>
        <w:numPr>
          <w:ilvl w:val="0"/>
          <w:numId w:val="1"/>
        </w:numPr>
        <w:spacing w:after="160" w:line="360" w:lineRule="auto"/>
        <w:ind w:left="0" w:firstLine="709"/>
        <w:contextualSpacing/>
        <w:jc w:val="both"/>
        <w:rPr>
          <w:rFonts w:eastAsiaTheme="minorHAnsi"/>
          <w:szCs w:val="24"/>
        </w:rPr>
      </w:pPr>
      <w:r>
        <w:rPr>
          <w:rFonts w:eastAsiaTheme="minorHAnsi"/>
          <w:szCs w:val="24"/>
        </w:rPr>
        <w:t>Nutarimo projektas tur</w:t>
      </w:r>
      <w:r w:rsidR="00CE2ED3">
        <w:rPr>
          <w:rFonts w:eastAsiaTheme="minorHAnsi"/>
          <w:szCs w:val="24"/>
        </w:rPr>
        <w:t>i</w:t>
      </w:r>
      <w:r>
        <w:rPr>
          <w:rFonts w:eastAsiaTheme="minorHAnsi"/>
          <w:szCs w:val="24"/>
        </w:rPr>
        <w:t xml:space="preserve"> būti suderintas su Susisiekimo ministerija, </w:t>
      </w:r>
      <w:r w:rsidR="00CE2ED3">
        <w:rPr>
          <w:rFonts w:eastAsiaTheme="minorHAnsi"/>
          <w:szCs w:val="24"/>
        </w:rPr>
        <w:t xml:space="preserve">Klaipėdos universitetu, </w:t>
      </w:r>
      <w:r>
        <w:rPr>
          <w:rFonts w:eastAsiaTheme="minorHAnsi"/>
          <w:szCs w:val="24"/>
        </w:rPr>
        <w:t>Klaipėdos regioniniu valstybės archyvu, Vilniaus dailės akademija, Lietuvos nacionaliniu operos ir baleto teatru, savivaldybėmis</w:t>
      </w:r>
      <w:r w:rsidR="00CE2ED3">
        <w:rPr>
          <w:rFonts w:eastAsiaTheme="minorHAnsi"/>
          <w:szCs w:val="24"/>
        </w:rPr>
        <w:t>.</w:t>
      </w:r>
    </w:p>
    <w:p w:rsidR="00CE2ED3" w:rsidRDefault="00CE2ED3" w:rsidP="00E81393">
      <w:pPr>
        <w:numPr>
          <w:ilvl w:val="0"/>
          <w:numId w:val="1"/>
        </w:numPr>
        <w:spacing w:after="160" w:line="360" w:lineRule="auto"/>
        <w:ind w:left="0" w:firstLine="709"/>
        <w:contextualSpacing/>
        <w:jc w:val="both"/>
        <w:rPr>
          <w:rFonts w:eastAsiaTheme="minorHAnsi"/>
          <w:szCs w:val="24"/>
        </w:rPr>
      </w:pPr>
      <w:r>
        <w:rPr>
          <w:rFonts w:eastAsiaTheme="minorHAnsi"/>
          <w:szCs w:val="24"/>
        </w:rPr>
        <w:t>Siūlome Plano 2, 3, 5, 6, 7, 8, 9, 11, 12, 13, 15, 16, 18, 19, 20, 30, 31, 33, punktuose vietoj žodžio „surengti“ rašyti „organizuoti“ (atsižvelgiant į tai, kad atsakingi vykdytojai yra savivaldybės). Analogiškai tikslintinas  Plano 25 p., 27p.</w:t>
      </w:r>
    </w:p>
    <w:p w:rsidR="00FA102C" w:rsidRDefault="00FA102C" w:rsidP="00E81393">
      <w:pPr>
        <w:spacing w:line="360" w:lineRule="auto"/>
        <w:jc w:val="both"/>
        <w:rPr>
          <w:szCs w:val="24"/>
        </w:rPr>
      </w:pPr>
    </w:p>
    <w:p w:rsidR="00FA102C" w:rsidRDefault="00FA102C" w:rsidP="00E81393">
      <w:pPr>
        <w:spacing w:line="360" w:lineRule="auto"/>
        <w:jc w:val="both"/>
        <w:rPr>
          <w:szCs w:val="24"/>
        </w:rPr>
      </w:pPr>
    </w:p>
    <w:p w:rsidR="00E81393" w:rsidRPr="008775F7" w:rsidRDefault="00E81393" w:rsidP="00E81393">
      <w:pPr>
        <w:spacing w:line="360" w:lineRule="auto"/>
        <w:jc w:val="both"/>
        <w:rPr>
          <w:szCs w:val="24"/>
        </w:rPr>
      </w:pPr>
      <w:r w:rsidRPr="008775F7">
        <w:rPr>
          <w:szCs w:val="24"/>
        </w:rPr>
        <w:t>Teisės grupės vyresnioji patarėja</w:t>
      </w:r>
      <w:r w:rsidRPr="008775F7">
        <w:rPr>
          <w:szCs w:val="24"/>
        </w:rPr>
        <w:tab/>
      </w:r>
      <w:r w:rsidRPr="008775F7">
        <w:rPr>
          <w:szCs w:val="24"/>
        </w:rPr>
        <w:tab/>
      </w:r>
      <w:r w:rsidRPr="008775F7">
        <w:rPr>
          <w:szCs w:val="24"/>
        </w:rPr>
        <w:tab/>
        <w:t>Jurgita Žilinskienė</w:t>
      </w:r>
    </w:p>
    <w:p w:rsidR="00E81393" w:rsidRDefault="00E81393" w:rsidP="00E81393">
      <w:pPr>
        <w:spacing w:line="360" w:lineRule="auto"/>
        <w:jc w:val="both"/>
        <w:rPr>
          <w:szCs w:val="24"/>
        </w:rPr>
      </w:pPr>
    </w:p>
    <w:p w:rsidR="00CE2ED3" w:rsidRDefault="00CE2ED3" w:rsidP="00E81393">
      <w:pPr>
        <w:spacing w:line="360" w:lineRule="auto"/>
        <w:jc w:val="both"/>
        <w:rPr>
          <w:szCs w:val="24"/>
        </w:rPr>
      </w:pPr>
    </w:p>
    <w:p w:rsidR="00CE2ED3" w:rsidRDefault="00CE2ED3" w:rsidP="00E81393">
      <w:pPr>
        <w:spacing w:line="360" w:lineRule="auto"/>
        <w:jc w:val="both"/>
        <w:rPr>
          <w:szCs w:val="24"/>
        </w:rPr>
      </w:pPr>
    </w:p>
    <w:p w:rsidR="00CE2ED3" w:rsidRDefault="00CE2ED3" w:rsidP="00E81393">
      <w:pPr>
        <w:spacing w:line="360" w:lineRule="auto"/>
        <w:jc w:val="both"/>
        <w:rPr>
          <w:szCs w:val="24"/>
        </w:rPr>
      </w:pPr>
    </w:p>
    <w:p w:rsidR="00E81393" w:rsidRDefault="00E81393" w:rsidP="00E81393">
      <w:pPr>
        <w:spacing w:line="360" w:lineRule="auto"/>
        <w:jc w:val="both"/>
        <w:rPr>
          <w:szCs w:val="24"/>
        </w:rPr>
      </w:pPr>
    </w:p>
    <w:p w:rsidR="00E81393" w:rsidRDefault="00E81393" w:rsidP="00E81393">
      <w:r>
        <w:t>Jurgita Žilinskienė</w:t>
      </w:r>
      <w:r w:rsidRPr="005D0844">
        <w:t xml:space="preserve">, tel. +370 706 63979, el. p. </w:t>
      </w:r>
      <w:r w:rsidRPr="00AE2EA4">
        <w:t>jurgita.zilinskiene@lrv.lt</w:t>
      </w:r>
    </w:p>
    <w:p w:rsidR="00E81393" w:rsidRDefault="00E81393" w:rsidP="00E81393"/>
    <w:p w:rsidR="003C6783" w:rsidRDefault="003C6783"/>
    <w:sectPr w:rsidR="003C67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E2261"/>
    <w:multiLevelType w:val="hybridMultilevel"/>
    <w:tmpl w:val="DFB8221C"/>
    <w:lvl w:ilvl="0" w:tplc="7CD2FD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93"/>
    <w:rsid w:val="00210D23"/>
    <w:rsid w:val="003C6783"/>
    <w:rsid w:val="007F5F96"/>
    <w:rsid w:val="008402E6"/>
    <w:rsid w:val="00867F7A"/>
    <w:rsid w:val="008C2917"/>
    <w:rsid w:val="00CE2ED3"/>
    <w:rsid w:val="00E81393"/>
    <w:rsid w:val="00FA102C"/>
    <w:rsid w:val="00FE4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C37F"/>
  <w15:chartTrackingRefBased/>
  <w15:docId w15:val="{52FBA29A-A9AB-4906-8A3C-D59F0F80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139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E8139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E813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E81393"/>
    <w:rPr>
      <w:rFonts w:ascii="Times New Roman" w:hAnsi="Times New Roman"/>
      <w:i w:val="0"/>
      <w:iCs/>
      <w:sz w:val="24"/>
    </w:rPr>
  </w:style>
  <w:style w:type="paragraph" w:styleId="Sraopastraipa">
    <w:name w:val="List Paragraph"/>
    <w:basedOn w:val="prastasis"/>
    <w:uiPriority w:val="34"/>
    <w:qFormat/>
    <w:rsid w:val="00E8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glossary/document.xml"
                 Type="http://schemas.openxmlformats.org/officeDocument/2006/relationships/glossaryDocument"/>
   <Relationship Id="rId7"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76AE161272422E92AF6BECA56BD363"/>
        <w:category>
          <w:name w:val="Bendrosios nuostatos"/>
          <w:gallery w:val="placeholder"/>
        </w:category>
        <w:types>
          <w:type w:val="bbPlcHdr"/>
        </w:types>
        <w:behaviors>
          <w:behavior w:val="content"/>
        </w:behaviors>
        <w:guid w:val="{EF9348CA-9E68-45D3-87BD-4B5A904A0898}"/>
      </w:docPartPr>
      <w:docPartBody>
        <w:p w:rsidR="00A40FEF" w:rsidRDefault="0054286C" w:rsidP="0054286C">
          <w:pPr>
            <w:pStyle w:val="5C76AE161272422E92AF6BECA56BD363"/>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6C"/>
    <w:rsid w:val="0054286C"/>
    <w:rsid w:val="00A40FEF"/>
    <w:rsid w:val="00A93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286C"/>
    <w:rPr>
      <w:color w:val="808080"/>
    </w:rPr>
  </w:style>
  <w:style w:type="paragraph" w:customStyle="1" w:styleId="5C76AE161272422E92AF6BECA56BD363">
    <w:name w:val="5C76AE161272422E92AF6BECA56BD363"/>
    <w:rsid w:val="00542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2243</Words>
  <Characters>1279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2019-01-24T16:50:00Z</dcterms:created>
  <dc:creator>Jurgita Žilinskienė</dc:creator>
  <cp:lastModifiedBy>Jurgita Žilinskienė</cp:lastModifiedBy>
  <dcterms:modified xsi:type="dcterms:W3CDTF">2019-01-24T16:50:00Z</dcterms:modified>
  <cp:revision>2</cp:revision>
</cp:coreProperties>
</file>