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41B" w:rsidRPr="009E0826" w:rsidRDefault="0088141B" w:rsidP="0088141B">
      <w:pPr>
        <w:widowControl w:val="0"/>
        <w:autoSpaceDE w:val="0"/>
        <w:autoSpaceDN w:val="0"/>
        <w:adjustRightInd w:val="0"/>
        <w:ind w:firstLine="0"/>
        <w:jc w:val="center"/>
        <w:rPr>
          <w:b/>
          <w:color w:val="000000"/>
          <w:szCs w:val="24"/>
          <w:lang w:eastAsia="lt-LT"/>
        </w:rPr>
      </w:pPr>
      <w:r w:rsidRPr="009E0826">
        <w:rPr>
          <w:b/>
          <w:color w:val="000000"/>
          <w:szCs w:val="24"/>
          <w:lang w:eastAsia="lt-LT"/>
        </w:rPr>
        <w:t>NUMATOMO TEISINIO REGULIAVIMO POVEIKIO VERTINIMO PAŽYM</w:t>
      </w:r>
      <w:r w:rsidR="00D758EE">
        <w:rPr>
          <w:b/>
          <w:color w:val="000000"/>
          <w:szCs w:val="24"/>
          <w:lang w:eastAsia="lt-LT"/>
        </w:rPr>
        <w:t>A</w:t>
      </w:r>
    </w:p>
    <w:p w:rsidR="0088141B" w:rsidRPr="009E0826" w:rsidRDefault="0088141B" w:rsidP="0088141B">
      <w:pPr>
        <w:widowControl w:val="0"/>
        <w:autoSpaceDE w:val="0"/>
        <w:autoSpaceDN w:val="0"/>
        <w:adjustRightInd w:val="0"/>
        <w:rPr>
          <w:b/>
          <w:lang w:eastAsia="lt-LT"/>
        </w:rPr>
      </w:pPr>
    </w:p>
    <w:tbl>
      <w:tblPr>
        <w:tblW w:w="9639" w:type="dxa"/>
        <w:tblLayout w:type="fixed"/>
        <w:tblCellMar>
          <w:left w:w="0" w:type="dxa"/>
          <w:right w:w="0" w:type="dxa"/>
        </w:tblCellMar>
        <w:tblLook w:val="00A0" w:firstRow="1" w:lastRow="0" w:firstColumn="1" w:lastColumn="0" w:noHBand="0" w:noVBand="0"/>
      </w:tblPr>
      <w:tblGrid>
        <w:gridCol w:w="2251"/>
        <w:gridCol w:w="7388"/>
      </w:tblGrid>
      <w:tr w:rsidR="0088141B" w:rsidRPr="009E0826" w:rsidTr="0088141B">
        <w:tc>
          <w:tcPr>
            <w:tcW w:w="2235" w:type="dxa"/>
            <w:shd w:val="clear" w:color="auto" w:fill="DBE5F1"/>
          </w:tcPr>
          <w:p w:rsidR="0088141B" w:rsidRPr="009E0826" w:rsidRDefault="0088141B" w:rsidP="0088141B">
            <w:pPr>
              <w:widowControl w:val="0"/>
              <w:autoSpaceDE w:val="0"/>
              <w:autoSpaceDN w:val="0"/>
              <w:adjustRightInd w:val="0"/>
              <w:ind w:firstLine="0"/>
              <w:rPr>
                <w:szCs w:val="22"/>
                <w:shd w:val="clear" w:color="auto" w:fill="DBE5F1"/>
                <w:lang w:eastAsia="lt-LT"/>
              </w:rPr>
            </w:pPr>
            <w:r w:rsidRPr="009E0826">
              <w:rPr>
                <w:b/>
                <w:szCs w:val="22"/>
                <w:shd w:val="clear" w:color="auto" w:fill="DBE5F1"/>
                <w:lang w:eastAsia="lt-LT"/>
              </w:rPr>
              <w:t>Projekto pavadinimas</w:t>
            </w:r>
          </w:p>
        </w:tc>
        <w:tc>
          <w:tcPr>
            <w:tcW w:w="7337" w:type="dxa"/>
            <w:shd w:val="clear" w:color="auto" w:fill="DBE5F1"/>
          </w:tcPr>
          <w:p w:rsidR="0088141B" w:rsidRPr="00E3326C" w:rsidRDefault="00CB1F34" w:rsidP="00F369B8">
            <w:pPr>
              <w:widowControl w:val="0"/>
              <w:autoSpaceDE w:val="0"/>
              <w:autoSpaceDN w:val="0"/>
              <w:adjustRightInd w:val="0"/>
              <w:ind w:firstLine="0"/>
              <w:jc w:val="both"/>
              <w:rPr>
                <w:szCs w:val="22"/>
                <w:lang w:eastAsia="lt-LT"/>
              </w:rPr>
            </w:pPr>
            <w:r w:rsidRPr="00E3326C">
              <w:rPr>
                <w:szCs w:val="22"/>
                <w:lang w:eastAsia="lt-LT"/>
              </w:rPr>
              <w:t>Lietuvos Respublikos civilinio kodekso 4.173, 4.177 straipsnių, ketvirtosios knygos II dalies XI skyriaus antrojo skirsnio, 4.184, 4.189 straipsnių, ketvirtosios knygos II dalies XI skyriaus ketvirtojo ir penktojo skirsnių, 4.202, 4.207, 4.209, 4.210, 4.212, 4.213, 4.223, 4.224, 4.225, 6.104, 6.561 straipsnių pakeitimo įstatymo, Lietuvos Respublikos civilinio proceso kodekso 746 straipsnio pakeitimo įstatymo, Lietuvos Respublikos hipotekos registro įstatymo Nr. I-1544 pripažinimo netekusiu galios įstatymo, Lietuvos Respublikos nekilnojamojo turto registro įstatymo Nr. I-1539 5, 11, 15, 17 ir 38 straipsnių pakeitimo įstatymo, Lietuvos Respublikos sutarčių registro įstatymo Nr. XI-1140 pakeitimo įstatymo, Lietuvos Respublikos notariato įstatymo Nr. I-2882 46 ir 491 straipsnių pakeitimo įstatymo, Lietuvos Respublikos valstybės informacinių išteklių valdymo įstatymo Nr. XI-1807 16 straipsnio pakeitimo įstatymo, Lietuvos Respublikos civilinio kodekso 4.127, 4.170, 4.171, 4.172, 4.173, 4.174, 4.175, 4.176, 4.177, 4. 4.178, 4.179, 4.180, 4.181, 4.182, 4.183, 4.184, 4.185, 4.186, 4.187, 4.188, 4.189, 4.190, 4.191, 4.192, 4.193, 4.195, 4.196, 4.197, 4.198, 4.199, 4.200, 4.201, 4.202, 4.204, 4.206, 4.207, 4.209, 4.210, 4.211, 4.212, 4.213, 4.214, 4.216, 4.219, 4.220, 4.221, 4.223, 4.224, 4.225, 4.226, 4.256 straipsnių pakeitimo ir papildymo ir Kodekso papildymo 4.192</w:t>
            </w:r>
            <w:r w:rsidRPr="00E3326C">
              <w:rPr>
                <w:szCs w:val="22"/>
                <w:vertAlign w:val="superscript"/>
                <w:lang w:eastAsia="lt-LT"/>
              </w:rPr>
              <w:t>1</w:t>
            </w:r>
            <w:r w:rsidRPr="00E3326C">
              <w:rPr>
                <w:szCs w:val="22"/>
                <w:lang w:eastAsia="lt-LT"/>
              </w:rPr>
              <w:t>, 4.194</w:t>
            </w:r>
            <w:r w:rsidRPr="00E3326C">
              <w:rPr>
                <w:szCs w:val="22"/>
                <w:vertAlign w:val="superscript"/>
                <w:lang w:eastAsia="lt-LT"/>
              </w:rPr>
              <w:t>1</w:t>
            </w:r>
            <w:r w:rsidRPr="00E3326C">
              <w:rPr>
                <w:szCs w:val="22"/>
                <w:lang w:eastAsia="lt-LT"/>
              </w:rPr>
              <w:t xml:space="preserve"> straipsniais įstatymo Nr. XI-1842 pakeitimo įstatymo, </w:t>
            </w:r>
            <w:r w:rsidR="00F369B8" w:rsidRPr="00F369B8">
              <w:rPr>
                <w:szCs w:val="22"/>
                <w:lang w:eastAsia="lt-LT"/>
              </w:rPr>
              <w:t>Lietuvos Respublikos</w:t>
            </w:r>
            <w:r w:rsidR="00F369B8">
              <w:rPr>
                <w:szCs w:val="22"/>
                <w:lang w:eastAsia="lt-LT"/>
              </w:rPr>
              <w:t xml:space="preserve"> </w:t>
            </w:r>
            <w:r w:rsidR="00F369B8" w:rsidRPr="00F369B8">
              <w:rPr>
                <w:szCs w:val="22"/>
                <w:lang w:eastAsia="lt-LT"/>
              </w:rPr>
              <w:t xml:space="preserve">dizaino įstatymo </w:t>
            </w:r>
            <w:r w:rsidR="00F369B8">
              <w:rPr>
                <w:szCs w:val="22"/>
                <w:lang w:eastAsia="lt-LT"/>
              </w:rPr>
              <w:t>N</w:t>
            </w:r>
            <w:r w:rsidR="00F369B8" w:rsidRPr="00F369B8">
              <w:rPr>
                <w:szCs w:val="22"/>
                <w:lang w:eastAsia="lt-LT"/>
              </w:rPr>
              <w:t>r. IX-1181</w:t>
            </w:r>
            <w:r w:rsidR="00F369B8">
              <w:rPr>
                <w:szCs w:val="22"/>
                <w:lang w:eastAsia="lt-LT"/>
              </w:rPr>
              <w:t xml:space="preserve"> </w:t>
            </w:r>
            <w:r w:rsidR="00F369B8" w:rsidRPr="00F369B8">
              <w:rPr>
                <w:szCs w:val="22"/>
                <w:lang w:eastAsia="lt-LT"/>
              </w:rPr>
              <w:t>42 straipsnio pakeitimo</w:t>
            </w:r>
            <w:r w:rsidR="00F369B8">
              <w:rPr>
                <w:szCs w:val="22"/>
                <w:lang w:eastAsia="lt-LT"/>
              </w:rPr>
              <w:t xml:space="preserve"> </w:t>
            </w:r>
            <w:r w:rsidR="00F369B8" w:rsidRPr="00F369B8">
              <w:rPr>
                <w:szCs w:val="22"/>
                <w:lang w:eastAsia="lt-LT"/>
              </w:rPr>
              <w:t>įstatym</w:t>
            </w:r>
            <w:r w:rsidR="00F369B8">
              <w:rPr>
                <w:szCs w:val="22"/>
                <w:lang w:eastAsia="lt-LT"/>
              </w:rPr>
              <w:t>o,</w:t>
            </w:r>
            <w:r w:rsidR="00F369B8" w:rsidRPr="00F369B8">
              <w:rPr>
                <w:szCs w:val="22"/>
                <w:lang w:eastAsia="lt-LT"/>
              </w:rPr>
              <w:t xml:space="preserve"> </w:t>
            </w:r>
            <w:r w:rsidRPr="00E3326C">
              <w:rPr>
                <w:szCs w:val="22"/>
                <w:lang w:eastAsia="lt-LT"/>
              </w:rPr>
              <w:t xml:space="preserve">Lietuvos Respublikos finansų įstaigų įstatymo Nr. IX-1068 31 straipsnio pakeitimo įstatymo, Lietuvos Respublikos mokesčių administravimo įstatymo Nr. IX-2112 103 straipsnio pakeitimo įstatymo, </w:t>
            </w:r>
            <w:r w:rsidR="00F369B8" w:rsidRPr="00E3326C">
              <w:rPr>
                <w:szCs w:val="22"/>
                <w:lang w:eastAsia="lt-LT"/>
              </w:rPr>
              <w:t xml:space="preserve">Lietuvos Respublikos </w:t>
            </w:r>
            <w:r w:rsidR="00F369B8">
              <w:rPr>
                <w:szCs w:val="22"/>
                <w:lang w:eastAsia="lt-LT"/>
              </w:rPr>
              <w:t>p</w:t>
            </w:r>
            <w:r w:rsidR="00F369B8" w:rsidRPr="00F369B8">
              <w:rPr>
                <w:szCs w:val="22"/>
                <w:lang w:eastAsia="lt-LT"/>
              </w:rPr>
              <w:t xml:space="preserve">atentų įstatymo </w:t>
            </w:r>
            <w:r w:rsidR="00F369B8">
              <w:rPr>
                <w:szCs w:val="22"/>
                <w:lang w:eastAsia="lt-LT"/>
              </w:rPr>
              <w:t>N</w:t>
            </w:r>
            <w:r w:rsidR="00F369B8" w:rsidRPr="00F369B8">
              <w:rPr>
                <w:szCs w:val="22"/>
                <w:lang w:eastAsia="lt-LT"/>
              </w:rPr>
              <w:t xml:space="preserve">r. </w:t>
            </w:r>
            <w:r w:rsidR="00F369B8">
              <w:rPr>
                <w:szCs w:val="22"/>
                <w:lang w:eastAsia="lt-LT"/>
              </w:rPr>
              <w:t>I</w:t>
            </w:r>
            <w:r w:rsidR="00F369B8" w:rsidRPr="00F369B8">
              <w:rPr>
                <w:szCs w:val="22"/>
                <w:lang w:eastAsia="lt-LT"/>
              </w:rPr>
              <w:t>-372</w:t>
            </w:r>
            <w:r w:rsidR="00F369B8">
              <w:rPr>
                <w:szCs w:val="22"/>
                <w:lang w:eastAsia="lt-LT"/>
              </w:rPr>
              <w:t xml:space="preserve"> </w:t>
            </w:r>
            <w:r w:rsidR="00F369B8" w:rsidRPr="00F369B8">
              <w:rPr>
                <w:szCs w:val="22"/>
                <w:lang w:eastAsia="lt-LT"/>
              </w:rPr>
              <w:t>47 straipsnio pakeitimo</w:t>
            </w:r>
            <w:r w:rsidR="00F369B8">
              <w:rPr>
                <w:szCs w:val="22"/>
                <w:lang w:eastAsia="lt-LT"/>
              </w:rPr>
              <w:t xml:space="preserve"> įstatymo, </w:t>
            </w:r>
            <w:r w:rsidRPr="00E3326C">
              <w:rPr>
                <w:szCs w:val="22"/>
                <w:lang w:eastAsia="lt-LT"/>
              </w:rPr>
              <w:t>Lietuvos Respublikos prekybinės laivybos įstatymo Nr. I-1513 81 straipsnio pakeitimo įstatymo, Lietuvos Respublikos prekių ženklų įstatymo Nr. VIII-1981 28 straipsnio pakeitimo įstatymo, Lietuvos Respublikos v</w:t>
            </w:r>
            <w:bookmarkStart w:id="0" w:name="_GoBack"/>
            <w:bookmarkEnd w:id="0"/>
            <w:r w:rsidRPr="00E3326C">
              <w:rPr>
                <w:szCs w:val="22"/>
                <w:lang w:eastAsia="lt-LT"/>
              </w:rPr>
              <w:t>alstybinio socialinio draudimo įstatymo Nr. I-1336 40 straipsnio pakeitimo įstatymo, Lietuvos Respublikos žemės įstatymo Nr. I-446 52 straipsnio pakeitimo įstatymo projektai</w:t>
            </w:r>
          </w:p>
        </w:tc>
      </w:tr>
    </w:tbl>
    <w:p w:rsidR="0088141B" w:rsidRPr="009E0826" w:rsidRDefault="0088141B" w:rsidP="0088141B">
      <w:pPr>
        <w:widowControl w:val="0"/>
        <w:autoSpaceDE w:val="0"/>
        <w:autoSpaceDN w:val="0"/>
        <w:adjustRightInd w:val="0"/>
        <w:rPr>
          <w:szCs w:val="22"/>
          <w:lang w:eastAsia="lt-LT"/>
        </w:rPr>
      </w:pPr>
    </w:p>
    <w:tbl>
      <w:tblPr>
        <w:tblW w:w="9639" w:type="dxa"/>
        <w:tblLayout w:type="fixed"/>
        <w:tblCellMar>
          <w:left w:w="0" w:type="dxa"/>
          <w:right w:w="0" w:type="dxa"/>
        </w:tblCellMar>
        <w:tblLook w:val="00A0" w:firstRow="1" w:lastRow="0" w:firstColumn="1" w:lastColumn="0" w:noHBand="0" w:noVBand="0"/>
      </w:tblPr>
      <w:tblGrid>
        <w:gridCol w:w="2251"/>
        <w:gridCol w:w="7388"/>
      </w:tblGrid>
      <w:tr w:rsidR="0088141B" w:rsidRPr="009E0826" w:rsidTr="0088141B">
        <w:tc>
          <w:tcPr>
            <w:tcW w:w="2235" w:type="dxa"/>
            <w:shd w:val="clear" w:color="auto" w:fill="DBE5F1"/>
          </w:tcPr>
          <w:p w:rsidR="0088141B" w:rsidRPr="009E0826" w:rsidRDefault="0088141B" w:rsidP="0088141B">
            <w:pPr>
              <w:widowControl w:val="0"/>
              <w:autoSpaceDE w:val="0"/>
              <w:autoSpaceDN w:val="0"/>
              <w:adjustRightInd w:val="0"/>
              <w:ind w:firstLine="0"/>
              <w:rPr>
                <w:szCs w:val="22"/>
                <w:lang w:eastAsia="lt-LT"/>
              </w:rPr>
            </w:pPr>
            <w:r w:rsidRPr="009E0826">
              <w:rPr>
                <w:b/>
                <w:szCs w:val="22"/>
                <w:shd w:val="clear" w:color="auto" w:fill="DBE5F1"/>
                <w:lang w:eastAsia="lt-LT"/>
              </w:rPr>
              <w:t>Projekto rengėjas</w:t>
            </w:r>
          </w:p>
        </w:tc>
        <w:tc>
          <w:tcPr>
            <w:tcW w:w="7337" w:type="dxa"/>
            <w:shd w:val="clear" w:color="auto" w:fill="DBE5F1"/>
          </w:tcPr>
          <w:p w:rsidR="0088141B" w:rsidRPr="009E0826" w:rsidRDefault="00CB1F34" w:rsidP="00CB1F34">
            <w:pPr>
              <w:widowControl w:val="0"/>
              <w:autoSpaceDE w:val="0"/>
              <w:autoSpaceDN w:val="0"/>
              <w:adjustRightInd w:val="0"/>
              <w:ind w:firstLine="0"/>
              <w:jc w:val="both"/>
              <w:rPr>
                <w:b/>
                <w:szCs w:val="22"/>
                <w:lang w:eastAsia="lt-LT"/>
              </w:rPr>
            </w:pPr>
            <w:r>
              <w:rPr>
                <w:szCs w:val="22"/>
                <w:lang w:eastAsia="lt-LT"/>
              </w:rPr>
              <w:t>Lietuvos Respublikos t</w:t>
            </w:r>
            <w:r w:rsidRPr="00CB1F34">
              <w:rPr>
                <w:szCs w:val="22"/>
                <w:lang w:eastAsia="lt-LT"/>
              </w:rPr>
              <w:t>eisingumo ministerija</w:t>
            </w:r>
          </w:p>
        </w:tc>
      </w:tr>
    </w:tbl>
    <w:p w:rsidR="0088141B" w:rsidRPr="009E0826" w:rsidRDefault="0088141B" w:rsidP="0088141B">
      <w:pPr>
        <w:widowControl w:val="0"/>
        <w:autoSpaceDE w:val="0"/>
        <w:autoSpaceDN w:val="0"/>
        <w:adjustRightInd w:val="0"/>
        <w:rPr>
          <w:szCs w:val="22"/>
          <w:lang w:eastAsia="lt-LT"/>
        </w:rPr>
      </w:pPr>
    </w:p>
    <w:tbl>
      <w:tblPr>
        <w:tblW w:w="9639" w:type="dxa"/>
        <w:tblLayout w:type="fixed"/>
        <w:tblCellMar>
          <w:left w:w="0" w:type="dxa"/>
          <w:right w:w="0" w:type="dxa"/>
        </w:tblCellMar>
        <w:tblLook w:val="00A0" w:firstRow="1" w:lastRow="0" w:firstColumn="1" w:lastColumn="0" w:noHBand="0" w:noVBand="0"/>
      </w:tblPr>
      <w:tblGrid>
        <w:gridCol w:w="2251"/>
        <w:gridCol w:w="7388"/>
      </w:tblGrid>
      <w:tr w:rsidR="0088141B" w:rsidRPr="009E0826" w:rsidTr="0088141B">
        <w:tc>
          <w:tcPr>
            <w:tcW w:w="2235" w:type="dxa"/>
            <w:shd w:val="clear" w:color="auto" w:fill="DBE5F1"/>
          </w:tcPr>
          <w:p w:rsidR="0088141B" w:rsidRPr="009E0826" w:rsidRDefault="0088141B" w:rsidP="0088141B">
            <w:pPr>
              <w:widowControl w:val="0"/>
              <w:autoSpaceDE w:val="0"/>
              <w:autoSpaceDN w:val="0"/>
              <w:adjustRightInd w:val="0"/>
              <w:ind w:firstLine="0"/>
              <w:rPr>
                <w:b/>
                <w:szCs w:val="22"/>
                <w:lang w:eastAsia="lt-LT"/>
              </w:rPr>
            </w:pPr>
            <w:r w:rsidRPr="009E0826">
              <w:rPr>
                <w:b/>
                <w:szCs w:val="22"/>
                <w:lang w:eastAsia="lt-LT"/>
              </w:rPr>
              <w:t>Projekto tikslas</w:t>
            </w:r>
          </w:p>
        </w:tc>
        <w:tc>
          <w:tcPr>
            <w:tcW w:w="7337" w:type="dxa"/>
            <w:shd w:val="clear" w:color="auto" w:fill="DBE5F1"/>
          </w:tcPr>
          <w:p w:rsidR="009A77EF" w:rsidRPr="00E3326C" w:rsidRDefault="00CB1F34" w:rsidP="009A77EF">
            <w:pPr>
              <w:widowControl w:val="0"/>
              <w:autoSpaceDE w:val="0"/>
              <w:autoSpaceDN w:val="0"/>
              <w:adjustRightInd w:val="0"/>
              <w:ind w:firstLine="301"/>
              <w:jc w:val="both"/>
              <w:rPr>
                <w:szCs w:val="22"/>
                <w:lang w:eastAsia="lt-LT"/>
              </w:rPr>
            </w:pPr>
            <w:r w:rsidRPr="00E3326C">
              <w:rPr>
                <w:szCs w:val="22"/>
                <w:lang w:eastAsia="lt-LT"/>
              </w:rPr>
              <w:t>Modernizuoti įkeitimo registravimo procesą</w:t>
            </w:r>
            <w:r w:rsidR="009A77EF" w:rsidRPr="00E3326C">
              <w:rPr>
                <w:szCs w:val="22"/>
                <w:lang w:eastAsia="lt-LT"/>
              </w:rPr>
              <w:t xml:space="preserve">: </w:t>
            </w:r>
          </w:p>
          <w:p w:rsidR="009A77EF" w:rsidRPr="00E3326C" w:rsidRDefault="00CB1F34" w:rsidP="009A77EF">
            <w:pPr>
              <w:widowControl w:val="0"/>
              <w:autoSpaceDE w:val="0"/>
              <w:autoSpaceDN w:val="0"/>
              <w:adjustRightInd w:val="0"/>
              <w:ind w:firstLine="301"/>
              <w:jc w:val="both"/>
              <w:rPr>
                <w:szCs w:val="22"/>
                <w:lang w:eastAsia="lt-LT"/>
              </w:rPr>
            </w:pPr>
            <w:r w:rsidRPr="00E3326C">
              <w:rPr>
                <w:szCs w:val="22"/>
                <w:lang w:eastAsia="lt-LT"/>
              </w:rPr>
              <w:t xml:space="preserve">siekiama įkeitimo institutą padaryti patrauklesnį ir pigesnį vartotojams – sudarant galimybę sandorį dėl kilnojamojo turto sudaryti informacinių technologijų priemonėmis </w:t>
            </w:r>
            <w:r w:rsidR="00D758EE">
              <w:rPr>
                <w:szCs w:val="22"/>
                <w:lang w:eastAsia="lt-LT"/>
              </w:rPr>
              <w:t>nedalyvaujant notarui</w:t>
            </w:r>
            <w:r w:rsidRPr="00E3326C">
              <w:rPr>
                <w:szCs w:val="22"/>
                <w:lang w:eastAsia="lt-LT"/>
              </w:rPr>
              <w:t>, sudaryti galimybę pačioms įkeitimo sandorio šalims pranešti registrams apie sudarytus, pakeistus ar pabaigtus įkeitimo sandorius, atlikti duomenų paiešką registre</w:t>
            </w:r>
            <w:r w:rsidR="009A77EF" w:rsidRPr="00E3326C">
              <w:rPr>
                <w:szCs w:val="22"/>
                <w:lang w:eastAsia="lt-LT"/>
              </w:rPr>
              <w:t xml:space="preserve">; </w:t>
            </w:r>
          </w:p>
          <w:p w:rsidR="009A77EF" w:rsidRPr="00E3326C" w:rsidRDefault="009A77EF" w:rsidP="009A77EF">
            <w:pPr>
              <w:widowControl w:val="0"/>
              <w:autoSpaceDE w:val="0"/>
              <w:autoSpaceDN w:val="0"/>
              <w:adjustRightInd w:val="0"/>
              <w:ind w:firstLine="301"/>
              <w:jc w:val="both"/>
              <w:rPr>
                <w:szCs w:val="22"/>
                <w:lang w:eastAsia="lt-LT"/>
              </w:rPr>
            </w:pPr>
            <w:r w:rsidRPr="00E3326C">
              <w:rPr>
                <w:szCs w:val="22"/>
                <w:lang w:eastAsia="lt-LT"/>
              </w:rPr>
              <w:t>paskatinti paskolų</w:t>
            </w:r>
            <w:r w:rsidR="00E3714E">
              <w:rPr>
                <w:szCs w:val="22"/>
                <w:lang w:eastAsia="lt-LT"/>
              </w:rPr>
              <w:t xml:space="preserve"> davėjus ir paskolų</w:t>
            </w:r>
            <w:r w:rsidRPr="00E3326C">
              <w:rPr>
                <w:szCs w:val="22"/>
                <w:lang w:eastAsia="lt-LT"/>
              </w:rPr>
              <w:t xml:space="preserve"> gavėjus naudoti viešame registre registruojamą įkeitimo institutą (kai įkeičiamas kitas nei nekilnojamasis daiktas), tokiu būdu skatinant atsakingą skolinimąsi, skolinimą ir apsaugant skolininkų </w:t>
            </w:r>
            <w:r w:rsidR="00D758EE">
              <w:rPr>
                <w:szCs w:val="22"/>
                <w:lang w:eastAsia="lt-LT"/>
              </w:rPr>
              <w:t xml:space="preserve">ir kreditorių </w:t>
            </w:r>
            <w:r w:rsidRPr="00E3326C">
              <w:rPr>
                <w:szCs w:val="22"/>
                <w:lang w:eastAsia="lt-LT"/>
              </w:rPr>
              <w:t>teises;</w:t>
            </w:r>
            <w:r w:rsidR="00CB1F34" w:rsidRPr="00E3326C">
              <w:rPr>
                <w:szCs w:val="22"/>
                <w:lang w:eastAsia="lt-LT"/>
              </w:rPr>
              <w:t xml:space="preserve"> </w:t>
            </w:r>
          </w:p>
          <w:p w:rsidR="009A77EF" w:rsidRPr="00E3326C" w:rsidRDefault="009A77EF" w:rsidP="009A77EF">
            <w:pPr>
              <w:widowControl w:val="0"/>
              <w:autoSpaceDE w:val="0"/>
              <w:autoSpaceDN w:val="0"/>
              <w:adjustRightInd w:val="0"/>
              <w:ind w:firstLine="301"/>
              <w:jc w:val="both"/>
              <w:rPr>
                <w:szCs w:val="22"/>
                <w:lang w:eastAsia="lt-LT"/>
              </w:rPr>
            </w:pPr>
            <w:r w:rsidRPr="00E3326C">
              <w:rPr>
                <w:szCs w:val="22"/>
                <w:lang w:eastAsia="lt-LT"/>
              </w:rPr>
              <w:t xml:space="preserve">supaprastinti įkeisto turto perleidimą kito asmens nuosavybėn, maksimaliai paspartinant perleisto (perleidžiamo) įkeisto turto hipotekos (įkeitimo) pabaigos ir išregistravimo procedūras; </w:t>
            </w:r>
          </w:p>
          <w:p w:rsidR="009A77EF" w:rsidRPr="00E3326C" w:rsidRDefault="00CB1F34" w:rsidP="009A77EF">
            <w:pPr>
              <w:widowControl w:val="0"/>
              <w:autoSpaceDE w:val="0"/>
              <w:autoSpaceDN w:val="0"/>
              <w:adjustRightInd w:val="0"/>
              <w:ind w:firstLine="301"/>
              <w:jc w:val="both"/>
              <w:rPr>
                <w:szCs w:val="22"/>
                <w:lang w:eastAsia="lt-LT"/>
              </w:rPr>
            </w:pPr>
            <w:r w:rsidRPr="00E3326C">
              <w:rPr>
                <w:szCs w:val="22"/>
                <w:lang w:eastAsia="lt-LT"/>
              </w:rPr>
              <w:t>optimizuoti valstybės informacinius išteklius (siūloma reorganizuoti Nekilnojamojo turto, Hipotekos ir Sutarčių registrus ir kilnojamojo turto įkeitimus registruoti Sandorių ir teisių suvaržymų registre (reorganizuotame Sutarčių registre), o hipoteką – Nekilnojamojo turto registre kaip vieną iš daiktinių teisių)</w:t>
            </w:r>
            <w:r w:rsidR="009A77EF" w:rsidRPr="00E3326C">
              <w:rPr>
                <w:szCs w:val="22"/>
                <w:lang w:eastAsia="lt-LT"/>
              </w:rPr>
              <w:t xml:space="preserve">; </w:t>
            </w:r>
          </w:p>
          <w:p w:rsidR="009A77EF" w:rsidRPr="00E3326C" w:rsidRDefault="009A77EF" w:rsidP="009A77EF">
            <w:pPr>
              <w:widowControl w:val="0"/>
              <w:autoSpaceDE w:val="0"/>
              <w:autoSpaceDN w:val="0"/>
              <w:adjustRightInd w:val="0"/>
              <w:ind w:firstLine="301"/>
              <w:jc w:val="both"/>
              <w:rPr>
                <w:szCs w:val="22"/>
                <w:lang w:eastAsia="lt-LT"/>
              </w:rPr>
            </w:pPr>
            <w:r w:rsidRPr="00E3326C">
              <w:rPr>
                <w:szCs w:val="22"/>
                <w:lang w:eastAsia="lt-LT"/>
              </w:rPr>
              <w:t>sukurti efektyvias sąveikas su turto registrais, sudarančias sąlygas hipotekas ir įkeitimus susieti su įkeičiamu turtu ir sandorio šalimis;</w:t>
            </w:r>
            <w:r w:rsidR="00CB1F34" w:rsidRPr="00E3326C">
              <w:rPr>
                <w:szCs w:val="22"/>
                <w:lang w:eastAsia="lt-LT"/>
              </w:rPr>
              <w:t xml:space="preserve"> </w:t>
            </w:r>
          </w:p>
          <w:p w:rsidR="009A77EF" w:rsidRPr="00E3326C" w:rsidRDefault="009A77EF" w:rsidP="009A77EF">
            <w:pPr>
              <w:widowControl w:val="0"/>
              <w:autoSpaceDE w:val="0"/>
              <w:autoSpaceDN w:val="0"/>
              <w:adjustRightInd w:val="0"/>
              <w:ind w:firstLine="301"/>
              <w:jc w:val="both"/>
              <w:rPr>
                <w:szCs w:val="22"/>
                <w:lang w:eastAsia="lt-LT"/>
              </w:rPr>
            </w:pPr>
            <w:r w:rsidRPr="00E3326C">
              <w:rPr>
                <w:szCs w:val="22"/>
                <w:lang w:eastAsia="lt-LT"/>
              </w:rPr>
              <w:t>patobulinti, paspartinti šiuo metu veikiančio Hipotekas registro veiklos procesus, tikslinti registro objektus, duomenų apimtį, duomenų srautus, atsižvelgiant ir į Pasaulio banko verslo aplinkos vertinimo „Doing Business“ išvadas.</w:t>
            </w:r>
          </w:p>
          <w:p w:rsidR="009A77EF" w:rsidRPr="00CB1F34" w:rsidRDefault="00CB1F34" w:rsidP="009A77EF">
            <w:pPr>
              <w:widowControl w:val="0"/>
              <w:autoSpaceDE w:val="0"/>
              <w:autoSpaceDN w:val="0"/>
              <w:adjustRightInd w:val="0"/>
              <w:ind w:firstLine="301"/>
              <w:jc w:val="both"/>
              <w:rPr>
                <w:szCs w:val="22"/>
                <w:lang w:eastAsia="lt-LT"/>
              </w:rPr>
            </w:pPr>
            <w:r w:rsidRPr="00E3326C">
              <w:rPr>
                <w:szCs w:val="22"/>
                <w:lang w:eastAsia="lt-LT"/>
              </w:rPr>
              <w:t>Projektais įgyvendinama Vyriausybės programa: įgyvendinimo plano IV prioriteto „Darni ir konkurencinga ekonomikos plėtra“ 4.2 krypties „Verslo sąlygų ir investicinės aplinkos gerinimas, vartotojų teisių apsaugos stiprinimas“ 4.2.1 darbo „Tarptautiniu lygiu vertinamų verslo ciklą (nuo įsteigimo iki pasibaigimo) reglamentuojančių teisės aktų ir procedūrų (pagal Pasaulio banko tyrimo „Doing Business“ sritis) bei įrankių patobulinimas“ 11 punkte numatyta priemonė – „Įkeisto turto registravimo teisinio reguliavimo peržiūra ir siūlymų dėl tolesnio reglamentavimo ir (ar) kitų būtinų imtis veiksmų, užtikrinančių gerosios praktikos šioje srityje įgyvendinimą, pateikimas Vyriausybei“.</w:t>
            </w:r>
            <w:r w:rsidR="009A77EF" w:rsidRPr="009A77EF">
              <w:rPr>
                <w:szCs w:val="22"/>
                <w:lang w:eastAsia="lt-LT"/>
              </w:rPr>
              <w:tab/>
            </w:r>
          </w:p>
        </w:tc>
      </w:tr>
    </w:tbl>
    <w:p w:rsidR="0088141B" w:rsidRPr="009E0826" w:rsidRDefault="0088141B" w:rsidP="0088141B">
      <w:pPr>
        <w:widowControl w:val="0"/>
        <w:autoSpaceDE w:val="0"/>
        <w:autoSpaceDN w:val="0"/>
        <w:adjustRightInd w:val="0"/>
        <w:rPr>
          <w:szCs w:val="22"/>
          <w:lang w:eastAsia="lt-LT"/>
        </w:rPr>
      </w:pPr>
    </w:p>
    <w:tbl>
      <w:tblPr>
        <w:tblW w:w="9639" w:type="dxa"/>
        <w:tblLayout w:type="fixed"/>
        <w:tblCellMar>
          <w:left w:w="0" w:type="dxa"/>
          <w:right w:w="0" w:type="dxa"/>
        </w:tblCellMar>
        <w:tblLook w:val="00A0" w:firstRow="1" w:lastRow="0" w:firstColumn="1" w:lastColumn="0" w:noHBand="0" w:noVBand="0"/>
      </w:tblPr>
      <w:tblGrid>
        <w:gridCol w:w="2246"/>
        <w:gridCol w:w="7393"/>
      </w:tblGrid>
      <w:tr w:rsidR="0088141B" w:rsidRPr="009E0826" w:rsidTr="0088141B">
        <w:trPr>
          <w:trHeight w:val="415"/>
        </w:trPr>
        <w:tc>
          <w:tcPr>
            <w:tcW w:w="2164" w:type="dxa"/>
            <w:shd w:val="clear" w:color="auto" w:fill="DBE5F1"/>
          </w:tcPr>
          <w:p w:rsidR="0088141B" w:rsidRPr="009E0826" w:rsidRDefault="0088141B" w:rsidP="0088141B">
            <w:pPr>
              <w:widowControl w:val="0"/>
              <w:autoSpaceDE w:val="0"/>
              <w:autoSpaceDN w:val="0"/>
              <w:adjustRightInd w:val="0"/>
              <w:ind w:firstLine="0"/>
              <w:rPr>
                <w:szCs w:val="22"/>
                <w:lang w:eastAsia="lt-LT"/>
              </w:rPr>
            </w:pPr>
          </w:p>
        </w:tc>
        <w:tc>
          <w:tcPr>
            <w:tcW w:w="7123" w:type="dxa"/>
            <w:shd w:val="clear" w:color="auto" w:fill="DBE5F1"/>
          </w:tcPr>
          <w:p w:rsidR="0088141B" w:rsidRPr="009E0826" w:rsidRDefault="0088141B" w:rsidP="0088141B">
            <w:pPr>
              <w:widowControl w:val="0"/>
              <w:autoSpaceDE w:val="0"/>
              <w:autoSpaceDN w:val="0"/>
              <w:adjustRightInd w:val="0"/>
              <w:ind w:firstLine="0"/>
              <w:jc w:val="center"/>
              <w:rPr>
                <w:b/>
                <w:szCs w:val="22"/>
                <w:lang w:eastAsia="lt-LT"/>
              </w:rPr>
            </w:pPr>
            <w:r w:rsidRPr="009E0826">
              <w:rPr>
                <w:b/>
                <w:szCs w:val="22"/>
                <w:lang w:eastAsia="lt-LT"/>
              </w:rPr>
              <w:t xml:space="preserve">Siūlomo projekto poveikio įvertinimas </w:t>
            </w:r>
          </w:p>
          <w:p w:rsidR="0088141B" w:rsidRPr="009E0826" w:rsidRDefault="0088141B" w:rsidP="0088141B">
            <w:pPr>
              <w:widowControl w:val="0"/>
              <w:autoSpaceDE w:val="0"/>
              <w:autoSpaceDN w:val="0"/>
              <w:adjustRightInd w:val="0"/>
              <w:ind w:firstLine="0"/>
              <w:jc w:val="center"/>
              <w:rPr>
                <w:b/>
                <w:szCs w:val="22"/>
                <w:lang w:eastAsia="lt-LT"/>
              </w:rPr>
            </w:pPr>
            <w:r w:rsidRPr="009E0826">
              <w:rPr>
                <w:b/>
                <w:szCs w:val="22"/>
                <w:lang w:eastAsia="lt-LT"/>
              </w:rPr>
              <w:t>(</w:t>
            </w:r>
            <w:r w:rsidRPr="009E0826">
              <w:rPr>
                <w:b/>
                <w:bCs/>
                <w:szCs w:val="22"/>
                <w:lang w:eastAsia="lt-LT"/>
              </w:rPr>
              <w:t>teigiamos ir (ar) neigiamos pasekmės)*</w:t>
            </w:r>
          </w:p>
        </w:tc>
      </w:tr>
    </w:tbl>
    <w:p w:rsidR="0088141B" w:rsidRPr="009E0826" w:rsidRDefault="0088141B" w:rsidP="0088141B">
      <w:pPr>
        <w:widowControl w:val="0"/>
        <w:autoSpaceDE w:val="0"/>
        <w:autoSpaceDN w:val="0"/>
        <w:adjustRightInd w:val="0"/>
        <w:rPr>
          <w:lang w:eastAsia="lt-LT"/>
        </w:rPr>
      </w:pPr>
    </w:p>
    <w:tbl>
      <w:tblPr>
        <w:tblW w:w="9639" w:type="dxa"/>
        <w:tblLayout w:type="fixed"/>
        <w:tblCellMar>
          <w:left w:w="0" w:type="dxa"/>
          <w:right w:w="0" w:type="dxa"/>
        </w:tblCellMar>
        <w:tblLook w:val="00A0" w:firstRow="1" w:lastRow="0" w:firstColumn="1" w:lastColumn="0" w:noHBand="0" w:noVBand="0"/>
      </w:tblPr>
      <w:tblGrid>
        <w:gridCol w:w="2347"/>
        <w:gridCol w:w="7292"/>
      </w:tblGrid>
      <w:tr w:rsidR="0088141B" w:rsidRPr="009E0826" w:rsidTr="0088141B">
        <w:tc>
          <w:tcPr>
            <w:tcW w:w="2235" w:type="dxa"/>
            <w:shd w:val="clear" w:color="auto" w:fill="DBE5F1"/>
          </w:tcPr>
          <w:p w:rsidR="0088141B" w:rsidRPr="009E0826" w:rsidRDefault="0088141B" w:rsidP="0088141B">
            <w:pPr>
              <w:widowControl w:val="0"/>
              <w:autoSpaceDE w:val="0"/>
              <w:autoSpaceDN w:val="0"/>
              <w:adjustRightInd w:val="0"/>
              <w:ind w:firstLine="0"/>
              <w:rPr>
                <w:b/>
                <w:szCs w:val="22"/>
                <w:lang w:eastAsia="lt-LT"/>
              </w:rPr>
            </w:pPr>
            <w:r w:rsidRPr="009E0826">
              <w:rPr>
                <w:b/>
                <w:szCs w:val="22"/>
                <w:lang w:eastAsia="lt-LT"/>
              </w:rPr>
              <w:t xml:space="preserve">Poveikis atitinkamai </w:t>
            </w:r>
          </w:p>
          <w:p w:rsidR="0088141B" w:rsidRPr="009E0826" w:rsidRDefault="0088141B" w:rsidP="0088141B">
            <w:pPr>
              <w:widowControl w:val="0"/>
              <w:autoSpaceDE w:val="0"/>
              <w:autoSpaceDN w:val="0"/>
              <w:adjustRightInd w:val="0"/>
              <w:ind w:firstLine="0"/>
              <w:rPr>
                <w:b/>
                <w:szCs w:val="22"/>
                <w:lang w:eastAsia="lt-LT"/>
              </w:rPr>
            </w:pPr>
            <w:r w:rsidRPr="009E0826">
              <w:rPr>
                <w:b/>
                <w:szCs w:val="22"/>
                <w:lang w:eastAsia="lt-LT"/>
              </w:rPr>
              <w:t>sričiai</w:t>
            </w:r>
          </w:p>
        </w:tc>
        <w:tc>
          <w:tcPr>
            <w:tcW w:w="6945" w:type="dxa"/>
          </w:tcPr>
          <w:p w:rsidR="00640759" w:rsidRDefault="00640759" w:rsidP="006A0C6B">
            <w:pPr>
              <w:widowControl w:val="0"/>
              <w:autoSpaceDE w:val="0"/>
              <w:autoSpaceDN w:val="0"/>
              <w:adjustRightInd w:val="0"/>
              <w:ind w:firstLine="347"/>
              <w:jc w:val="both"/>
              <w:rPr>
                <w:szCs w:val="22"/>
                <w:lang w:eastAsia="lt-LT"/>
              </w:rPr>
            </w:pPr>
            <w:r>
              <w:rPr>
                <w:szCs w:val="22"/>
                <w:lang w:eastAsia="lt-LT"/>
              </w:rPr>
              <w:t>A</w:t>
            </w:r>
            <w:r w:rsidRPr="00640759">
              <w:rPr>
                <w:szCs w:val="22"/>
                <w:lang w:eastAsia="lt-LT"/>
              </w:rPr>
              <w:t>tsisak</w:t>
            </w:r>
            <w:r>
              <w:rPr>
                <w:szCs w:val="22"/>
                <w:lang w:eastAsia="lt-LT"/>
              </w:rPr>
              <w:t>ius</w:t>
            </w:r>
            <w:r w:rsidRPr="00640759">
              <w:rPr>
                <w:szCs w:val="22"/>
                <w:lang w:eastAsia="lt-LT"/>
              </w:rPr>
              <w:t xml:space="preserve"> privalomo notaro dalyvavimo šalių sudaromo įkeitimo sandorio bei duomenų apie sudarytą sandorį perdavimo viešam registrui </w:t>
            </w:r>
            <w:r>
              <w:rPr>
                <w:szCs w:val="22"/>
                <w:lang w:eastAsia="lt-LT"/>
              </w:rPr>
              <w:t>bei hipotekos ir įkeitim</w:t>
            </w:r>
            <w:r w:rsidR="00D758EE">
              <w:rPr>
                <w:szCs w:val="22"/>
                <w:lang w:eastAsia="lt-LT"/>
              </w:rPr>
              <w:t>o</w:t>
            </w:r>
            <w:r>
              <w:rPr>
                <w:szCs w:val="22"/>
                <w:lang w:eastAsia="lt-LT"/>
              </w:rPr>
              <w:t xml:space="preserve"> išregistravimo </w:t>
            </w:r>
            <w:r w:rsidRPr="00640759">
              <w:rPr>
                <w:szCs w:val="22"/>
                <w:lang w:eastAsia="lt-LT"/>
              </w:rPr>
              <w:t>proces</w:t>
            </w:r>
            <w:r w:rsidR="00F335B7">
              <w:rPr>
                <w:szCs w:val="22"/>
                <w:lang w:eastAsia="lt-LT"/>
              </w:rPr>
              <w:t>uos</w:t>
            </w:r>
            <w:r w:rsidRPr="00640759">
              <w:rPr>
                <w:szCs w:val="22"/>
                <w:lang w:eastAsia="lt-LT"/>
              </w:rPr>
              <w:t>e</w:t>
            </w:r>
            <w:r w:rsidR="00F335B7">
              <w:rPr>
                <w:szCs w:val="22"/>
                <w:lang w:eastAsia="lt-LT"/>
              </w:rPr>
              <w:t>, šie procesai taps paprastesni, greitesni</w:t>
            </w:r>
            <w:r>
              <w:rPr>
                <w:szCs w:val="22"/>
                <w:lang w:eastAsia="lt-LT"/>
              </w:rPr>
              <w:t xml:space="preserve"> </w:t>
            </w:r>
            <w:r w:rsidR="00F335B7">
              <w:rPr>
                <w:szCs w:val="22"/>
                <w:lang w:eastAsia="lt-LT"/>
              </w:rPr>
              <w:t>ir pigesni vartotojams:</w:t>
            </w:r>
          </w:p>
          <w:p w:rsidR="00F335B7" w:rsidRDefault="00F335B7" w:rsidP="006A0C6B">
            <w:pPr>
              <w:widowControl w:val="0"/>
              <w:autoSpaceDE w:val="0"/>
              <w:autoSpaceDN w:val="0"/>
              <w:adjustRightInd w:val="0"/>
              <w:ind w:firstLine="347"/>
              <w:jc w:val="both"/>
              <w:rPr>
                <w:szCs w:val="22"/>
                <w:lang w:eastAsia="lt-LT"/>
              </w:rPr>
            </w:pPr>
            <w:r w:rsidRPr="00477324">
              <w:rPr>
                <w:b/>
                <w:i/>
                <w:szCs w:val="22"/>
                <w:lang w:eastAsia="lt-LT"/>
              </w:rPr>
              <w:t>Paprastesnį</w:t>
            </w:r>
            <w:r>
              <w:rPr>
                <w:szCs w:val="22"/>
                <w:lang w:eastAsia="lt-LT"/>
              </w:rPr>
              <w:t xml:space="preserve"> įkeitimo registravimo procesą lems ne tik galimybė pačioms sandorio šalims įregistruoti įkeitim</w:t>
            </w:r>
            <w:r w:rsidR="00D758EE">
              <w:rPr>
                <w:szCs w:val="22"/>
                <w:lang w:eastAsia="lt-LT"/>
              </w:rPr>
              <w:t>ą</w:t>
            </w:r>
            <w:r>
              <w:rPr>
                <w:szCs w:val="22"/>
                <w:lang w:eastAsia="lt-LT"/>
              </w:rPr>
              <w:t xml:space="preserve"> </w:t>
            </w:r>
            <w:r w:rsidRPr="00F335B7">
              <w:rPr>
                <w:szCs w:val="22"/>
                <w:lang w:eastAsia="lt-LT"/>
              </w:rPr>
              <w:t xml:space="preserve">naudojantis </w:t>
            </w:r>
            <w:r w:rsidR="00E3714E">
              <w:rPr>
                <w:szCs w:val="22"/>
                <w:lang w:eastAsia="lt-LT"/>
              </w:rPr>
              <w:t>informacinių technologijų</w:t>
            </w:r>
            <w:r w:rsidR="00E3714E" w:rsidRPr="00F335B7">
              <w:rPr>
                <w:szCs w:val="22"/>
                <w:lang w:eastAsia="lt-LT"/>
              </w:rPr>
              <w:t xml:space="preserve"> </w:t>
            </w:r>
            <w:r w:rsidRPr="00F335B7">
              <w:rPr>
                <w:szCs w:val="22"/>
                <w:lang w:eastAsia="lt-LT"/>
              </w:rPr>
              <w:t>priemonėmis</w:t>
            </w:r>
            <w:r>
              <w:rPr>
                <w:szCs w:val="22"/>
                <w:lang w:eastAsia="lt-LT"/>
              </w:rPr>
              <w:t xml:space="preserve">, bet ir šalims pageidaujant, patį sandorį sudaryti (ir įregistruoti) pagal patvirtintas formas. </w:t>
            </w:r>
            <w:r w:rsidR="00D71290">
              <w:rPr>
                <w:szCs w:val="22"/>
                <w:lang w:eastAsia="lt-LT"/>
              </w:rPr>
              <w:t>Sandorio f</w:t>
            </w:r>
            <w:r>
              <w:rPr>
                <w:szCs w:val="22"/>
                <w:lang w:eastAsia="lt-LT"/>
              </w:rPr>
              <w:t>ormose bus numatytos tipinės ir būtinos įkeitimo sandorių sąlygos, nurodyta tokio sandorio esmė ir sudarymo pasekmės. Tipinės formos padės užtikrinti paprastą ir patikimą įkeitimo sandorio sudarymą, kas aktualu ne tik tais atvejais, kai šalys neturi gilių teisinių žinių ir įkeitimo institutu nesinaudoja dažnai</w:t>
            </w:r>
            <w:r w:rsidR="00662A4F">
              <w:rPr>
                <w:szCs w:val="22"/>
                <w:lang w:eastAsia="lt-LT"/>
              </w:rPr>
              <w:t>, todėl galės pasinaudoti jau nustatyto</w:t>
            </w:r>
            <w:r w:rsidR="00945F1F">
              <w:rPr>
                <w:szCs w:val="22"/>
                <w:lang w:eastAsia="lt-LT"/>
              </w:rPr>
              <w:t>mi</w:t>
            </w:r>
            <w:r w:rsidR="00662A4F">
              <w:rPr>
                <w:szCs w:val="22"/>
                <w:lang w:eastAsia="lt-LT"/>
              </w:rPr>
              <w:t>s formo</w:t>
            </w:r>
            <w:r w:rsidR="00945F1F">
              <w:rPr>
                <w:szCs w:val="22"/>
                <w:lang w:eastAsia="lt-LT"/>
              </w:rPr>
              <w:t>mi</w:t>
            </w:r>
            <w:r w:rsidR="00662A4F">
              <w:rPr>
                <w:szCs w:val="22"/>
                <w:lang w:eastAsia="lt-LT"/>
              </w:rPr>
              <w:t xml:space="preserve">s, bet ir verslo subjektams, kurie įkeitimo institutu naudojasi (naudosis) kasdieninėje veikloje. Nenorintiems įkeitimo sandorio sudaryti </w:t>
            </w:r>
            <w:r w:rsidR="00D71290">
              <w:rPr>
                <w:szCs w:val="22"/>
                <w:lang w:eastAsia="lt-LT"/>
              </w:rPr>
              <w:t>informacinių technologijų priemonėmis</w:t>
            </w:r>
            <w:r w:rsidR="00662A4F">
              <w:rPr>
                <w:szCs w:val="22"/>
                <w:lang w:eastAsia="lt-LT"/>
              </w:rPr>
              <w:t xml:space="preserve">, sandorio šalims  paliekama galimybė sudaryti laisvos formos rašytinį įkeitimo sandorį ir jį </w:t>
            </w:r>
            <w:r w:rsidR="00D71290">
              <w:rPr>
                <w:szCs w:val="22"/>
                <w:lang w:eastAsia="lt-LT"/>
              </w:rPr>
              <w:t xml:space="preserve">informacinių technologijų </w:t>
            </w:r>
            <w:r w:rsidR="00662A4F">
              <w:rPr>
                <w:szCs w:val="22"/>
                <w:lang w:eastAsia="lt-LT"/>
              </w:rPr>
              <w:t>priemonėmis įregistruoti registre.</w:t>
            </w:r>
            <w:r w:rsidR="006A0C6B">
              <w:rPr>
                <w:szCs w:val="22"/>
                <w:lang w:eastAsia="lt-LT"/>
              </w:rPr>
              <w:t xml:space="preserve"> Siekiant hipoteką ar įkeitimą išregistruoti, sandorio šalys taip pat galės tai atlikti pačios, nesikreipdamos į notarą. Tai ypač aktualu tais atvejais, kai sandorio pabaigos pagrindai yra akivaizdūs (pvz. skolininkas visiškai atsiskaito) ir sandorio išregistravimas tėra formalumas, kuris </w:t>
            </w:r>
            <w:r w:rsidR="006A0C6B" w:rsidRPr="00493482">
              <w:rPr>
                <w:szCs w:val="22"/>
                <w:lang w:eastAsia="lt-LT"/>
              </w:rPr>
              <w:t>šiuo metu galiojančiu teisiniu reguliavimu yra nepagrįstai apsunkintas (privaloma kreiptis į notarą, kas ne tik papildomai kainuoja, bet ir užtrunka)</w:t>
            </w:r>
            <w:r w:rsidR="00477324">
              <w:rPr>
                <w:szCs w:val="22"/>
                <w:lang w:eastAsia="lt-LT"/>
              </w:rPr>
              <w:t>.</w:t>
            </w:r>
          </w:p>
          <w:p w:rsidR="00477324" w:rsidRPr="00477324" w:rsidRDefault="00477324" w:rsidP="006A0C6B">
            <w:pPr>
              <w:widowControl w:val="0"/>
              <w:autoSpaceDE w:val="0"/>
              <w:autoSpaceDN w:val="0"/>
              <w:adjustRightInd w:val="0"/>
              <w:ind w:firstLine="347"/>
              <w:jc w:val="both"/>
              <w:rPr>
                <w:b/>
                <w:szCs w:val="22"/>
                <w:lang w:eastAsia="lt-LT"/>
              </w:rPr>
            </w:pPr>
            <w:r w:rsidRPr="00477324">
              <w:rPr>
                <w:b/>
                <w:szCs w:val="22"/>
                <w:lang w:eastAsia="lt-LT"/>
              </w:rPr>
              <w:t>Priėmus įstatymų projektus įkeitimo sandoriai galės būti sudaromi, įkeitimai įregistruojami, hipotekos ir įkeitimai išregistruojami informacinių technologijų priemonėmis, t. y. net neišeinant iš namų.</w:t>
            </w:r>
          </w:p>
          <w:p w:rsidR="00FC30E8" w:rsidRPr="00493482" w:rsidRDefault="006A0C6B" w:rsidP="006A0C6B">
            <w:pPr>
              <w:widowControl w:val="0"/>
              <w:autoSpaceDE w:val="0"/>
              <w:autoSpaceDN w:val="0"/>
              <w:adjustRightInd w:val="0"/>
              <w:ind w:firstLine="347"/>
              <w:jc w:val="both"/>
              <w:rPr>
                <w:szCs w:val="22"/>
                <w:lang w:eastAsia="lt-LT"/>
              </w:rPr>
            </w:pPr>
            <w:r w:rsidRPr="00477324">
              <w:rPr>
                <w:b/>
                <w:i/>
                <w:szCs w:val="22"/>
                <w:lang w:eastAsia="lt-LT"/>
              </w:rPr>
              <w:t>Greitesnis</w:t>
            </w:r>
            <w:r w:rsidRPr="00493482">
              <w:rPr>
                <w:szCs w:val="22"/>
                <w:lang w:eastAsia="lt-LT"/>
              </w:rPr>
              <w:t xml:space="preserve"> </w:t>
            </w:r>
            <w:r w:rsidR="00493482" w:rsidRPr="00493482">
              <w:rPr>
                <w:szCs w:val="22"/>
                <w:lang w:eastAsia="lt-LT"/>
              </w:rPr>
              <w:t>procesas</w:t>
            </w:r>
            <w:r w:rsidRPr="00493482">
              <w:rPr>
                <w:szCs w:val="22"/>
                <w:lang w:eastAsia="lt-LT"/>
              </w:rPr>
              <w:t xml:space="preserve"> pasireikš tuo, kad siekiant įregistruoti įkeitimo sandorį ar išregistruoti jau pasibaigusią hipoteką ar įkeitimą, galima bus nesikreipti į notarą. Nors pats notarinis veiksmas laiko atžvilgiu netrunka </w:t>
            </w:r>
            <w:r w:rsidR="00C339EF" w:rsidRPr="00493482">
              <w:rPr>
                <w:szCs w:val="22"/>
                <w:lang w:eastAsia="lt-LT"/>
              </w:rPr>
              <w:t xml:space="preserve">itin </w:t>
            </w:r>
            <w:r w:rsidRPr="00493482">
              <w:rPr>
                <w:szCs w:val="22"/>
                <w:lang w:eastAsia="lt-LT"/>
              </w:rPr>
              <w:t>ilgai</w:t>
            </w:r>
            <w:r w:rsidR="00C339EF" w:rsidRPr="00493482">
              <w:rPr>
                <w:szCs w:val="22"/>
                <w:lang w:eastAsia="lt-LT"/>
              </w:rPr>
              <w:t xml:space="preserve"> (įvertinant sandorio sudarymo laiką ir </w:t>
            </w:r>
            <w:r w:rsidR="00DD3151" w:rsidRPr="00493482">
              <w:rPr>
                <w:szCs w:val="22"/>
                <w:lang w:eastAsia="lt-LT"/>
              </w:rPr>
              <w:t>duomenų pateikimą registrui</w:t>
            </w:r>
            <w:r w:rsidR="00C339EF" w:rsidRPr="00493482">
              <w:rPr>
                <w:szCs w:val="22"/>
                <w:lang w:eastAsia="lt-LT"/>
              </w:rPr>
              <w:t xml:space="preserve">), tačiau </w:t>
            </w:r>
            <w:r w:rsidR="00FC30E8" w:rsidRPr="00493482">
              <w:rPr>
                <w:szCs w:val="22"/>
                <w:lang w:eastAsia="lt-LT"/>
              </w:rPr>
              <w:t>laiko sąnaudas, reikalingas sandoriui įregistruoti/išregistruoti, sudaro ir kiti procesai.</w:t>
            </w:r>
            <w:r w:rsidR="00493482" w:rsidRPr="00493482">
              <w:rPr>
                <w:szCs w:val="22"/>
                <w:lang w:eastAsia="lt-LT"/>
              </w:rPr>
              <w:t xml:space="preserve"> </w:t>
            </w:r>
            <w:r w:rsidR="00FC30E8" w:rsidRPr="00493482">
              <w:rPr>
                <w:szCs w:val="22"/>
                <w:lang w:eastAsia="lt-LT"/>
              </w:rPr>
              <w:t xml:space="preserve">Pirmiausia – tai </w:t>
            </w:r>
            <w:r w:rsidR="00493482" w:rsidRPr="00493482">
              <w:rPr>
                <w:szCs w:val="22"/>
                <w:lang w:eastAsia="lt-LT"/>
              </w:rPr>
              <w:t>notaro paslaugų pasiekiamumas</w:t>
            </w:r>
            <w:r w:rsidR="00FC30E8" w:rsidRPr="00493482">
              <w:rPr>
                <w:szCs w:val="22"/>
                <w:lang w:eastAsia="lt-LT"/>
              </w:rPr>
              <w:t xml:space="preserve">: mažesni notarų biurai dažnai nepajėgūs priimti kliento iš karto, todėl būtinas išankstinis užsiregistravimas, kuris gali užtrukti nuo kelių valandų </w:t>
            </w:r>
            <w:r w:rsidR="00493482" w:rsidRPr="00493482">
              <w:rPr>
                <w:szCs w:val="22"/>
                <w:lang w:eastAsia="lt-LT"/>
              </w:rPr>
              <w:t xml:space="preserve">(atsižvelgiant į biuro darbo laiką ir notaro užimtumą) </w:t>
            </w:r>
            <w:r w:rsidR="00FC30E8" w:rsidRPr="00493482">
              <w:rPr>
                <w:szCs w:val="22"/>
                <w:lang w:eastAsia="lt-LT"/>
              </w:rPr>
              <w:t>iki savaitės ar net kelių (ypač mažesniuose miestuose, kur dirba vienas notaras,</w:t>
            </w:r>
            <w:r w:rsidR="00493482" w:rsidRPr="00493482">
              <w:rPr>
                <w:szCs w:val="22"/>
                <w:lang w:eastAsia="lt-LT"/>
              </w:rPr>
              <w:t xml:space="preserve"> ir nėra galimybių nedelsiant gauti notarinių paslaugų ne tik dėl notaro užimtumo, bet ir tokių veiksnių, kaip </w:t>
            </w:r>
            <w:r w:rsidR="00FC30E8" w:rsidRPr="00493482">
              <w:rPr>
                <w:szCs w:val="22"/>
                <w:lang w:eastAsia="lt-LT"/>
              </w:rPr>
              <w:t>atostog</w:t>
            </w:r>
            <w:r w:rsidR="00493482" w:rsidRPr="00493482">
              <w:rPr>
                <w:szCs w:val="22"/>
                <w:lang w:eastAsia="lt-LT"/>
              </w:rPr>
              <w:t>os</w:t>
            </w:r>
            <w:r w:rsidR="00FC30E8" w:rsidRPr="00493482">
              <w:rPr>
                <w:szCs w:val="22"/>
                <w:lang w:eastAsia="lt-LT"/>
              </w:rPr>
              <w:t>, lig</w:t>
            </w:r>
            <w:r w:rsidR="00493482" w:rsidRPr="00493482">
              <w:rPr>
                <w:szCs w:val="22"/>
                <w:lang w:eastAsia="lt-LT"/>
              </w:rPr>
              <w:t>a</w:t>
            </w:r>
            <w:r w:rsidR="00FC30E8" w:rsidRPr="00493482">
              <w:rPr>
                <w:szCs w:val="22"/>
                <w:lang w:eastAsia="lt-LT"/>
              </w:rPr>
              <w:t xml:space="preserve"> ar pan.). Taip pat svarbu įvertinti, kad sudarant įkeitimo sandorį, notaro kontaktas su klientu paprastai trunka du kartus – būsimo sandorio šalys pateikia sandorio sudarymui reikalingus dokumentus, po to, parengus sandorio projektą, notaras susitinka su sandorio šalimis antrą kartą, privalo išaiškinti šalims tokio sandorio </w:t>
            </w:r>
            <w:r w:rsidR="00A96C19" w:rsidRPr="00493482">
              <w:rPr>
                <w:szCs w:val="22"/>
                <w:lang w:eastAsia="lt-LT"/>
              </w:rPr>
              <w:t xml:space="preserve">esmę ir teisines pasekmes, išsiaiškinti tikrąją šalių valią, galiausiai, pasirašius sandorį, jis teikiamas Hipotekos registrui registruoti. Taip pat papildomo laiko reikalauja ir tai, kad reikiamus dokumentus paprastai rengia ne pats notaras, o jo padėjėjas, parengtus dokumentus sutikrina ir tvirtina notaras, todėl pagal galiojančią tvarką, be sandorio šalių, sudarant įkeitimo sandorį, dalyvauja papildomos dvi grandys – notarų padėjėjai ir patys notarai. Tas pats paminėtina ir apie hipotekos ir įkeitimo išregistravimą, kai sandorio šalys privalo kreiptis į notarą, ir turi būti atliekamos pirmiau minėtos procedūros, net ir tais atvejais, kai prievolė pilnai įvykdyta ir šalys savo sutarimu galėtų hipoteką ar įkeitimą išregistruoti pačios. </w:t>
            </w:r>
          </w:p>
          <w:p w:rsidR="00493482" w:rsidRPr="00493482" w:rsidRDefault="00493482" w:rsidP="006A0C6B">
            <w:pPr>
              <w:widowControl w:val="0"/>
              <w:autoSpaceDE w:val="0"/>
              <w:autoSpaceDN w:val="0"/>
              <w:adjustRightInd w:val="0"/>
              <w:ind w:firstLine="347"/>
              <w:jc w:val="both"/>
              <w:rPr>
                <w:b/>
                <w:szCs w:val="22"/>
                <w:lang w:eastAsia="lt-LT"/>
              </w:rPr>
            </w:pPr>
            <w:r w:rsidRPr="00493482">
              <w:rPr>
                <w:b/>
                <w:szCs w:val="22"/>
                <w:lang w:eastAsia="lt-LT"/>
              </w:rPr>
              <w:t>Priėmus įstatymų projektus, įkeitimo sudarymo ir registravimo bei hipotekos ir įkeitimo išregistravimo procesai priklausytų tik nuo sandorio šalių valios ir sutrumpėtų nuo kelių dienų ar net savaičių iki kelių valandų.</w:t>
            </w:r>
            <w:r w:rsidR="00643CEA">
              <w:rPr>
                <w:b/>
                <w:szCs w:val="22"/>
                <w:lang w:eastAsia="lt-LT"/>
              </w:rPr>
              <w:t xml:space="preserve"> Sudarius sąlyga</w:t>
            </w:r>
            <w:r w:rsidR="00643CEA" w:rsidRPr="00643CEA">
              <w:rPr>
                <w:b/>
                <w:szCs w:val="22"/>
                <w:lang w:eastAsia="lt-LT"/>
              </w:rPr>
              <w:t>s nedelsiant išregi</w:t>
            </w:r>
            <w:r w:rsidR="00643CEA">
              <w:rPr>
                <w:b/>
                <w:szCs w:val="22"/>
                <w:lang w:eastAsia="lt-LT"/>
              </w:rPr>
              <w:t xml:space="preserve">struoti hipoteką (įkeitimą), nebeliks </w:t>
            </w:r>
            <w:r w:rsidR="00643CEA" w:rsidRPr="00643CEA">
              <w:rPr>
                <w:b/>
                <w:szCs w:val="22"/>
                <w:lang w:eastAsia="lt-LT"/>
              </w:rPr>
              <w:t>laiko skirtum</w:t>
            </w:r>
            <w:r w:rsidR="00643CEA">
              <w:rPr>
                <w:b/>
                <w:szCs w:val="22"/>
                <w:lang w:eastAsia="lt-LT"/>
              </w:rPr>
              <w:t>o</w:t>
            </w:r>
            <w:r w:rsidR="00643CEA" w:rsidRPr="00643CEA">
              <w:rPr>
                <w:b/>
                <w:szCs w:val="22"/>
                <w:lang w:eastAsia="lt-LT"/>
              </w:rPr>
              <w:t xml:space="preserve"> </w:t>
            </w:r>
            <w:r w:rsidR="00643CEA">
              <w:rPr>
                <w:b/>
                <w:szCs w:val="22"/>
                <w:lang w:eastAsia="lt-LT"/>
              </w:rPr>
              <w:t>tarp faktinės</w:t>
            </w:r>
            <w:r w:rsidR="00643CEA" w:rsidRPr="00643CEA">
              <w:rPr>
                <w:b/>
                <w:szCs w:val="22"/>
                <w:lang w:eastAsia="lt-LT"/>
              </w:rPr>
              <w:t xml:space="preserve"> hipotekos</w:t>
            </w:r>
            <w:r w:rsidR="00643CEA">
              <w:rPr>
                <w:b/>
                <w:szCs w:val="22"/>
                <w:lang w:eastAsia="lt-LT"/>
              </w:rPr>
              <w:t xml:space="preserve"> (įkeitimo)</w:t>
            </w:r>
            <w:r w:rsidR="00643CEA" w:rsidRPr="00643CEA">
              <w:rPr>
                <w:b/>
                <w:szCs w:val="22"/>
                <w:lang w:eastAsia="lt-LT"/>
              </w:rPr>
              <w:t xml:space="preserve"> pabaigos</w:t>
            </w:r>
            <w:r w:rsidR="00643CEA">
              <w:rPr>
                <w:b/>
                <w:szCs w:val="22"/>
                <w:lang w:eastAsia="lt-LT"/>
              </w:rPr>
              <w:t xml:space="preserve"> iki jos (jo) išregistravimo, tuo</w:t>
            </w:r>
            <w:r w:rsidR="00643CEA" w:rsidRPr="00643CEA">
              <w:rPr>
                <w:b/>
                <w:szCs w:val="22"/>
                <w:lang w:eastAsia="lt-LT"/>
              </w:rPr>
              <w:t xml:space="preserve"> užtikrinant aktualius duomenis </w:t>
            </w:r>
            <w:r w:rsidR="00643CEA">
              <w:rPr>
                <w:b/>
                <w:szCs w:val="22"/>
                <w:lang w:eastAsia="lt-LT"/>
              </w:rPr>
              <w:t xml:space="preserve">viešame </w:t>
            </w:r>
            <w:r w:rsidR="00643CEA" w:rsidRPr="00643CEA">
              <w:rPr>
                <w:b/>
                <w:szCs w:val="22"/>
                <w:lang w:eastAsia="lt-LT"/>
              </w:rPr>
              <w:t xml:space="preserve">registre ir išvengiant nepagrįsto teisių </w:t>
            </w:r>
            <w:r w:rsidR="00672005">
              <w:rPr>
                <w:b/>
                <w:szCs w:val="22"/>
                <w:lang w:eastAsia="lt-LT"/>
              </w:rPr>
              <w:t xml:space="preserve">disponuoti turtu </w:t>
            </w:r>
            <w:r w:rsidR="00643CEA" w:rsidRPr="00643CEA">
              <w:rPr>
                <w:b/>
                <w:szCs w:val="22"/>
                <w:lang w:eastAsia="lt-LT"/>
              </w:rPr>
              <w:t>suvaržymo</w:t>
            </w:r>
            <w:r w:rsidR="00672005">
              <w:rPr>
                <w:b/>
                <w:szCs w:val="22"/>
                <w:lang w:eastAsia="lt-LT"/>
              </w:rPr>
              <w:t>.</w:t>
            </w:r>
          </w:p>
          <w:p w:rsidR="003D06B5" w:rsidRPr="00E50D01" w:rsidRDefault="00493482" w:rsidP="006A0C6B">
            <w:pPr>
              <w:widowControl w:val="0"/>
              <w:autoSpaceDE w:val="0"/>
              <w:autoSpaceDN w:val="0"/>
              <w:adjustRightInd w:val="0"/>
              <w:ind w:firstLine="347"/>
              <w:jc w:val="both"/>
              <w:rPr>
                <w:szCs w:val="22"/>
                <w:lang w:eastAsia="lt-LT"/>
              </w:rPr>
            </w:pPr>
            <w:r w:rsidRPr="00477324">
              <w:rPr>
                <w:b/>
                <w:i/>
                <w:szCs w:val="22"/>
                <w:lang w:eastAsia="lt-LT"/>
              </w:rPr>
              <w:t>Pigesnis</w:t>
            </w:r>
            <w:r w:rsidRPr="00E50D01">
              <w:rPr>
                <w:szCs w:val="22"/>
                <w:lang w:eastAsia="lt-LT"/>
              </w:rPr>
              <w:t xml:space="preserve"> procesas numatomas atsižvelgiant į tai, kad sandorio šalims nebereikės mokėti atlygio notarams</w:t>
            </w:r>
            <w:r w:rsidR="00EA3D47" w:rsidRPr="00E50D01">
              <w:rPr>
                <w:szCs w:val="22"/>
                <w:lang w:eastAsia="lt-LT"/>
              </w:rPr>
              <w:t>, patirti transporto išlaidų vykstant į notarų biurą, sumažės sugaišto laiko sąnaudos.</w:t>
            </w:r>
            <w:r w:rsidR="00656AF4" w:rsidRPr="00E50D01">
              <w:rPr>
                <w:szCs w:val="22"/>
                <w:lang w:eastAsia="lt-LT"/>
              </w:rPr>
              <w:t xml:space="preserve"> </w:t>
            </w:r>
          </w:p>
          <w:p w:rsidR="003D06B5" w:rsidRPr="00E50D01" w:rsidRDefault="00E50D01" w:rsidP="006A0C6B">
            <w:pPr>
              <w:widowControl w:val="0"/>
              <w:autoSpaceDE w:val="0"/>
              <w:autoSpaceDN w:val="0"/>
              <w:adjustRightInd w:val="0"/>
              <w:ind w:firstLine="347"/>
              <w:jc w:val="both"/>
              <w:rPr>
                <w:szCs w:val="22"/>
                <w:lang w:eastAsia="lt-LT"/>
              </w:rPr>
            </w:pPr>
            <w:r w:rsidRPr="00E50D01">
              <w:rPr>
                <w:szCs w:val="22"/>
                <w:lang w:eastAsia="lt-LT"/>
              </w:rPr>
              <w:t>A</w:t>
            </w:r>
            <w:r w:rsidR="003D06B5" w:rsidRPr="00E50D01">
              <w:rPr>
                <w:szCs w:val="22"/>
                <w:lang w:eastAsia="lt-LT"/>
              </w:rPr>
              <w:t xml:space="preserve">tlyginimas už notaro paslaugas </w:t>
            </w:r>
            <w:r w:rsidR="00477324">
              <w:rPr>
                <w:szCs w:val="22"/>
                <w:lang w:eastAsia="lt-LT"/>
              </w:rPr>
              <w:t xml:space="preserve">šiuo metu </w:t>
            </w:r>
            <w:r w:rsidR="003D06B5" w:rsidRPr="00E50D01">
              <w:rPr>
                <w:szCs w:val="22"/>
                <w:lang w:eastAsia="lt-LT"/>
              </w:rPr>
              <w:t xml:space="preserve">apima šias sumas: </w:t>
            </w:r>
          </w:p>
          <w:p w:rsidR="003D06B5" w:rsidRPr="0014017C" w:rsidRDefault="003D06B5" w:rsidP="0014017C">
            <w:pPr>
              <w:pStyle w:val="Sraopastraipa"/>
              <w:widowControl w:val="0"/>
              <w:numPr>
                <w:ilvl w:val="0"/>
                <w:numId w:val="12"/>
              </w:numPr>
              <w:tabs>
                <w:tab w:val="left" w:pos="488"/>
              </w:tabs>
              <w:autoSpaceDE w:val="0"/>
              <w:autoSpaceDN w:val="0"/>
              <w:adjustRightInd w:val="0"/>
              <w:ind w:left="0" w:firstLine="347"/>
              <w:jc w:val="both"/>
              <w:rPr>
                <w:lang w:eastAsia="lt-LT"/>
              </w:rPr>
            </w:pPr>
            <w:r w:rsidRPr="00E50D01">
              <w:rPr>
                <w:szCs w:val="22"/>
                <w:lang w:eastAsia="lt-LT"/>
              </w:rPr>
              <w:lastRenderedPageBreak/>
              <w:t>už įkeitimo sandorio sudarymą atlyginimas nustatytas nuo 0,2 iki 0,3 procento nuo d</w:t>
            </w:r>
            <w:r w:rsidRPr="0014017C">
              <w:rPr>
                <w:lang w:eastAsia="lt-LT"/>
              </w:rPr>
              <w:t xml:space="preserve">aikto vertės, bet ne mažiau kaip 14,48 Eur ir ne daugiau kaip 144,81 Eur. Taip pat galimos papildomos išlaidos: už dokumento parengimą (0,58 Eur už 1 psl.), už sandorio projektą nuo 14,48 iki 28,96 Eur); </w:t>
            </w:r>
          </w:p>
          <w:p w:rsidR="003D06B5" w:rsidRPr="0014017C" w:rsidRDefault="003D06B5" w:rsidP="0014017C">
            <w:pPr>
              <w:pStyle w:val="Sraopastraipa"/>
              <w:widowControl w:val="0"/>
              <w:numPr>
                <w:ilvl w:val="0"/>
                <w:numId w:val="12"/>
              </w:numPr>
              <w:tabs>
                <w:tab w:val="left" w:pos="488"/>
              </w:tabs>
              <w:autoSpaceDE w:val="0"/>
              <w:autoSpaceDN w:val="0"/>
              <w:adjustRightInd w:val="0"/>
              <w:ind w:left="0" w:firstLine="347"/>
              <w:jc w:val="both"/>
              <w:rPr>
                <w:lang w:eastAsia="lt-LT"/>
              </w:rPr>
            </w:pPr>
            <w:r w:rsidRPr="0014017C">
              <w:rPr>
                <w:lang w:eastAsia="lt-LT"/>
              </w:rPr>
              <w:t xml:space="preserve">už įkeitimo įregistravimą (neįskaitant atlygio registro tvarkytojui) – nuo 2,90 iki  28,96 Eur – paprastai (atsižvelgiant į Lietuvos notarų rūmų rekomendacijas) skaičiuojamas 8,69 Eur atlyginimas; </w:t>
            </w:r>
          </w:p>
          <w:p w:rsidR="003D06B5" w:rsidRPr="0014017C" w:rsidRDefault="003D06B5" w:rsidP="0014017C">
            <w:pPr>
              <w:pStyle w:val="Sraopastraipa"/>
              <w:widowControl w:val="0"/>
              <w:numPr>
                <w:ilvl w:val="0"/>
                <w:numId w:val="12"/>
              </w:numPr>
              <w:tabs>
                <w:tab w:val="left" w:pos="488"/>
              </w:tabs>
              <w:autoSpaceDE w:val="0"/>
              <w:autoSpaceDN w:val="0"/>
              <w:adjustRightInd w:val="0"/>
              <w:ind w:left="0" w:firstLine="347"/>
              <w:jc w:val="both"/>
              <w:rPr>
                <w:lang w:eastAsia="lt-LT"/>
              </w:rPr>
            </w:pPr>
            <w:r w:rsidRPr="0014017C">
              <w:rPr>
                <w:lang w:eastAsia="lt-LT"/>
              </w:rPr>
              <w:t>už hipotekos ar įkeitimo išregistravimą (neįskaitant atlygio registro tvarkytojui) – 5,79 Eur.</w:t>
            </w:r>
          </w:p>
          <w:p w:rsidR="00E50D01" w:rsidRPr="0014017C" w:rsidRDefault="00E50D01" w:rsidP="0014017C">
            <w:pPr>
              <w:widowControl w:val="0"/>
              <w:autoSpaceDE w:val="0"/>
              <w:autoSpaceDN w:val="0"/>
              <w:adjustRightInd w:val="0"/>
              <w:ind w:firstLine="347"/>
              <w:jc w:val="both"/>
              <w:rPr>
                <w:b/>
                <w:lang w:eastAsia="lt-LT"/>
              </w:rPr>
            </w:pPr>
            <w:r w:rsidRPr="0014017C">
              <w:rPr>
                <w:b/>
                <w:lang w:eastAsia="lt-LT"/>
              </w:rPr>
              <w:t xml:space="preserve">Tuo tarpu atlygis registro tvarkytojui už registro objekto įregistravimą / išregistravimą viešame registre </w:t>
            </w:r>
            <w:r w:rsidR="00477324" w:rsidRPr="0014017C">
              <w:rPr>
                <w:b/>
                <w:lang w:eastAsia="lt-LT"/>
              </w:rPr>
              <w:t>tesiekia</w:t>
            </w:r>
            <w:r w:rsidRPr="0014017C">
              <w:rPr>
                <w:b/>
                <w:lang w:eastAsia="lt-LT"/>
              </w:rPr>
              <w:t xml:space="preserve"> 2,90 Eur.</w:t>
            </w:r>
            <w:r w:rsidR="005B743D">
              <w:rPr>
                <w:b/>
                <w:lang w:eastAsia="lt-LT"/>
              </w:rPr>
              <w:t xml:space="preserve"> </w:t>
            </w:r>
            <w:r w:rsidR="005B743D">
              <w:rPr>
                <w:lang w:eastAsia="lt-LT"/>
              </w:rPr>
              <w:t>Naujos elektroninės paslaugos sudarys sąlygas informacinių technologijų priemonėmis ne tik sudaryti kilnojamojo turto įkeitimo sandorį, registruoti jo pakeitimą ar hipotekos / įkeitimo sandorio pabaigą ir pateikti duomenis ir dokumentus registrui, bet ir elektroniniu būdu (bet kurio Lietuvos ar užsienio banko išduotomis atsiskaitymo kortelėmis: tiek debetinėmis, tiek kreditinėmis, ar naudojantis elektroninės bankininkystės paslaugomis) sumokėti už registravimo veiksmą.</w:t>
            </w:r>
          </w:p>
          <w:p w:rsidR="003D06B5" w:rsidRPr="0014017C" w:rsidRDefault="00656AF4" w:rsidP="0014017C">
            <w:pPr>
              <w:widowControl w:val="0"/>
              <w:autoSpaceDE w:val="0"/>
              <w:autoSpaceDN w:val="0"/>
              <w:adjustRightInd w:val="0"/>
              <w:ind w:firstLine="347"/>
              <w:jc w:val="both"/>
              <w:rPr>
                <w:lang w:eastAsia="lt-LT"/>
              </w:rPr>
            </w:pPr>
            <w:r w:rsidRPr="0014017C">
              <w:rPr>
                <w:lang w:eastAsia="lt-LT"/>
              </w:rPr>
              <w:t xml:space="preserve">Rengiant </w:t>
            </w:r>
            <w:r w:rsidR="0072660D" w:rsidRPr="0014017C">
              <w:rPr>
                <w:lang w:eastAsia="lt-LT"/>
              </w:rPr>
              <w:t xml:space="preserve">įstatymų </w:t>
            </w:r>
            <w:r w:rsidRPr="0014017C">
              <w:rPr>
                <w:lang w:eastAsia="lt-LT"/>
              </w:rPr>
              <w:t xml:space="preserve">projektus buvo įvertinta ir galima kaštų padidėjimo rizika, pvz. tais atvejais, kai </w:t>
            </w:r>
            <w:r w:rsidR="00945F1F">
              <w:rPr>
                <w:lang w:eastAsia="lt-LT"/>
              </w:rPr>
              <w:t xml:space="preserve">viena iš </w:t>
            </w:r>
            <w:r w:rsidRPr="0014017C">
              <w:rPr>
                <w:lang w:eastAsia="lt-LT"/>
              </w:rPr>
              <w:t xml:space="preserve">įkeitimo sandorio </w:t>
            </w:r>
            <w:r w:rsidR="00945F1F">
              <w:rPr>
                <w:lang w:eastAsia="lt-LT"/>
              </w:rPr>
              <w:t xml:space="preserve">šalių – </w:t>
            </w:r>
            <w:r w:rsidRPr="0014017C">
              <w:rPr>
                <w:lang w:eastAsia="lt-LT"/>
              </w:rPr>
              <w:t xml:space="preserve">kreditorius </w:t>
            </w:r>
            <w:r w:rsidR="00945F1F">
              <w:rPr>
                <w:lang w:eastAsia="lt-LT"/>
              </w:rPr>
              <w:t xml:space="preserve">– </w:t>
            </w:r>
            <w:r w:rsidRPr="0014017C">
              <w:rPr>
                <w:lang w:eastAsia="lt-LT"/>
              </w:rPr>
              <w:t xml:space="preserve">bus bankas ar kita kredito įstaiga, ji galėtų pareikalauti „sutarties sudarymo mokesčio“ (už sutarties parengimą ir </w:t>
            </w:r>
            <w:r w:rsidR="00D758EE">
              <w:rPr>
                <w:lang w:eastAsia="lt-LT"/>
              </w:rPr>
              <w:t xml:space="preserve">įkeitimo </w:t>
            </w:r>
            <w:r w:rsidRPr="0063500E">
              <w:rPr>
                <w:lang w:eastAsia="lt-LT"/>
              </w:rPr>
              <w:t>įregistravimą</w:t>
            </w:r>
            <w:r w:rsidRPr="0014017C">
              <w:rPr>
                <w:lang w:eastAsia="lt-LT"/>
              </w:rPr>
              <w:t xml:space="preserve">). Tačiau </w:t>
            </w:r>
            <w:r w:rsidR="0072660D" w:rsidRPr="0014017C">
              <w:rPr>
                <w:lang w:eastAsia="lt-LT"/>
              </w:rPr>
              <w:t xml:space="preserve">reikia pažymėti, kad esant </w:t>
            </w:r>
            <w:r w:rsidR="00945F1F">
              <w:rPr>
                <w:lang w:eastAsia="lt-LT"/>
              </w:rPr>
              <w:t xml:space="preserve">ir </w:t>
            </w:r>
            <w:r w:rsidR="0072660D" w:rsidRPr="0014017C">
              <w:rPr>
                <w:lang w:eastAsia="lt-LT"/>
              </w:rPr>
              <w:t xml:space="preserve">dabartiniam teisiniam reglamentavimui, stambios kredito įstaigos, o ne notarai, rengia sandorių projektus, todėl papildomų kaštų, kredito įstaigos neturėtų patirti. Taip pat pažymėtina, kad Civilinis kodeksas leidžia pasirinkti notarinę sandorių formą net ir tais atvejais, kai ji nebūtina, todėl sandorio šalims lieka alternatyva dėl įkeitimo registravimo ir hipotekos (įkeitimo) išregistravimo </w:t>
            </w:r>
            <w:r w:rsidR="003D06B5" w:rsidRPr="0014017C">
              <w:rPr>
                <w:lang w:eastAsia="lt-LT"/>
              </w:rPr>
              <w:t>kreiptis į notarą, jei sandorio šalims taip pigiau, patogiau ir pan.</w:t>
            </w:r>
          </w:p>
          <w:p w:rsidR="0014017C" w:rsidRDefault="0014017C" w:rsidP="0014017C">
            <w:pPr>
              <w:ind w:firstLine="347"/>
              <w:jc w:val="both"/>
              <w:rPr>
                <w:b/>
              </w:rPr>
            </w:pPr>
          </w:p>
          <w:p w:rsidR="0014017C" w:rsidRPr="0014017C" w:rsidRDefault="0014017C" w:rsidP="0014017C">
            <w:pPr>
              <w:ind w:firstLine="347"/>
              <w:jc w:val="both"/>
              <w:rPr>
                <w:b/>
              </w:rPr>
            </w:pPr>
            <w:r w:rsidRPr="0014017C">
              <w:rPr>
                <w:b/>
              </w:rPr>
              <w:t xml:space="preserve">Rengiant Įstatymų projektus, buvo įvertinta projektais numatoma sukurti ekonominė ir </w:t>
            </w:r>
            <w:r w:rsidRPr="0014017C">
              <w:rPr>
                <w:rFonts w:cstheme="minorHAnsi"/>
                <w:b/>
              </w:rPr>
              <w:t xml:space="preserve">socialinė-ekonominė </w:t>
            </w:r>
            <w:r w:rsidRPr="0014017C">
              <w:rPr>
                <w:b/>
              </w:rPr>
              <w:t>nauda:</w:t>
            </w:r>
          </w:p>
          <w:p w:rsidR="0014017C" w:rsidRPr="0014017C" w:rsidRDefault="0014017C" w:rsidP="0014017C">
            <w:pPr>
              <w:ind w:firstLine="347"/>
              <w:jc w:val="both"/>
            </w:pPr>
            <w:r w:rsidRPr="0014017C">
              <w:t>Eliminavus notaro tvirtinimo veiksmus iš įkeitimo sandorio sudarymo ir keitimo bei hipotekos (įkeitimo) sandorio baigimo proceso (kuomet hipoteka baigiama tinkamai įvykdžius skolinį įsipareigojimą) ir sudarius galimybę įkeitimą sudaryti, registruoti, keisti, taip pat hipoteką ar įkeitimą išregistruoti informacinių technologijų priemonėmis, būtų sutaupytas laikas (skirtas: notaro padėjėjo, notaro, kreditoriaus ar jo darbuotojo ir skolininko kelionėms, dokumentų peržiūrai, pasirašymui ir pan.), išlaidos kelionei, be to</w:t>
            </w:r>
            <w:r w:rsidR="00945F1F">
              <w:t>,</w:t>
            </w:r>
            <w:r w:rsidRPr="0014017C">
              <w:t xml:space="preserve"> skolininkams nereikėtų mokėti atlygio už notarų veiksmus (detalūs skaičiavimai pinigine išraiška pateikiami </w:t>
            </w:r>
            <w:r w:rsidRPr="0014017C">
              <w:rPr>
                <w:b/>
              </w:rPr>
              <w:t>priede</w:t>
            </w:r>
            <w:r w:rsidRPr="0014017C">
              <w:t>).</w:t>
            </w:r>
          </w:p>
          <w:p w:rsidR="0014017C" w:rsidRPr="0014017C" w:rsidRDefault="0014017C" w:rsidP="0014017C">
            <w:pPr>
              <w:ind w:firstLine="347"/>
              <w:jc w:val="both"/>
            </w:pPr>
            <w:r w:rsidRPr="0014017C">
              <w:rPr>
                <w:rFonts w:cstheme="minorHAnsi"/>
              </w:rPr>
              <w:t xml:space="preserve">Realizavus hipotekų tvarkymą Nekilnojamojo turto registre ir keičiant duomenis apie sąlyginės hipotekos sąlygų įgyvendinimą, skolininkui nereikėtų vykti pateikti notarui dokumentų, įrodančių sąlygų įgyvendinimą bei notarui nereikėtų atlikti hipotekos duomenų pakeitimo Hipotekos registre. Užregistravus turtą Nekilnojamojo turto registre automatiškai būtų pakeičiami hipotekos duomenys, nurodantys, kad hipotekos sąlyga įgyvendinta. Būtų išspręsta sąlyginių hipotekų įsigaliojimo viešinimo problema, </w:t>
            </w:r>
            <w:r w:rsidRPr="0014017C">
              <w:t>sutaupytas laikas, skirtas skolininko kelionei, ir notarų ir jų padėjėjų darbo laikas.</w:t>
            </w:r>
          </w:p>
          <w:p w:rsidR="0014017C" w:rsidRPr="0014017C" w:rsidRDefault="0014017C" w:rsidP="0014017C">
            <w:pPr>
              <w:pStyle w:val="Sraopastraipa"/>
              <w:ind w:left="0" w:firstLine="347"/>
              <w:jc w:val="both"/>
            </w:pPr>
            <w:r w:rsidRPr="0014017C">
              <w:t>Šiuo metu Hipotekos registr</w:t>
            </w:r>
            <w:r w:rsidR="00D71290">
              <w:t>e</w:t>
            </w:r>
            <w:r w:rsidRPr="0014017C">
              <w:t xml:space="preserve"> gavus duomenis iš </w:t>
            </w:r>
            <w:r w:rsidRPr="0014017C">
              <w:rPr>
                <w:rFonts w:cstheme="minorHAnsi"/>
              </w:rPr>
              <w:t>Nekilnojamojo turto registro</w:t>
            </w:r>
            <w:r w:rsidRPr="0014017C">
              <w:t>, registro tvarkytojo darbuotojas</w:t>
            </w:r>
            <w:r w:rsidR="00D71290">
              <w:t>,</w:t>
            </w:r>
            <w:r w:rsidRPr="0014017C">
              <w:t xml:space="preserve"> gaudamas registrų sąsajos dėka suformuotus duomenis, sugaišta apie 2–10 min. dėl vieno pakeitimo duomenų atnaujinimo Hipotekos registre. Pakeitimų atliekama apie 1500 per metus. </w:t>
            </w:r>
            <w:r w:rsidRPr="0014017C">
              <w:rPr>
                <w:rFonts w:cstheme="minorHAnsi"/>
              </w:rPr>
              <w:t xml:space="preserve">Realizavus hipotekų tvarkymą Nekilnojamojo turto registre, darbuotojai negaištų laiko duomenų </w:t>
            </w:r>
            <w:r w:rsidR="00D71290">
              <w:rPr>
                <w:rFonts w:cstheme="minorHAnsi"/>
              </w:rPr>
              <w:t>tikrinimui skirtinguose registruose bei jų</w:t>
            </w:r>
            <w:r w:rsidR="00D71290" w:rsidRPr="0014017C">
              <w:rPr>
                <w:rFonts w:cstheme="minorHAnsi"/>
              </w:rPr>
              <w:t xml:space="preserve"> </w:t>
            </w:r>
            <w:r w:rsidRPr="0014017C">
              <w:rPr>
                <w:rFonts w:cstheme="minorHAnsi"/>
              </w:rPr>
              <w:t xml:space="preserve">atnaujinimui. </w:t>
            </w:r>
          </w:p>
          <w:p w:rsidR="0014017C" w:rsidRPr="0014017C" w:rsidRDefault="0014017C" w:rsidP="0014017C">
            <w:pPr>
              <w:pStyle w:val="Sraopastraipa"/>
              <w:ind w:left="0" w:firstLine="347"/>
              <w:jc w:val="both"/>
            </w:pPr>
            <w:r w:rsidRPr="0014017C">
              <w:rPr>
                <w:rFonts w:cstheme="minorHAnsi"/>
              </w:rPr>
              <w:t>Realizavus hipotekų tvarkymą Nekilnojamojo turto registre, būtų galimybė asmeniui užsakyti Nekilnojamojo turto registro duomenų išrašus kartu su hipotekos duomenimis. Šiuo metu turi būti užsakomi atskiri išrašai iš skirtingų registrų.</w:t>
            </w:r>
          </w:p>
          <w:p w:rsidR="0014017C" w:rsidRPr="0014017C" w:rsidRDefault="0014017C" w:rsidP="0014017C">
            <w:pPr>
              <w:pStyle w:val="Sraopastraipa"/>
              <w:ind w:left="0" w:firstLine="347"/>
              <w:jc w:val="both"/>
            </w:pPr>
            <w:r w:rsidRPr="0014017C">
              <w:rPr>
                <w:rFonts w:cstheme="minorHAnsi"/>
              </w:rPr>
              <w:t xml:space="preserve">Įkeitimo sandorių sudarymo ir registravimo registre proceso pagreitinimas, atsisakant sandorių notarinės formos, vertinamas kaip vienas iš veiksmų, atliekant Lietuvos Respublikos Vyriausybės programos įgyvendinimo plane, patvirtintame Lietuvos Respublikos Vyriausybės 2017 m. kovo 13 d. nutarimu Nr. 167 „Dėl Lietuvos Respublikos Vyriausybės programos įgyvendinimo plano patvirtinimo“ numatytą  4.2.1 darbą „Tarptautiniu lygiu vertinamų verslo ciklą (nuo įsteigimo iki pasibaigimo) reglamentuojančių teisės aktų ir procedūrų (pagal Pasaulio banko tyrimo „Doing Business“ srities) bei įrankių patobulinimas“, kurio 10 ir 11 veiklos yra </w:t>
            </w:r>
            <w:r w:rsidRPr="0014017C">
              <w:rPr>
                <w:rFonts w:cstheme="minorHAnsi"/>
              </w:rPr>
              <w:lastRenderedPageBreak/>
              <w:t>tiesiogiai susijusios su Hipotekos registro veiklos pokyčiais, kurie prisidėtų prie tarptautiniu lygiu vertinamų verslo ciklą reglamentuojančių teisės aktų, procedūrų ir įrankių patobulinimo bei bendro verslo sąlygų ir investicinės aplinkos gerinimo ir vartotojų teisių apsaugos stiprinimo.</w:t>
            </w:r>
          </w:p>
          <w:p w:rsidR="0014017C" w:rsidRPr="0014017C" w:rsidRDefault="0014017C" w:rsidP="0014017C">
            <w:pPr>
              <w:pStyle w:val="Sraopastraipa"/>
              <w:ind w:left="0" w:firstLine="347"/>
              <w:jc w:val="both"/>
            </w:pPr>
            <w:r w:rsidRPr="0014017C">
              <w:rPr>
                <w:rFonts w:cstheme="minorHAnsi"/>
              </w:rPr>
              <w:t>Notaras nedalyvautų hipotekos išregistravimo procese, kai hipoteka baigiama tinkamai įvykdžius skolinį įsipareigojimą, t. y. hipotekos kreditoriaus ir skolininko prašymas dėl hipotekos išregistravimo elektroniniu būdu galėtų būti pateikiamas registrui tiesiogiai, o ne per notarą.</w:t>
            </w:r>
          </w:p>
          <w:p w:rsidR="0014017C" w:rsidRPr="0014017C" w:rsidRDefault="0014017C" w:rsidP="0014017C">
            <w:pPr>
              <w:pStyle w:val="Sraopastraipa"/>
              <w:ind w:left="0" w:firstLine="347"/>
              <w:jc w:val="both"/>
            </w:pPr>
            <w:r w:rsidRPr="0014017C">
              <w:rPr>
                <w:rFonts w:cstheme="minorHAnsi"/>
              </w:rPr>
              <w:t xml:space="preserve">Registrų centras galėtų palaikyti, prižiūrėti ir vystyti tik vieną </w:t>
            </w:r>
            <w:r w:rsidR="00D27A00" w:rsidRPr="00D27A00">
              <w:rPr>
                <w:rFonts w:cstheme="minorHAnsi"/>
              </w:rPr>
              <w:t xml:space="preserve">nekilnojamojo turto </w:t>
            </w:r>
            <w:r w:rsidRPr="0014017C">
              <w:rPr>
                <w:rFonts w:cstheme="minorHAnsi"/>
              </w:rPr>
              <w:t>sandorių rengimo ir duomenų teikimo elektroninę paslaugą – Nekilnojamojo turto sandorių viešąją elektroninę paslaugą (NETSVEP). Tai turėtų mažinti tolimesnei plėtrai (atnaujinimams) reikalingas investicijas bei palaikymo išlaidas. Būtų užtikrinamas notarų rengiamuose ir tvirtinamuose sandoriuose įrašomų registrų duomenų tikslumas, vienodos duomenų struktūros, duomenų gavėjai duomenis gautų iš vieno registro. Vienos aplinkos naudojimas būtų patogus tiek duomenų teikėjams, tiek duomenų gavėjams.</w:t>
            </w:r>
          </w:p>
          <w:p w:rsidR="0014017C" w:rsidRDefault="0014017C" w:rsidP="0014017C">
            <w:pPr>
              <w:pStyle w:val="Sraopastraipa"/>
              <w:ind w:left="0" w:firstLine="347"/>
              <w:jc w:val="both"/>
              <w:rPr>
                <w:rFonts w:cstheme="minorHAnsi"/>
              </w:rPr>
            </w:pPr>
            <w:r w:rsidRPr="0014017C">
              <w:rPr>
                <w:rFonts w:cstheme="minorHAnsi"/>
              </w:rPr>
              <w:t xml:space="preserve">Daiktinė teisė Nekilnojamojo turto registre būtų </w:t>
            </w:r>
            <w:r w:rsidR="00945F1F">
              <w:rPr>
                <w:rFonts w:cstheme="minorHAnsi"/>
              </w:rPr>
              <w:t xml:space="preserve">įregistruojama </w:t>
            </w:r>
            <w:r w:rsidRPr="0014017C">
              <w:rPr>
                <w:rFonts w:cstheme="minorHAnsi"/>
              </w:rPr>
              <w:t>hipotekos sandorio patvirtinimo notarų biure momentu, tai yra neliktų laiko tarpo (apie 1 val.) nuo hipotekos įregistravimo Hipotekos registre ir duomenų perdavimo į Nekilnojamojo turto registrą bei laiko tarpo (iki 1 val.) nuo duomenų gavimo Nekilnojamojo turto registre iki žymos apie hipoteką įrašymo atitinkamuose registro įrašuose.</w:t>
            </w:r>
          </w:p>
          <w:p w:rsidR="00D61D2A" w:rsidRPr="0014017C" w:rsidRDefault="00D61D2A" w:rsidP="00D61D2A">
            <w:pPr>
              <w:pStyle w:val="Sraopastraipa"/>
              <w:ind w:left="0" w:firstLine="347"/>
              <w:jc w:val="both"/>
            </w:pPr>
            <w:r>
              <w:t xml:space="preserve">Būtų </w:t>
            </w:r>
            <w:r w:rsidRPr="00D61D2A">
              <w:t>skatina</w:t>
            </w:r>
            <w:r>
              <w:t>mas</w:t>
            </w:r>
            <w:r w:rsidRPr="00D61D2A">
              <w:t xml:space="preserve"> atsaking</w:t>
            </w:r>
            <w:r>
              <w:t>as</w:t>
            </w:r>
            <w:r w:rsidRPr="00D61D2A">
              <w:t xml:space="preserve"> skolinim</w:t>
            </w:r>
            <w:r>
              <w:t>a</w:t>
            </w:r>
            <w:r w:rsidRPr="00D61D2A">
              <w:t>si</w:t>
            </w:r>
            <w:r>
              <w:t>s /</w:t>
            </w:r>
            <w:r w:rsidRPr="00D61D2A">
              <w:t xml:space="preserve"> skolinim</w:t>
            </w:r>
            <w:r>
              <w:t>as,</w:t>
            </w:r>
            <w:r w:rsidRPr="00D61D2A">
              <w:t xml:space="preserve"> apsaugant skolininkų ir kreditorių teises</w:t>
            </w:r>
            <w:r>
              <w:t xml:space="preserve">. Kreditų gavėjai, siekdami efektyviau gauti kreditą iš greituosius kreditus teikiančių įmonių, dažnai nesudaro sutartinio įkeitimo sandorių, o perleidžia turtą kreditoriui. Supaprastinus įkeitimo procesą, paskolų gavėjai būtų skatinami naudotis viešame registre registruojamu įkeitimu, kaip savo teisių apsaugos garantu. Skolinimasis įkeičiant kilnojamąjį turtą taip pat prisidėtų ir prie kreditorių teisių gynimo, pvz. kaip papildomas skolos grąžinimo garantas, </w:t>
            </w:r>
            <w:r w:rsidRPr="005277FA">
              <w:t>kreditorių reikalavimų tenkinimo eilė</w:t>
            </w:r>
            <w:r>
              <w:t>s</w:t>
            </w:r>
            <w:r w:rsidRPr="005277FA">
              <w:t xml:space="preserve"> nustatom</w:t>
            </w:r>
            <w:r>
              <w:t>o priemonė ir pan.</w:t>
            </w:r>
          </w:p>
          <w:p w:rsidR="0014017C" w:rsidRPr="0014017C" w:rsidRDefault="0014017C" w:rsidP="0014017C">
            <w:pPr>
              <w:pStyle w:val="Sraopastraipa"/>
              <w:ind w:left="0" w:firstLine="347"/>
              <w:jc w:val="both"/>
              <w:rPr>
                <w:rFonts w:cstheme="minorHAnsi"/>
              </w:rPr>
            </w:pPr>
            <w:r w:rsidRPr="0014017C">
              <w:rPr>
                <w:rFonts w:cstheme="minorHAnsi"/>
              </w:rPr>
              <w:t xml:space="preserve">Lietuvos Respublikos teisingumo ministerija jau organizuodama tuometės valstybės įmonės Centrinės hipotekos įstaigos (Hipotekos registro tvarkytojo) ir valstybės įmonės Registrų centro reorganizavimą siekė pirmiausia sujungti minėtas įmones, o antrasis žingsnis – tvarkomų registrų reorganizavimas, todėl priėmus įstatymų projektus, būtų </w:t>
            </w:r>
            <w:r w:rsidR="006F0226">
              <w:rPr>
                <w:rFonts w:cstheme="minorHAnsi"/>
              </w:rPr>
              <w:t>pasiektas ir šis tikslas</w:t>
            </w:r>
            <w:r w:rsidRPr="0014017C">
              <w:rPr>
                <w:rFonts w:cstheme="minorHAnsi"/>
              </w:rPr>
              <w:t>.</w:t>
            </w:r>
          </w:p>
          <w:p w:rsidR="0088141B" w:rsidRPr="009E0826" w:rsidRDefault="0088141B" w:rsidP="00930166">
            <w:pPr>
              <w:pStyle w:val="Sraopastraipa"/>
              <w:ind w:left="0" w:firstLine="347"/>
              <w:jc w:val="both"/>
              <w:rPr>
                <w:szCs w:val="22"/>
                <w:lang w:eastAsia="lt-LT"/>
              </w:rPr>
            </w:pPr>
          </w:p>
        </w:tc>
      </w:tr>
    </w:tbl>
    <w:p w:rsidR="0088141B" w:rsidRPr="009E0826" w:rsidRDefault="0088141B" w:rsidP="0088141B">
      <w:pPr>
        <w:widowControl w:val="0"/>
        <w:autoSpaceDE w:val="0"/>
        <w:autoSpaceDN w:val="0"/>
        <w:adjustRightInd w:val="0"/>
        <w:rPr>
          <w:lang w:eastAsia="lt-LT"/>
        </w:rPr>
      </w:pPr>
    </w:p>
    <w:tbl>
      <w:tblPr>
        <w:tblW w:w="9639" w:type="dxa"/>
        <w:tblLayout w:type="fixed"/>
        <w:tblCellMar>
          <w:left w:w="0" w:type="dxa"/>
          <w:right w:w="0" w:type="dxa"/>
        </w:tblCellMar>
        <w:tblLook w:val="00A0" w:firstRow="1" w:lastRow="0" w:firstColumn="1" w:lastColumn="0" w:noHBand="0" w:noVBand="0"/>
      </w:tblPr>
      <w:tblGrid>
        <w:gridCol w:w="2311"/>
        <w:gridCol w:w="7328"/>
      </w:tblGrid>
      <w:tr w:rsidR="0088141B" w:rsidRPr="009E0826" w:rsidTr="0088141B">
        <w:tc>
          <w:tcPr>
            <w:tcW w:w="2235" w:type="dxa"/>
            <w:shd w:val="clear" w:color="auto" w:fill="DBE5F1"/>
          </w:tcPr>
          <w:p w:rsidR="0088141B" w:rsidRPr="00930166" w:rsidRDefault="0088141B" w:rsidP="0088141B">
            <w:pPr>
              <w:widowControl w:val="0"/>
              <w:autoSpaceDE w:val="0"/>
              <w:autoSpaceDN w:val="0"/>
              <w:adjustRightInd w:val="0"/>
              <w:ind w:firstLine="0"/>
              <w:rPr>
                <w:b/>
                <w:szCs w:val="22"/>
                <w:lang w:eastAsia="lt-LT"/>
              </w:rPr>
            </w:pPr>
            <w:r w:rsidRPr="00930166">
              <w:rPr>
                <w:b/>
                <w:szCs w:val="22"/>
                <w:lang w:eastAsia="lt-LT"/>
              </w:rPr>
              <w:t xml:space="preserve">Poveikis </w:t>
            </w:r>
          </w:p>
          <w:p w:rsidR="0088141B" w:rsidRPr="00640759" w:rsidRDefault="0088141B" w:rsidP="0088141B">
            <w:pPr>
              <w:widowControl w:val="0"/>
              <w:autoSpaceDE w:val="0"/>
              <w:autoSpaceDN w:val="0"/>
              <w:adjustRightInd w:val="0"/>
              <w:ind w:firstLine="0"/>
              <w:rPr>
                <w:b/>
                <w:szCs w:val="22"/>
                <w:highlight w:val="yellow"/>
                <w:lang w:eastAsia="lt-LT"/>
              </w:rPr>
            </w:pPr>
            <w:r w:rsidRPr="00930166">
              <w:rPr>
                <w:b/>
                <w:szCs w:val="22"/>
                <w:lang w:eastAsia="lt-LT"/>
              </w:rPr>
              <w:t>valstybės finansams</w:t>
            </w:r>
          </w:p>
        </w:tc>
        <w:tc>
          <w:tcPr>
            <w:tcW w:w="7087" w:type="dxa"/>
          </w:tcPr>
          <w:p w:rsidR="00930166" w:rsidRPr="0014017C" w:rsidRDefault="00930166" w:rsidP="00930166">
            <w:pPr>
              <w:pStyle w:val="Sraopastraipa"/>
              <w:ind w:left="0" w:firstLine="347"/>
              <w:jc w:val="both"/>
              <w:rPr>
                <w:rFonts w:cstheme="minorHAnsi"/>
              </w:rPr>
            </w:pPr>
            <w:r w:rsidRPr="0014017C">
              <w:rPr>
                <w:rFonts w:cstheme="minorHAnsi"/>
              </w:rPr>
              <w:t>Įstatymų projektų įgyvendinimas preliminariai pareikalautų apie 770 tūkst. eurų lėšų (detalesnis lėšų paskirstymas pateikiamas priede, 6 lentelė),</w:t>
            </w:r>
            <w:r w:rsidR="00C327D9">
              <w:rPr>
                <w:rFonts w:cstheme="minorHAnsi"/>
              </w:rPr>
              <w:t xml:space="preserve"> </w:t>
            </w:r>
            <w:r w:rsidRPr="0014017C">
              <w:rPr>
                <w:rFonts w:cstheme="minorHAnsi"/>
              </w:rPr>
              <w:t xml:space="preserve">tačiau </w:t>
            </w:r>
            <w:r w:rsidR="00C327D9" w:rsidRPr="00C327D9">
              <w:rPr>
                <w:rFonts w:cstheme="minorHAnsi"/>
              </w:rPr>
              <w:t xml:space="preserve">modernizavus Hipotekos ir Sutarčių registrus, toliau būtų eksploatuojamas vienas Sandorių ir teisių suvaržymų registras, bus sutaupomos </w:t>
            </w:r>
            <w:r w:rsidRPr="0014017C">
              <w:rPr>
                <w:rFonts w:cstheme="minorHAnsi"/>
              </w:rPr>
              <w:t>palaikymo, eksploatacijos, modernizavimo (tobulinimo) lėšos</w:t>
            </w:r>
            <w:r w:rsidR="009C39C1">
              <w:rPr>
                <w:rFonts w:cstheme="minorHAnsi"/>
              </w:rPr>
              <w:t xml:space="preserve"> (š</w:t>
            </w:r>
            <w:r w:rsidR="009C39C1" w:rsidRPr="009C39C1">
              <w:rPr>
                <w:rFonts w:cstheme="minorHAnsi"/>
              </w:rPr>
              <w:t>i nauda nėra vertinama pinigine verte, kadangi duomenys nebūtų tikslūs</w:t>
            </w:r>
            <w:r w:rsidR="009C39C1">
              <w:rPr>
                <w:rFonts w:cstheme="minorHAnsi"/>
              </w:rPr>
              <w:t xml:space="preserve">). Be to, atsižvelgiant į tai, kad projekto </w:t>
            </w:r>
            <w:r w:rsidR="009C39C1" w:rsidRPr="006031ED">
              <w:t xml:space="preserve">tikslas susijęs su viešųjų paslaugų plėtra, </w:t>
            </w:r>
            <w:r w:rsidR="009C39C1">
              <w:t xml:space="preserve">turi būti vertinamos </w:t>
            </w:r>
            <w:r w:rsidR="009C39C1" w:rsidRPr="006031ED">
              <w:t xml:space="preserve">ekonominės </w:t>
            </w:r>
            <w:r w:rsidR="009C39C1">
              <w:t>ir socialinės naudos – Įstatymų projektais numatomas paslaugas gaunančių klientų laiko ir pinigų sutaupymai</w:t>
            </w:r>
            <w:r w:rsidRPr="0014017C">
              <w:rPr>
                <w:rFonts w:cstheme="minorHAnsi"/>
              </w:rPr>
              <w:t xml:space="preserve">. </w:t>
            </w:r>
          </w:p>
          <w:p w:rsidR="0088141B" w:rsidRPr="00640759" w:rsidRDefault="0088141B" w:rsidP="0088141B">
            <w:pPr>
              <w:widowControl w:val="0"/>
              <w:autoSpaceDE w:val="0"/>
              <w:autoSpaceDN w:val="0"/>
              <w:adjustRightInd w:val="0"/>
              <w:ind w:firstLine="0"/>
              <w:jc w:val="both"/>
              <w:rPr>
                <w:szCs w:val="22"/>
                <w:highlight w:val="yellow"/>
                <w:lang w:eastAsia="lt-LT"/>
              </w:rPr>
            </w:pPr>
          </w:p>
        </w:tc>
      </w:tr>
    </w:tbl>
    <w:p w:rsidR="0088141B" w:rsidRPr="009E0826" w:rsidRDefault="0088141B" w:rsidP="0088141B">
      <w:pPr>
        <w:widowControl w:val="0"/>
        <w:autoSpaceDE w:val="0"/>
        <w:autoSpaceDN w:val="0"/>
        <w:adjustRightInd w:val="0"/>
        <w:rPr>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94"/>
        <w:gridCol w:w="7345"/>
      </w:tblGrid>
      <w:tr w:rsidR="0088141B" w:rsidRPr="009E0826" w:rsidTr="0088141B">
        <w:tc>
          <w:tcPr>
            <w:tcW w:w="2210" w:type="dxa"/>
            <w:tcBorders>
              <w:top w:val="nil"/>
              <w:left w:val="nil"/>
              <w:bottom w:val="nil"/>
              <w:right w:val="nil"/>
            </w:tcBorders>
            <w:shd w:val="clear" w:color="auto" w:fill="DBE5F1"/>
          </w:tcPr>
          <w:p w:rsidR="0088141B" w:rsidRPr="009E0826" w:rsidRDefault="0088141B" w:rsidP="0088141B">
            <w:pPr>
              <w:widowControl w:val="0"/>
              <w:shd w:val="clear" w:color="auto" w:fill="DBE5F1"/>
              <w:autoSpaceDE w:val="0"/>
              <w:autoSpaceDN w:val="0"/>
              <w:adjustRightInd w:val="0"/>
              <w:ind w:firstLine="0"/>
              <w:rPr>
                <w:b/>
                <w:szCs w:val="22"/>
                <w:lang w:eastAsia="lt-LT"/>
              </w:rPr>
            </w:pPr>
            <w:r w:rsidRPr="009E0826">
              <w:rPr>
                <w:b/>
                <w:szCs w:val="22"/>
                <w:lang w:eastAsia="lt-LT"/>
              </w:rPr>
              <w:t>Poveikis administracinei naštai</w:t>
            </w:r>
          </w:p>
          <w:p w:rsidR="0088141B" w:rsidRPr="009E0826" w:rsidRDefault="0088141B" w:rsidP="0088141B">
            <w:pPr>
              <w:widowControl w:val="0"/>
              <w:autoSpaceDE w:val="0"/>
              <w:autoSpaceDN w:val="0"/>
              <w:adjustRightInd w:val="0"/>
              <w:ind w:firstLine="0"/>
              <w:rPr>
                <w:szCs w:val="22"/>
                <w:lang w:eastAsia="lt-LT"/>
              </w:rPr>
            </w:pPr>
          </w:p>
        </w:tc>
        <w:tc>
          <w:tcPr>
            <w:tcW w:w="7077" w:type="dxa"/>
            <w:tcBorders>
              <w:top w:val="nil"/>
              <w:left w:val="nil"/>
              <w:bottom w:val="nil"/>
              <w:right w:val="nil"/>
            </w:tcBorders>
          </w:tcPr>
          <w:p w:rsidR="00CB3EE9" w:rsidRPr="0014017C" w:rsidRDefault="00CB3EE9" w:rsidP="00CB3EE9">
            <w:pPr>
              <w:ind w:firstLine="347"/>
              <w:jc w:val="both"/>
            </w:pPr>
            <w:r w:rsidRPr="0014017C">
              <w:t xml:space="preserve">Eliminavus notaro tvirtinimo veiksmus iš įkeitimo sandorio sudarymo ir keitimo bei hipotekos (įkeitimo) sandorio baigimo proceso (kuomet hipoteka baigiama tinkamai įvykdžius skolinį įsipareigojimą) ir sudarius galimybę įkeitimą sudaryti, registruoti, keisti, taip pat hipoteką ar įkeitimą išregistruoti informacinių technologijų priemonėmis, būtų sutaupytas laikas (skirtas: notaro padėjėjo, notaro, kreditoriaus ar jo darbuotojo ir skolininko kelionėms, dokumentų peržiūrai, pasirašymui ir pan.), išlaidos kelionei (detalūs skaičiavimai pinigine išraiška pateikiami </w:t>
            </w:r>
            <w:r w:rsidRPr="0014017C">
              <w:rPr>
                <w:b/>
              </w:rPr>
              <w:t>priede</w:t>
            </w:r>
            <w:r w:rsidRPr="0014017C">
              <w:t>).</w:t>
            </w:r>
          </w:p>
          <w:p w:rsidR="00CB3EE9" w:rsidRPr="0014017C" w:rsidRDefault="00CB3EE9" w:rsidP="00CB3EE9">
            <w:pPr>
              <w:ind w:firstLine="347"/>
              <w:jc w:val="both"/>
            </w:pPr>
            <w:r w:rsidRPr="0014017C">
              <w:rPr>
                <w:rFonts w:cstheme="minorHAnsi"/>
              </w:rPr>
              <w:t xml:space="preserve">Realizavus hipotekų tvarkymą Nekilnojamojo turto registre ir automatiškai keičiant duomenis apie sąlyginės hipotekos sąlygų įgyvendinimą, skolininkui nereikėtų vykti pateikti notarui dokumentų, įrodančių sąlygų įgyvendinimą bei notarui nereikėtų atlikti hipotekos duomenų pakeitimo Hipotekos registre. Užregistravus turtą Nekilnojamojo turto registre automatiškai būtų pakeičiami hipotekos duomenys, nurodantys, kad hipotekos sąlyga įgyvendinta. Būtų </w:t>
            </w:r>
            <w:r w:rsidRPr="0014017C">
              <w:t>sutaupytas laikas, skirtas skolininko kelionei, ir notarų ir jų padėjėjų darbo laikas.</w:t>
            </w:r>
          </w:p>
          <w:p w:rsidR="00CB3EE9" w:rsidRDefault="00CB3EE9" w:rsidP="00CB3EE9">
            <w:pPr>
              <w:pStyle w:val="Sraopastraipa"/>
              <w:ind w:left="0" w:firstLine="347"/>
              <w:jc w:val="both"/>
              <w:rPr>
                <w:rFonts w:cstheme="minorHAnsi"/>
              </w:rPr>
            </w:pPr>
            <w:r w:rsidRPr="0014017C">
              <w:lastRenderedPageBreak/>
              <w:t xml:space="preserve">Šiuo metu Hipotekos registrui gavus duomenis iš </w:t>
            </w:r>
            <w:r w:rsidRPr="0014017C">
              <w:rPr>
                <w:rFonts w:cstheme="minorHAnsi"/>
              </w:rPr>
              <w:t>Nekilnojamojo turto registro</w:t>
            </w:r>
            <w:r w:rsidRPr="0014017C">
              <w:t xml:space="preserve">, registro tvarkytojo darbuotojas gaudamas registrų sąsajos dėka suformuotus duomenis, sugaišta apie 2–10 min. dėl vieno pakeitimo duomenų atnaujinimo Hipotekos registre. Pakeitimų atliekama apie 1500 per metus. </w:t>
            </w:r>
            <w:r w:rsidRPr="0014017C">
              <w:rPr>
                <w:rFonts w:cstheme="minorHAnsi"/>
              </w:rPr>
              <w:t xml:space="preserve">Realizavus hipotekų tvarkymą Nekilnojamojo turto registre, darbuotojai negaištų laiko duomenų </w:t>
            </w:r>
            <w:r w:rsidR="00D27A00">
              <w:rPr>
                <w:rFonts w:cstheme="minorHAnsi"/>
              </w:rPr>
              <w:t>tikrinimui skirtinguose registruose bei jų</w:t>
            </w:r>
            <w:r w:rsidR="00D27A00" w:rsidRPr="0014017C">
              <w:rPr>
                <w:rFonts w:cstheme="minorHAnsi"/>
              </w:rPr>
              <w:t xml:space="preserve"> </w:t>
            </w:r>
            <w:r w:rsidRPr="0014017C">
              <w:rPr>
                <w:rFonts w:cstheme="minorHAnsi"/>
              </w:rPr>
              <w:t xml:space="preserve">atnaujinimui. </w:t>
            </w:r>
          </w:p>
          <w:p w:rsidR="00CB3EE9" w:rsidRPr="0014017C" w:rsidRDefault="00CB3EE9" w:rsidP="00CB3EE9">
            <w:pPr>
              <w:pStyle w:val="Sraopastraipa"/>
              <w:ind w:left="0" w:firstLine="347"/>
              <w:jc w:val="both"/>
            </w:pPr>
            <w:r w:rsidRPr="0014017C">
              <w:rPr>
                <w:rFonts w:cstheme="minorHAnsi"/>
              </w:rPr>
              <w:t>Realizavus hipotekų tvarkymą Nekilnojamojo turto registre, būtų galimybė asmeniui užsakyti Nekilnojamojo turto registro duomenų išrašus kartu su hipotekos duomenimis. Šiuo metu turi būti užsakomi atskiri išrašai iš skirtingų registrų.</w:t>
            </w:r>
          </w:p>
          <w:p w:rsidR="00CB3EE9" w:rsidRPr="0014017C" w:rsidRDefault="00CB3EE9" w:rsidP="00CB3EE9">
            <w:pPr>
              <w:pStyle w:val="Sraopastraipa"/>
              <w:ind w:left="0" w:firstLine="347"/>
              <w:jc w:val="both"/>
            </w:pPr>
            <w:r w:rsidRPr="0014017C">
              <w:rPr>
                <w:rFonts w:cstheme="minorHAnsi"/>
              </w:rPr>
              <w:t>Notaras nedalyvautų hipotekos išregistravimo procese, kai hipoteka baigiama tinkamai įvykdžius skolinį įsipareigojimą, t. y. hipotekos kreditoriaus ir skolininko prašymas dėl hipotekos išregistravimo elektroniniu būdu galėtų būti pateikiamas registrui tiesiogiai, o ne per notarą.</w:t>
            </w:r>
          </w:p>
          <w:p w:rsidR="0088141B" w:rsidRPr="009E0826" w:rsidRDefault="00CB3EE9" w:rsidP="00A7324A">
            <w:pPr>
              <w:pStyle w:val="Sraopastraipa"/>
              <w:ind w:left="0" w:firstLine="347"/>
              <w:jc w:val="both"/>
              <w:rPr>
                <w:szCs w:val="22"/>
                <w:lang w:eastAsia="lt-LT"/>
              </w:rPr>
            </w:pPr>
            <w:r w:rsidRPr="0014017C">
              <w:rPr>
                <w:rFonts w:cstheme="minorHAnsi"/>
              </w:rPr>
              <w:t xml:space="preserve">Registrų centras galėtų palaikyti, prižiūrėti ir vystyti tik vieną </w:t>
            </w:r>
            <w:r w:rsidR="00D27A00">
              <w:rPr>
                <w:rFonts w:cstheme="minorHAnsi"/>
              </w:rPr>
              <w:t xml:space="preserve">nekilnojamojo turto </w:t>
            </w:r>
            <w:r w:rsidRPr="0014017C">
              <w:rPr>
                <w:rFonts w:cstheme="minorHAnsi"/>
              </w:rPr>
              <w:t>sandorių rengimo ir duomenų teikimo elektroninę paslaugą – Nekilnojamojo turto sandorių viešąją elektroninę paslaugą (NETSVEP).</w:t>
            </w:r>
          </w:p>
        </w:tc>
      </w:tr>
    </w:tbl>
    <w:p w:rsidR="0088141B" w:rsidRPr="009E0826" w:rsidRDefault="0088141B" w:rsidP="0088141B">
      <w:pPr>
        <w:widowControl w:val="0"/>
        <w:autoSpaceDE w:val="0"/>
        <w:autoSpaceDN w:val="0"/>
        <w:adjustRightInd w:val="0"/>
        <w:rPr>
          <w:i/>
          <w:szCs w:val="22"/>
          <w:lang w:eastAsia="lt-LT"/>
        </w:rPr>
      </w:pPr>
    </w:p>
    <w:tbl>
      <w:tblPr>
        <w:tblW w:w="9639" w:type="dxa"/>
        <w:tblLayout w:type="fixed"/>
        <w:tblCellMar>
          <w:left w:w="0" w:type="dxa"/>
          <w:right w:w="0" w:type="dxa"/>
        </w:tblCellMar>
        <w:tblLook w:val="00A0" w:firstRow="1" w:lastRow="0" w:firstColumn="1" w:lastColumn="0" w:noHBand="0" w:noVBand="0"/>
      </w:tblPr>
      <w:tblGrid>
        <w:gridCol w:w="9639"/>
      </w:tblGrid>
      <w:tr w:rsidR="0088141B" w:rsidRPr="009E0826" w:rsidTr="0088141B">
        <w:trPr>
          <w:trHeight w:val="396"/>
        </w:trPr>
        <w:tc>
          <w:tcPr>
            <w:tcW w:w="9606" w:type="dxa"/>
            <w:vMerge w:val="restart"/>
            <w:shd w:val="clear" w:color="auto" w:fill="DBE5F1"/>
          </w:tcPr>
          <w:p w:rsidR="0088141B" w:rsidRPr="009E0826" w:rsidRDefault="0088141B" w:rsidP="0088141B">
            <w:pPr>
              <w:widowControl w:val="0"/>
              <w:autoSpaceDE w:val="0"/>
              <w:autoSpaceDN w:val="0"/>
              <w:adjustRightInd w:val="0"/>
              <w:ind w:firstLine="0"/>
              <w:rPr>
                <w:b/>
                <w:szCs w:val="22"/>
                <w:lang w:eastAsia="lt-LT"/>
              </w:rPr>
            </w:pPr>
            <w:r w:rsidRPr="009E0826">
              <w:rPr>
                <w:b/>
                <w:szCs w:val="22"/>
                <w:lang w:eastAsia="lt-LT"/>
              </w:rPr>
              <w:t>Kita svarbi informacija</w:t>
            </w:r>
          </w:p>
          <w:p w:rsidR="00A7324A" w:rsidRDefault="00A7324A" w:rsidP="00A7324A">
            <w:pPr>
              <w:jc w:val="both"/>
            </w:pPr>
            <w:r>
              <w:rPr>
                <w:szCs w:val="22"/>
                <w:lang w:eastAsia="lt-LT"/>
              </w:rPr>
              <w:t xml:space="preserve">Įstatymų projektai buvo </w:t>
            </w:r>
            <w:r>
              <w:t xml:space="preserve">paskelbti </w:t>
            </w:r>
            <w:r w:rsidRPr="00121DB1">
              <w:t>Lietuvos</w:t>
            </w:r>
            <w:r w:rsidRPr="00DE1F22">
              <w:t xml:space="preserve"> Respublikos Seimo kanceliarijos teis</w:t>
            </w:r>
            <w:r>
              <w:t xml:space="preserve">ės aktų informacinėje sistemoje, derinami </w:t>
            </w:r>
            <w:r w:rsidR="00D27A00">
              <w:t xml:space="preserve">su </w:t>
            </w:r>
            <w:r>
              <w:t>Ekonomikos ir inovacijų ministerija, Susisiekimo ministerija,</w:t>
            </w:r>
            <w:r w:rsidRPr="00061325">
              <w:t xml:space="preserve"> </w:t>
            </w:r>
            <w:r>
              <w:t>Finansų ministerija, Valstybine vartotojų teisių apsaugos tarnyba, Valstybine mokesčių inspekcija prie Lietuvos Respublikos finansų ministerijos,</w:t>
            </w:r>
            <w:r w:rsidRPr="005E5713">
              <w:t xml:space="preserve"> </w:t>
            </w:r>
            <w:r>
              <w:t xml:space="preserve">Muitinės departamentu prie Lietuvos Respublikos finansų ministerijos, </w:t>
            </w:r>
            <w:r w:rsidR="006F0226">
              <w:t>v</w:t>
            </w:r>
            <w:r>
              <w:t>alstybės įmone Registrų centru,</w:t>
            </w:r>
            <w:r w:rsidRPr="005E5713">
              <w:t xml:space="preserve"> </w:t>
            </w:r>
            <w:r>
              <w:t>Lietuvos antstolių rūmais, Lietuvos laisvosios rinkos institutu, Lietuvos bankų asociacija</w:t>
            </w:r>
            <w:r w:rsidR="006F0226">
              <w:t>, Lietuvos notarų rūmais</w:t>
            </w:r>
            <w:r>
              <w:t>.</w:t>
            </w:r>
          </w:p>
          <w:p w:rsidR="00A7324A" w:rsidRDefault="00A7324A" w:rsidP="00A7324A">
            <w:pPr>
              <w:jc w:val="both"/>
            </w:pPr>
            <w:r>
              <w:t>Pažymėtina, kad visos minėtos institucijos projektams pritaria (Lietuvos bankų asociacija siūlo net griežtesnį modelį, todėl argumentai dėl pastabos įtraukti į derinimo pažymą), išskyrus Lietuvos notarų rūm</w:t>
            </w:r>
            <w:r w:rsidR="00B11D4D">
              <w:t xml:space="preserve">us, kurių pajamoms Įstatymų projektai turės tiesioginės įtakos. Detaliau Lietuvos notarų rūmų pastabos aptartos derinimo pažymoje. </w:t>
            </w:r>
          </w:p>
          <w:p w:rsidR="00E53494" w:rsidRDefault="00E53494" w:rsidP="00A7324A">
            <w:pPr>
              <w:jc w:val="both"/>
            </w:pPr>
            <w:r>
              <w:t>Atkreiptinas dėmesys ir į tai, kad šiuo metu galiojanti notarinė įkeitimo registravimo (išregistravimo) tvarka dėl įkeitimo objekto specifikos (dėl ribotų galimybių nustatyti daikto nuosavybės teises) niekaip neužtikrina apsaugos dėl galimų</w:t>
            </w:r>
            <w:r w:rsidRPr="007C5C73">
              <w:t xml:space="preserve"> piktnaudžiavim</w:t>
            </w:r>
            <w:r>
              <w:t>o atvejų (pvz. siekiant</w:t>
            </w:r>
            <w:r w:rsidRPr="007C5C73">
              <w:t xml:space="preserve"> apsaugoti skolininko turt</w:t>
            </w:r>
            <w:r>
              <w:t>ą</w:t>
            </w:r>
            <w:r w:rsidRPr="007C5C73">
              <w:t xml:space="preserve"> nuo sąžiningų</w:t>
            </w:r>
            <w:r>
              <w:t xml:space="preserve"> kreditorių reikalavimų įregistravus fiktyvų </w:t>
            </w:r>
            <w:r w:rsidRPr="007C5C73">
              <w:t>įkeitim</w:t>
            </w:r>
            <w:r>
              <w:t xml:space="preserve">ą), o priešingai – sudaro klaidinantį įvaizdį, kad tokių sandorių notarinis patvirtinimas suteikia patikimumo. Taigi, atsižvelgiant į tai, kad nėra (išskyrus kai kurias išimtis) privalomos kilnojamųjų daiktų registracijos, </w:t>
            </w:r>
            <w:r w:rsidR="00E3326C">
              <w:t xml:space="preserve">nors Lietuva ir priklauso lotyniškojo notariato modeliui, kuriam būdinga registro duomenų teisingumo prezumpcija, tačiau realiai Hipotekos registras, kiek tai susiję su </w:t>
            </w:r>
            <w:r w:rsidR="00E3326C" w:rsidRPr="005B743D">
              <w:t>kilnojamojo</w:t>
            </w:r>
            <w:r w:rsidR="00E3326C">
              <w:t xml:space="preserve"> turto įkeitimu, atlieka tik teisės išviešinimo funkciją. </w:t>
            </w:r>
          </w:p>
          <w:p w:rsidR="0088141B" w:rsidRPr="009E0826" w:rsidRDefault="0088141B" w:rsidP="0088141B">
            <w:pPr>
              <w:widowControl w:val="0"/>
              <w:autoSpaceDE w:val="0"/>
              <w:autoSpaceDN w:val="0"/>
              <w:adjustRightInd w:val="0"/>
              <w:ind w:firstLine="0"/>
              <w:jc w:val="both"/>
              <w:rPr>
                <w:b/>
                <w:szCs w:val="22"/>
                <w:lang w:eastAsia="lt-LT"/>
              </w:rPr>
            </w:pPr>
          </w:p>
        </w:tc>
      </w:tr>
      <w:tr w:rsidR="0088141B" w:rsidRPr="009E0826" w:rsidTr="0088141B">
        <w:trPr>
          <w:trHeight w:val="285"/>
        </w:trPr>
        <w:tc>
          <w:tcPr>
            <w:tcW w:w="9639" w:type="dxa"/>
            <w:vMerge/>
            <w:vAlign w:val="center"/>
          </w:tcPr>
          <w:p w:rsidR="0088141B" w:rsidRPr="009E0826" w:rsidRDefault="0088141B" w:rsidP="0088141B">
            <w:pPr>
              <w:ind w:firstLine="0"/>
              <w:rPr>
                <w:b/>
                <w:szCs w:val="22"/>
                <w:lang w:eastAsia="lt-LT"/>
              </w:rPr>
            </w:pPr>
          </w:p>
        </w:tc>
      </w:tr>
      <w:tr w:rsidR="0088141B" w:rsidRPr="009E0826" w:rsidTr="0088141B">
        <w:trPr>
          <w:trHeight w:val="285"/>
        </w:trPr>
        <w:tc>
          <w:tcPr>
            <w:tcW w:w="9639" w:type="dxa"/>
            <w:vMerge/>
            <w:vAlign w:val="center"/>
          </w:tcPr>
          <w:p w:rsidR="0088141B" w:rsidRPr="009E0826" w:rsidRDefault="0088141B" w:rsidP="0088141B">
            <w:pPr>
              <w:ind w:firstLine="0"/>
              <w:rPr>
                <w:b/>
                <w:szCs w:val="22"/>
                <w:lang w:eastAsia="lt-LT"/>
              </w:rPr>
            </w:pPr>
          </w:p>
        </w:tc>
      </w:tr>
    </w:tbl>
    <w:p w:rsidR="0088141B" w:rsidRPr="009E0826" w:rsidRDefault="0088141B" w:rsidP="0088141B">
      <w:pPr>
        <w:ind w:firstLine="0"/>
        <w:contextualSpacing/>
        <w:jc w:val="both"/>
        <w:rPr>
          <w:b/>
          <w:szCs w:val="22"/>
        </w:rPr>
      </w:pPr>
    </w:p>
    <w:p w:rsidR="0088141B" w:rsidRPr="009E0826" w:rsidRDefault="0088141B" w:rsidP="0088141B">
      <w:pPr>
        <w:spacing w:before="100" w:beforeAutospacing="1" w:after="100" w:afterAutospacing="1"/>
        <w:ind w:firstLine="0"/>
        <w:contextualSpacing/>
        <w:jc w:val="both"/>
        <w:rPr>
          <w:b/>
          <w:szCs w:val="22"/>
          <w:lang w:eastAsia="lt-LT"/>
        </w:rPr>
      </w:pPr>
      <w:r w:rsidRPr="009E0826">
        <w:rPr>
          <w:b/>
          <w:szCs w:val="22"/>
          <w:lang w:eastAsia="lt-LT"/>
        </w:rPr>
        <w:t>Informacija apie asmenį ir instituciją, atsakingą už poveikio vertinimą</w:t>
      </w:r>
    </w:p>
    <w:p w:rsidR="0088141B" w:rsidRPr="009E0826" w:rsidRDefault="0088141B" w:rsidP="0088141B">
      <w:pPr>
        <w:ind w:left="1296"/>
        <w:jc w:val="both"/>
        <w:rPr>
          <w:b/>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772"/>
        <w:gridCol w:w="6867"/>
      </w:tblGrid>
      <w:tr w:rsidR="0088141B" w:rsidRPr="009E0826" w:rsidTr="0088141B">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1B8A" w:rsidRPr="009E0826" w:rsidRDefault="0088141B" w:rsidP="0088141B">
            <w:pPr>
              <w:ind w:firstLine="0"/>
              <w:rPr>
                <w:szCs w:val="22"/>
              </w:rPr>
            </w:pPr>
            <w:r w:rsidRPr="009E0826">
              <w:rPr>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1B8A" w:rsidRPr="009E0826" w:rsidRDefault="00A7324A" w:rsidP="00A7324A">
            <w:pPr>
              <w:ind w:firstLine="0"/>
              <w:rPr>
                <w:szCs w:val="22"/>
              </w:rPr>
            </w:pPr>
            <w:r>
              <w:rPr>
                <w:szCs w:val="22"/>
              </w:rPr>
              <w:t>Virmantė Voinilko</w:t>
            </w:r>
          </w:p>
        </w:tc>
      </w:tr>
      <w:tr w:rsidR="0088141B" w:rsidRPr="009E0826" w:rsidTr="0088141B">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1B8A" w:rsidRPr="00A7324A" w:rsidRDefault="0088141B" w:rsidP="0088141B">
            <w:pPr>
              <w:ind w:firstLine="0"/>
              <w:rPr>
                <w:szCs w:val="22"/>
              </w:rPr>
            </w:pPr>
            <w:r w:rsidRPr="00A7324A">
              <w:rPr>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1B8A" w:rsidRPr="00A7324A" w:rsidRDefault="00A7324A" w:rsidP="00A7324A">
            <w:pPr>
              <w:ind w:firstLine="0"/>
              <w:jc w:val="both"/>
              <w:rPr>
                <w:szCs w:val="22"/>
              </w:rPr>
            </w:pPr>
            <w:r w:rsidRPr="00A7324A">
              <w:rPr>
                <w:szCs w:val="22"/>
              </w:rPr>
              <w:t>Vyr. specialistė</w:t>
            </w:r>
          </w:p>
        </w:tc>
      </w:tr>
      <w:tr w:rsidR="0088141B" w:rsidRPr="009E0826" w:rsidTr="0088141B">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1B8A" w:rsidRPr="009E0826" w:rsidRDefault="0088141B" w:rsidP="0088141B">
            <w:pPr>
              <w:ind w:firstLine="0"/>
              <w:rPr>
                <w:b/>
                <w:szCs w:val="22"/>
              </w:rPr>
            </w:pPr>
            <w:r w:rsidRPr="009E0826">
              <w:rPr>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24A" w:rsidRPr="00A7324A" w:rsidRDefault="00A7324A" w:rsidP="00A7324A">
            <w:pPr>
              <w:ind w:firstLine="0"/>
              <w:jc w:val="both"/>
              <w:rPr>
                <w:szCs w:val="22"/>
              </w:rPr>
            </w:pPr>
            <w:r w:rsidRPr="00A7324A">
              <w:rPr>
                <w:szCs w:val="22"/>
              </w:rPr>
              <w:t>Lietuvos Respublikos teisingumo ministerijos</w:t>
            </w:r>
          </w:p>
          <w:p w:rsidR="00641B8A" w:rsidRPr="00A7324A" w:rsidRDefault="00A7324A" w:rsidP="00A7324A">
            <w:pPr>
              <w:ind w:firstLine="0"/>
              <w:jc w:val="both"/>
              <w:rPr>
                <w:szCs w:val="22"/>
              </w:rPr>
            </w:pPr>
            <w:r>
              <w:rPr>
                <w:szCs w:val="22"/>
              </w:rPr>
              <w:t>Teisinių institucijų grupė</w:t>
            </w:r>
          </w:p>
        </w:tc>
      </w:tr>
      <w:tr w:rsidR="0088141B" w:rsidRPr="009E0826" w:rsidTr="0088141B">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1B8A" w:rsidRPr="00A7324A" w:rsidRDefault="0088141B" w:rsidP="0088141B">
            <w:pPr>
              <w:ind w:firstLine="0"/>
              <w:rPr>
                <w:szCs w:val="22"/>
              </w:rPr>
            </w:pPr>
            <w:r w:rsidRPr="00A7324A">
              <w:rPr>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7324A" w:rsidRPr="00A7324A" w:rsidRDefault="00A7324A" w:rsidP="00A7324A">
            <w:pPr>
              <w:ind w:firstLine="0"/>
              <w:jc w:val="both"/>
              <w:rPr>
                <w:szCs w:val="22"/>
              </w:rPr>
            </w:pPr>
            <w:r w:rsidRPr="00A7324A">
              <w:rPr>
                <w:szCs w:val="22"/>
              </w:rPr>
              <w:t>Tel. (8 5) 266 2895</w:t>
            </w:r>
          </w:p>
          <w:p w:rsidR="00641B8A" w:rsidRPr="00A7324A" w:rsidRDefault="00A7324A" w:rsidP="00A7324A">
            <w:pPr>
              <w:ind w:firstLine="0"/>
              <w:jc w:val="both"/>
              <w:rPr>
                <w:szCs w:val="22"/>
              </w:rPr>
            </w:pPr>
            <w:r w:rsidRPr="00A7324A">
              <w:rPr>
                <w:szCs w:val="22"/>
              </w:rPr>
              <w:t>El. p. v.voinilko@tm.lt</w:t>
            </w:r>
          </w:p>
        </w:tc>
      </w:tr>
    </w:tbl>
    <w:p w:rsidR="0088141B" w:rsidRPr="009E0826" w:rsidRDefault="0088141B" w:rsidP="0088141B">
      <w:pPr>
        <w:tabs>
          <w:tab w:val="left" w:pos="6237"/>
          <w:tab w:val="right" w:pos="8306"/>
        </w:tabs>
        <w:ind w:firstLine="0"/>
        <w:jc w:val="center"/>
        <w:rPr>
          <w:rFonts w:ascii="Times New Roman" w:hAnsi="Times New Roman" w:cs="Times New Roman"/>
          <w:sz w:val="24"/>
          <w:lang w:eastAsia="lt-LT"/>
        </w:rPr>
      </w:pPr>
      <w:r w:rsidRPr="009E0826">
        <w:rPr>
          <w:rFonts w:ascii="Times New Roman" w:hAnsi="Times New Roman" w:cs="Times New Roman"/>
          <w:sz w:val="24"/>
          <w:lang w:eastAsia="lt-LT"/>
        </w:rPr>
        <w:t>______________</w:t>
      </w:r>
    </w:p>
    <w:p w:rsidR="000B270F" w:rsidRDefault="000B270F"/>
    <w:sectPr w:rsidR="000B270F" w:rsidSect="0037372E">
      <w:pgSz w:w="11907" w:h="16839"/>
      <w:pgMar w:top="1134"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42580" w16cid:durableId="20A2B992"/>
  <w16cid:commentId w16cid:paraId="0ACE0A46" w16cid:durableId="20A2BB52"/>
  <w16cid:commentId w16cid:paraId="6D0CBF70" w16cid:durableId="20A2B993"/>
  <w16cid:commentId w16cid:paraId="068B59D2" w16cid:durableId="20A2C9D1"/>
  <w16cid:commentId w16cid:paraId="344881AC" w16cid:durableId="20A2BC30"/>
  <w16cid:commentId w16cid:paraId="4F288904" w16cid:durableId="20A2B994"/>
  <w16cid:commentId w16cid:paraId="0567FDB6" w16cid:durableId="20A2BCFD"/>
  <w16cid:commentId w16cid:paraId="64E50156" w16cid:durableId="20A2C1BB"/>
  <w16cid:commentId w16cid:paraId="611D34FE" w16cid:durableId="20A2B995"/>
  <w16cid:commentId w16cid:paraId="4AD17FEF" w16cid:durableId="20A2C235"/>
  <w16cid:commentId w16cid:paraId="3886EC9C" w16cid:durableId="20A2B996"/>
  <w16cid:commentId w16cid:paraId="3F6BD20B" w16cid:durableId="20A2C47A"/>
  <w16cid:commentId w16cid:paraId="6034537E" w16cid:durableId="20A2C519"/>
  <w16cid:commentId w16cid:paraId="3A25B5E9" w16cid:durableId="20A2C5A1"/>
  <w16cid:commentId w16cid:paraId="23148C61" w16cid:durableId="20A2B997"/>
  <w16cid:commentId w16cid:paraId="09B72134" w16cid:durableId="20A2C61B"/>
  <w16cid:commentId w16cid:paraId="665A2287" w16cid:durableId="20A2B998"/>
  <w16cid:commentId w16cid:paraId="5102BF7B" w16cid:durableId="20A2C72B"/>
  <w16cid:commentId w16cid:paraId="5AF9DFB4" w16cid:durableId="20A2B999"/>
  <w16cid:commentId w16cid:paraId="3F07D123" w16cid:durableId="20A2B9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43C" w:rsidRDefault="00F9243C">
      <w:r>
        <w:separator/>
      </w:r>
    </w:p>
  </w:endnote>
  <w:endnote w:type="continuationSeparator" w:id="0">
    <w:p w:rsidR="00F9243C" w:rsidRDefault="00F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43C" w:rsidRDefault="00F9243C">
      <w:r>
        <w:separator/>
      </w:r>
    </w:p>
  </w:footnote>
  <w:footnote w:type="continuationSeparator" w:id="0">
    <w:p w:rsidR="00F9243C" w:rsidRDefault="00F92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15684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74B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B6A0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40F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5A25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BC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006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0A9F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C6BE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E60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C92AA4"/>
    <w:multiLevelType w:val="hybridMultilevel"/>
    <w:tmpl w:val="BB22BA9E"/>
    <w:lvl w:ilvl="0" w:tplc="D786D0A4">
      <w:numFmt w:val="bullet"/>
      <w:lvlText w:val="-"/>
      <w:lvlJc w:val="left"/>
      <w:pPr>
        <w:ind w:left="707" w:hanging="360"/>
      </w:pPr>
      <w:rPr>
        <w:rFonts w:ascii="Arial" w:eastAsia="Times New Roman" w:hAnsi="Arial" w:cs="Arial" w:hint="default"/>
      </w:rPr>
    </w:lvl>
    <w:lvl w:ilvl="1" w:tplc="04270003" w:tentative="1">
      <w:start w:val="1"/>
      <w:numFmt w:val="bullet"/>
      <w:lvlText w:val="o"/>
      <w:lvlJc w:val="left"/>
      <w:pPr>
        <w:ind w:left="1427" w:hanging="360"/>
      </w:pPr>
      <w:rPr>
        <w:rFonts w:ascii="Courier New" w:hAnsi="Courier New" w:cs="Courier New" w:hint="default"/>
      </w:rPr>
    </w:lvl>
    <w:lvl w:ilvl="2" w:tplc="04270005" w:tentative="1">
      <w:start w:val="1"/>
      <w:numFmt w:val="bullet"/>
      <w:lvlText w:val=""/>
      <w:lvlJc w:val="left"/>
      <w:pPr>
        <w:ind w:left="2147" w:hanging="360"/>
      </w:pPr>
      <w:rPr>
        <w:rFonts w:ascii="Wingdings" w:hAnsi="Wingdings" w:hint="default"/>
      </w:rPr>
    </w:lvl>
    <w:lvl w:ilvl="3" w:tplc="04270001" w:tentative="1">
      <w:start w:val="1"/>
      <w:numFmt w:val="bullet"/>
      <w:lvlText w:val=""/>
      <w:lvlJc w:val="left"/>
      <w:pPr>
        <w:ind w:left="2867" w:hanging="360"/>
      </w:pPr>
      <w:rPr>
        <w:rFonts w:ascii="Symbol" w:hAnsi="Symbol" w:hint="default"/>
      </w:rPr>
    </w:lvl>
    <w:lvl w:ilvl="4" w:tplc="04270003" w:tentative="1">
      <w:start w:val="1"/>
      <w:numFmt w:val="bullet"/>
      <w:lvlText w:val="o"/>
      <w:lvlJc w:val="left"/>
      <w:pPr>
        <w:ind w:left="3587" w:hanging="360"/>
      </w:pPr>
      <w:rPr>
        <w:rFonts w:ascii="Courier New" w:hAnsi="Courier New" w:cs="Courier New" w:hint="default"/>
      </w:rPr>
    </w:lvl>
    <w:lvl w:ilvl="5" w:tplc="04270005" w:tentative="1">
      <w:start w:val="1"/>
      <w:numFmt w:val="bullet"/>
      <w:lvlText w:val=""/>
      <w:lvlJc w:val="left"/>
      <w:pPr>
        <w:ind w:left="4307" w:hanging="360"/>
      </w:pPr>
      <w:rPr>
        <w:rFonts w:ascii="Wingdings" w:hAnsi="Wingdings" w:hint="default"/>
      </w:rPr>
    </w:lvl>
    <w:lvl w:ilvl="6" w:tplc="04270001" w:tentative="1">
      <w:start w:val="1"/>
      <w:numFmt w:val="bullet"/>
      <w:lvlText w:val=""/>
      <w:lvlJc w:val="left"/>
      <w:pPr>
        <w:ind w:left="5027" w:hanging="360"/>
      </w:pPr>
      <w:rPr>
        <w:rFonts w:ascii="Symbol" w:hAnsi="Symbol" w:hint="default"/>
      </w:rPr>
    </w:lvl>
    <w:lvl w:ilvl="7" w:tplc="04270003" w:tentative="1">
      <w:start w:val="1"/>
      <w:numFmt w:val="bullet"/>
      <w:lvlText w:val="o"/>
      <w:lvlJc w:val="left"/>
      <w:pPr>
        <w:ind w:left="5747" w:hanging="360"/>
      </w:pPr>
      <w:rPr>
        <w:rFonts w:ascii="Courier New" w:hAnsi="Courier New" w:cs="Courier New" w:hint="default"/>
      </w:rPr>
    </w:lvl>
    <w:lvl w:ilvl="8" w:tplc="04270005" w:tentative="1">
      <w:start w:val="1"/>
      <w:numFmt w:val="bullet"/>
      <w:lvlText w:val=""/>
      <w:lvlJc w:val="left"/>
      <w:pPr>
        <w:ind w:left="6467" w:hanging="360"/>
      </w:pPr>
      <w:rPr>
        <w:rFonts w:ascii="Wingdings" w:hAnsi="Wingdings" w:hint="default"/>
      </w:rPr>
    </w:lvl>
  </w:abstractNum>
  <w:abstractNum w:abstractNumId="11"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8"/>
  <w:hyphenationZone w:val="396"/>
  <w:doNotHyphenateCaps/>
  <w:drawingGridHorizontalSpacing w:val="24"/>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2E"/>
    <w:rsid w:val="00062259"/>
    <w:rsid w:val="000B270F"/>
    <w:rsid w:val="000F6493"/>
    <w:rsid w:val="00107FB3"/>
    <w:rsid w:val="0014017C"/>
    <w:rsid w:val="00145378"/>
    <w:rsid w:val="00146ED2"/>
    <w:rsid w:val="001476E8"/>
    <w:rsid w:val="001522F2"/>
    <w:rsid w:val="00154D0D"/>
    <w:rsid w:val="001B4000"/>
    <w:rsid w:val="0020642D"/>
    <w:rsid w:val="00237088"/>
    <w:rsid w:val="00271560"/>
    <w:rsid w:val="002B6E2A"/>
    <w:rsid w:val="002E73C7"/>
    <w:rsid w:val="0035329B"/>
    <w:rsid w:val="0037372E"/>
    <w:rsid w:val="003D06B5"/>
    <w:rsid w:val="003D6B03"/>
    <w:rsid w:val="003D7BA3"/>
    <w:rsid w:val="00437BF5"/>
    <w:rsid w:val="00440E76"/>
    <w:rsid w:val="004431D8"/>
    <w:rsid w:val="004503CB"/>
    <w:rsid w:val="004769E5"/>
    <w:rsid w:val="00477324"/>
    <w:rsid w:val="00493482"/>
    <w:rsid w:val="004B0233"/>
    <w:rsid w:val="004E7EF4"/>
    <w:rsid w:val="004F7F6B"/>
    <w:rsid w:val="00526E00"/>
    <w:rsid w:val="005A2B35"/>
    <w:rsid w:val="005A39F9"/>
    <w:rsid w:val="005B743D"/>
    <w:rsid w:val="0063500E"/>
    <w:rsid w:val="00640759"/>
    <w:rsid w:val="00641B8A"/>
    <w:rsid w:val="00643CEA"/>
    <w:rsid w:val="00655505"/>
    <w:rsid w:val="00656AF4"/>
    <w:rsid w:val="00662A4F"/>
    <w:rsid w:val="00672005"/>
    <w:rsid w:val="006A066E"/>
    <w:rsid w:val="006A0C6B"/>
    <w:rsid w:val="006C1DD0"/>
    <w:rsid w:val="006C57A2"/>
    <w:rsid w:val="006F0226"/>
    <w:rsid w:val="0072660D"/>
    <w:rsid w:val="00762897"/>
    <w:rsid w:val="00791FEC"/>
    <w:rsid w:val="007B0F8F"/>
    <w:rsid w:val="00822D05"/>
    <w:rsid w:val="0088141B"/>
    <w:rsid w:val="00930166"/>
    <w:rsid w:val="00945F1F"/>
    <w:rsid w:val="009A77EF"/>
    <w:rsid w:val="009B7883"/>
    <w:rsid w:val="009C3882"/>
    <w:rsid w:val="009C39C1"/>
    <w:rsid w:val="009E0826"/>
    <w:rsid w:val="00A11B47"/>
    <w:rsid w:val="00A12DF7"/>
    <w:rsid w:val="00A57D3F"/>
    <w:rsid w:val="00A642F1"/>
    <w:rsid w:val="00A7324A"/>
    <w:rsid w:val="00A853FB"/>
    <w:rsid w:val="00A87E9B"/>
    <w:rsid w:val="00A96C19"/>
    <w:rsid w:val="00AE1ED4"/>
    <w:rsid w:val="00B11D4D"/>
    <w:rsid w:val="00B901DF"/>
    <w:rsid w:val="00BA777F"/>
    <w:rsid w:val="00BE796F"/>
    <w:rsid w:val="00C327D9"/>
    <w:rsid w:val="00C339EF"/>
    <w:rsid w:val="00C909D5"/>
    <w:rsid w:val="00C92D58"/>
    <w:rsid w:val="00CA7FC0"/>
    <w:rsid w:val="00CB1F34"/>
    <w:rsid w:val="00CB3EE9"/>
    <w:rsid w:val="00D27A00"/>
    <w:rsid w:val="00D3721A"/>
    <w:rsid w:val="00D42C2C"/>
    <w:rsid w:val="00D54458"/>
    <w:rsid w:val="00D61D2A"/>
    <w:rsid w:val="00D71290"/>
    <w:rsid w:val="00D758EE"/>
    <w:rsid w:val="00DC72CB"/>
    <w:rsid w:val="00DD3151"/>
    <w:rsid w:val="00DF7DC2"/>
    <w:rsid w:val="00E3326C"/>
    <w:rsid w:val="00E3714E"/>
    <w:rsid w:val="00E40B5F"/>
    <w:rsid w:val="00E50D01"/>
    <w:rsid w:val="00E53494"/>
    <w:rsid w:val="00E73150"/>
    <w:rsid w:val="00EA3D47"/>
    <w:rsid w:val="00EB5D5B"/>
    <w:rsid w:val="00EE4003"/>
    <w:rsid w:val="00EF6780"/>
    <w:rsid w:val="00F335B7"/>
    <w:rsid w:val="00F369B8"/>
    <w:rsid w:val="00F67F3C"/>
    <w:rsid w:val="00F9243C"/>
    <w:rsid w:val="00F93830"/>
    <w:rsid w:val="00FC3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A5CFB0-ED00-40FA-8C8B-CF0E0056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8FB"/>
    <w:pPr>
      <w:ind w:firstLine="720"/>
    </w:pPr>
    <w:rPr>
      <w:rFonts w:ascii="Arial" w:eastAsia="Times New Roman" w:hAnsi="Arial" w:cs="Arial"/>
      <w:lang w:eastAsia="en-US"/>
    </w:rPr>
  </w:style>
  <w:style w:type="paragraph" w:styleId="Antrat1">
    <w:name w:val="heading 1"/>
    <w:basedOn w:val="prastasis"/>
    <w:next w:val="prastasis"/>
    <w:qFormat/>
    <w:rsid w:val="00E558FB"/>
    <w:pPr>
      <w:keepNext/>
      <w:spacing w:before="240" w:after="60"/>
      <w:outlineLvl w:val="0"/>
    </w:pPr>
    <w:rPr>
      <w:b/>
      <w:kern w:val="28"/>
      <w:sz w:val="28"/>
    </w:rPr>
  </w:style>
  <w:style w:type="paragraph" w:styleId="Antrat2">
    <w:name w:val="heading 2"/>
    <w:basedOn w:val="prastasis"/>
    <w:next w:val="prastasis"/>
    <w:qFormat/>
    <w:rsid w:val="00271560"/>
    <w:pPr>
      <w:keepNext/>
      <w:spacing w:before="240" w:after="60"/>
      <w:outlineLvl w:val="1"/>
    </w:pPr>
    <w:rPr>
      <w:b/>
      <w:bCs/>
      <w:i/>
      <w:iCs/>
      <w:sz w:val="28"/>
      <w:szCs w:val="28"/>
    </w:rPr>
  </w:style>
  <w:style w:type="paragraph" w:styleId="Antrat4">
    <w:name w:val="heading 4"/>
    <w:basedOn w:val="prastasis"/>
    <w:next w:val="prastasis"/>
    <w:qFormat/>
    <w:rsid w:val="00E558FB"/>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558FB"/>
    <w:pPr>
      <w:tabs>
        <w:tab w:val="center" w:pos="4819"/>
        <w:tab w:val="right" w:pos="9638"/>
      </w:tabs>
    </w:pPr>
  </w:style>
  <w:style w:type="paragraph" w:customStyle="1" w:styleId="Preformatted">
    <w:name w:val="Preformatted"/>
    <w:basedOn w:val="prastasis"/>
    <w:rsid w:val="00E558F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aliases w:val="Char,Diagrama"/>
    <w:basedOn w:val="prastasis"/>
    <w:link w:val="AntratsDiagrama"/>
    <w:semiHidden/>
    <w:rsid w:val="00E558FB"/>
    <w:pPr>
      <w:tabs>
        <w:tab w:val="center" w:pos="4153"/>
        <w:tab w:val="right" w:pos="8306"/>
      </w:tabs>
    </w:pPr>
    <w:rPr>
      <w:lang w:val="en-GB"/>
    </w:rPr>
  </w:style>
  <w:style w:type="character" w:styleId="Puslapionumeris">
    <w:name w:val="page number"/>
    <w:basedOn w:val="Numatytasispastraiposriftas"/>
    <w:rsid w:val="00E558FB"/>
  </w:style>
  <w:style w:type="character" w:styleId="Komentaronuoroda">
    <w:name w:val="annotation reference"/>
    <w:basedOn w:val="Numatytasispastraiposriftas"/>
    <w:uiPriority w:val="99"/>
    <w:semiHidden/>
    <w:rsid w:val="00E558FB"/>
    <w:rPr>
      <w:sz w:val="16"/>
    </w:rPr>
  </w:style>
  <w:style w:type="paragraph" w:styleId="Komentarotekstas">
    <w:name w:val="annotation text"/>
    <w:basedOn w:val="prastasis"/>
    <w:link w:val="KomentarotekstasDiagrama"/>
    <w:uiPriority w:val="99"/>
    <w:semiHidden/>
    <w:rsid w:val="00E558FB"/>
  </w:style>
  <w:style w:type="character" w:styleId="Hipersaitas">
    <w:name w:val="Hyperlink"/>
    <w:basedOn w:val="Numatytasispastraiposriftas"/>
    <w:rsid w:val="00E558FB"/>
    <w:rPr>
      <w:color w:val="0000FF"/>
      <w:u w:val="single"/>
    </w:rPr>
  </w:style>
  <w:style w:type="character" w:styleId="Perirtashipersaitas">
    <w:name w:val="FollowedHyperlink"/>
    <w:basedOn w:val="Numatytasispastraiposriftas"/>
    <w:rsid w:val="00E558FB"/>
    <w:rPr>
      <w:color w:val="800080"/>
      <w:u w:val="single"/>
    </w:rPr>
  </w:style>
  <w:style w:type="character" w:customStyle="1" w:styleId="ELEXCInstitucija">
    <w:name w:val="ELEX_C_Institucija"/>
    <w:basedOn w:val="Numatytasispastraiposriftas"/>
    <w:rsid w:val="00E558FB"/>
    <w:rPr>
      <w:rFonts w:ascii="Arial" w:hAnsi="Arial"/>
      <w:sz w:val="20"/>
    </w:rPr>
  </w:style>
  <w:style w:type="paragraph" w:customStyle="1" w:styleId="ELEXPInstitucija">
    <w:name w:val="ELEX_P_Institucija"/>
    <w:basedOn w:val="prastasis"/>
    <w:next w:val="prastasis"/>
    <w:rsid w:val="00E558FB"/>
    <w:pPr>
      <w:jc w:val="center"/>
    </w:pPr>
    <w:rPr>
      <w:caps/>
    </w:rPr>
  </w:style>
  <w:style w:type="paragraph" w:customStyle="1" w:styleId="ELEXPAktoRusis">
    <w:name w:val="ELEX_P_AktoRusis"/>
    <w:basedOn w:val="prastasis"/>
    <w:next w:val="prastasis"/>
    <w:rsid w:val="00E558FB"/>
    <w:pPr>
      <w:jc w:val="center"/>
    </w:pPr>
    <w:rPr>
      <w:caps/>
    </w:rPr>
  </w:style>
  <w:style w:type="character" w:customStyle="1" w:styleId="ELEXCAktoRusis">
    <w:name w:val="ELEX_C_AktoRusis"/>
    <w:basedOn w:val="Numatytasispastraiposriftas"/>
    <w:rsid w:val="00E558FB"/>
    <w:rPr>
      <w:rFonts w:ascii="Arial" w:hAnsi="Arial"/>
      <w:sz w:val="20"/>
    </w:rPr>
  </w:style>
  <w:style w:type="paragraph" w:customStyle="1" w:styleId="ELEXPAktoPavadinimas">
    <w:name w:val="ELEX_P_AktoPavadinimas"/>
    <w:basedOn w:val="prastasis"/>
    <w:next w:val="prastasis"/>
    <w:rsid w:val="00E558FB"/>
    <w:pPr>
      <w:jc w:val="center"/>
    </w:pPr>
    <w:rPr>
      <w:b/>
      <w:caps/>
    </w:rPr>
  </w:style>
  <w:style w:type="character" w:customStyle="1" w:styleId="ELEXCAktoPavadinimas">
    <w:name w:val="ELEX_C_AktoPavadinimas"/>
    <w:basedOn w:val="Numatytasispastraiposriftas"/>
    <w:rsid w:val="00E558FB"/>
    <w:rPr>
      <w:rFonts w:ascii="Arial" w:hAnsi="Arial"/>
      <w:b/>
      <w:caps/>
      <w:sz w:val="20"/>
    </w:rPr>
  </w:style>
  <w:style w:type="paragraph" w:customStyle="1" w:styleId="ELEXPAktoPriemimoDataIrNumeris">
    <w:name w:val="ELEX_P_AktoPriemimoDataIrNumeris"/>
    <w:basedOn w:val="prastasis"/>
    <w:next w:val="prastasis"/>
    <w:rsid w:val="00E558FB"/>
    <w:pPr>
      <w:jc w:val="center"/>
    </w:pPr>
  </w:style>
  <w:style w:type="character" w:customStyle="1" w:styleId="ELEXCAktoPriemimoDataIrNumeris">
    <w:name w:val="ELEX_C_AktoPriemimoDataIrNumeris"/>
    <w:basedOn w:val="Numatytasispastraiposriftas"/>
    <w:rsid w:val="00E558FB"/>
    <w:rPr>
      <w:rFonts w:ascii="Arial" w:hAnsi="Arial"/>
      <w:sz w:val="20"/>
    </w:rPr>
  </w:style>
  <w:style w:type="character" w:customStyle="1" w:styleId="ELEXCPriemimoVieta">
    <w:name w:val="ELEX_C_PriemimoVieta"/>
    <w:basedOn w:val="Numatytasispastraiposriftas"/>
    <w:rsid w:val="00E558FB"/>
    <w:rPr>
      <w:rFonts w:ascii="Arial" w:hAnsi="Arial"/>
      <w:sz w:val="20"/>
    </w:rPr>
  </w:style>
  <w:style w:type="character" w:customStyle="1" w:styleId="ELEXCKeiciamoAktoAtributai">
    <w:name w:val="ELEX_C_KeiciamoAktoAtributai"/>
    <w:basedOn w:val="Numatytasispastraiposriftas"/>
    <w:rsid w:val="00E558FB"/>
    <w:rPr>
      <w:rFonts w:ascii="Arial" w:hAnsi="Arial"/>
      <w:sz w:val="20"/>
    </w:rPr>
  </w:style>
  <w:style w:type="character" w:customStyle="1" w:styleId="ELEXCHerbas">
    <w:name w:val="ELEX_C_Herbas"/>
    <w:basedOn w:val="Numatytasispastraiposriftas"/>
    <w:rsid w:val="00E558FB"/>
    <w:rPr>
      <w:rFonts w:ascii="Arial" w:hAnsi="Arial"/>
      <w:sz w:val="20"/>
    </w:rPr>
  </w:style>
  <w:style w:type="character" w:customStyle="1" w:styleId="ELEXCTekstas">
    <w:name w:val="ELEX_C_Tekstas"/>
    <w:basedOn w:val="Numatytasispastraiposriftas"/>
    <w:rsid w:val="00E558FB"/>
    <w:rPr>
      <w:rFonts w:ascii="Arial" w:hAnsi="Arial"/>
      <w:sz w:val="20"/>
    </w:rPr>
  </w:style>
  <w:style w:type="character" w:customStyle="1" w:styleId="ELEXCStraipsnioPavadinimas">
    <w:name w:val="ELEX_C_StraipsnioPavadinimas"/>
    <w:basedOn w:val="Numatytasispastraiposriftas"/>
    <w:rsid w:val="00E558FB"/>
    <w:rPr>
      <w:rFonts w:ascii="Arial" w:hAnsi="Arial"/>
      <w:sz w:val="20"/>
    </w:rPr>
  </w:style>
  <w:style w:type="character" w:customStyle="1" w:styleId="ELEXCDaliesPavadinimas">
    <w:name w:val="ELEX_C_DaliesPavadinimas"/>
    <w:basedOn w:val="Numatytasispastraiposriftas"/>
    <w:rsid w:val="00E558FB"/>
    <w:rPr>
      <w:rFonts w:ascii="Arial" w:hAnsi="Arial"/>
      <w:sz w:val="20"/>
    </w:rPr>
  </w:style>
  <w:style w:type="character" w:customStyle="1" w:styleId="ELEXCStraipsnis">
    <w:name w:val="ELEX_C_Straipsnis"/>
    <w:basedOn w:val="Numatytasispastraiposriftas"/>
    <w:rsid w:val="00E558FB"/>
    <w:rPr>
      <w:rFonts w:ascii="Arial" w:hAnsi="Arial"/>
      <w:sz w:val="20"/>
    </w:rPr>
  </w:style>
  <w:style w:type="character" w:customStyle="1" w:styleId="ELEXCPastraipa">
    <w:name w:val="ELEX_C_Pastraipa"/>
    <w:basedOn w:val="Numatytasispastraiposriftas"/>
    <w:rsid w:val="00E558FB"/>
    <w:rPr>
      <w:rFonts w:ascii="Arial" w:hAnsi="Arial"/>
      <w:sz w:val="20"/>
    </w:rPr>
  </w:style>
  <w:style w:type="character" w:customStyle="1" w:styleId="ELEXCPunktas">
    <w:name w:val="ELEX_C_Punktas"/>
    <w:basedOn w:val="Numatytasispastraiposriftas"/>
    <w:rsid w:val="00E558FB"/>
    <w:rPr>
      <w:rFonts w:ascii="Arial" w:hAnsi="Arial"/>
      <w:sz w:val="20"/>
    </w:rPr>
  </w:style>
  <w:style w:type="character" w:customStyle="1" w:styleId="ELEXCSignatura">
    <w:name w:val="ELEX_C_Signatura"/>
    <w:basedOn w:val="Numatytasispastraiposriftas"/>
    <w:rsid w:val="00E558FB"/>
    <w:rPr>
      <w:rFonts w:ascii="Arial" w:hAnsi="Arial"/>
      <w:sz w:val="20"/>
    </w:rPr>
  </w:style>
  <w:style w:type="character" w:customStyle="1" w:styleId="ELEXCPriedas">
    <w:name w:val="ELEX_C_Priedas"/>
    <w:basedOn w:val="Numatytasispastraiposriftas"/>
    <w:rsid w:val="00E558FB"/>
    <w:rPr>
      <w:rFonts w:ascii="Arial" w:hAnsi="Arial"/>
      <w:sz w:val="20"/>
    </w:rPr>
  </w:style>
  <w:style w:type="character" w:customStyle="1" w:styleId="ELEXCPriedoPavadinimas">
    <w:name w:val="ELEX_C_PriedoPavadinimas"/>
    <w:basedOn w:val="Numatytasispastraiposriftas"/>
    <w:rsid w:val="00E558FB"/>
    <w:rPr>
      <w:rFonts w:ascii="Arial" w:hAnsi="Arial"/>
      <w:sz w:val="20"/>
    </w:rPr>
  </w:style>
  <w:style w:type="character" w:customStyle="1" w:styleId="ELEXCPriedoPatvirtinimoAtributai">
    <w:name w:val="ELEX_C_PriedoPatvirtinimoAtributai"/>
    <w:basedOn w:val="Numatytasispastraiposriftas"/>
    <w:rsid w:val="00E558FB"/>
    <w:rPr>
      <w:rFonts w:ascii="Arial" w:hAnsi="Arial"/>
      <w:sz w:val="20"/>
    </w:rPr>
  </w:style>
  <w:style w:type="paragraph" w:customStyle="1" w:styleId="ELEXPPriemimoVieta">
    <w:name w:val="ELEX_P_PriemimoVieta"/>
    <w:basedOn w:val="prastasis"/>
    <w:next w:val="prastasis"/>
    <w:rsid w:val="00E558FB"/>
    <w:pPr>
      <w:jc w:val="center"/>
    </w:pPr>
  </w:style>
  <w:style w:type="paragraph" w:customStyle="1" w:styleId="ELEXPKeiciamoAktoAtributai">
    <w:name w:val="ELEX_P_KeiciamoAktoAtributai"/>
    <w:basedOn w:val="prastasis"/>
    <w:next w:val="prastasis"/>
    <w:rsid w:val="00E558FB"/>
    <w:pPr>
      <w:jc w:val="center"/>
    </w:pPr>
  </w:style>
  <w:style w:type="paragraph" w:customStyle="1" w:styleId="ELEXPHerbas">
    <w:name w:val="ELEX_P_Herbas"/>
    <w:basedOn w:val="prastasis"/>
    <w:rsid w:val="00E558FB"/>
    <w:pPr>
      <w:jc w:val="center"/>
    </w:pPr>
  </w:style>
  <w:style w:type="paragraph" w:customStyle="1" w:styleId="ELEXPTekstas">
    <w:name w:val="ELEX_P_Tekstas"/>
    <w:basedOn w:val="prastasis"/>
    <w:next w:val="prastasis"/>
    <w:rsid w:val="00E558FB"/>
    <w:pPr>
      <w:jc w:val="both"/>
    </w:pPr>
  </w:style>
  <w:style w:type="paragraph" w:customStyle="1" w:styleId="ELEXPStraipsnioPavadinimas">
    <w:name w:val="ELEX_P_StraipsnioPavadinimas"/>
    <w:basedOn w:val="prastasis"/>
    <w:next w:val="prastasis"/>
    <w:autoRedefine/>
    <w:rsid w:val="00E558FB"/>
    <w:pPr>
      <w:ind w:left="2410" w:hanging="1701"/>
      <w:jc w:val="both"/>
    </w:pPr>
    <w:rPr>
      <w:b/>
    </w:rPr>
  </w:style>
  <w:style w:type="paragraph" w:customStyle="1" w:styleId="ELEXPDaliesPavadinimas">
    <w:name w:val="ELEX_P_DaliesPavadinimas"/>
    <w:basedOn w:val="prastasis"/>
    <w:next w:val="prastasis"/>
    <w:rsid w:val="00E558FB"/>
    <w:pPr>
      <w:jc w:val="center"/>
    </w:pPr>
    <w:rPr>
      <w:caps/>
    </w:rPr>
  </w:style>
  <w:style w:type="paragraph" w:customStyle="1" w:styleId="ELEXPStraipsnis">
    <w:name w:val="ELEX_P_Straipsnis"/>
    <w:basedOn w:val="prastasis"/>
    <w:next w:val="prastasis"/>
    <w:rsid w:val="00E558FB"/>
    <w:pPr>
      <w:ind w:firstLine="284"/>
      <w:jc w:val="both"/>
    </w:pPr>
  </w:style>
  <w:style w:type="paragraph" w:customStyle="1" w:styleId="ELEXPPastraipa">
    <w:name w:val="ELEX_P_Pastraipa"/>
    <w:basedOn w:val="prastasis"/>
    <w:next w:val="prastasis"/>
    <w:rsid w:val="00E558FB"/>
    <w:pPr>
      <w:ind w:firstLine="284"/>
      <w:jc w:val="both"/>
    </w:pPr>
  </w:style>
  <w:style w:type="paragraph" w:customStyle="1" w:styleId="ELEXPPunktas">
    <w:name w:val="ELEX_P_Punktas"/>
    <w:basedOn w:val="prastasis"/>
    <w:next w:val="prastasis"/>
    <w:rsid w:val="00E558FB"/>
    <w:pPr>
      <w:ind w:firstLine="284"/>
      <w:jc w:val="both"/>
    </w:pPr>
  </w:style>
  <w:style w:type="paragraph" w:customStyle="1" w:styleId="ELEXPSignatura">
    <w:name w:val="ELEX_P_Signatura"/>
    <w:basedOn w:val="prastasis"/>
    <w:next w:val="prastasis"/>
    <w:rsid w:val="00E558FB"/>
    <w:pPr>
      <w:tabs>
        <w:tab w:val="right" w:pos="9639"/>
      </w:tabs>
    </w:pPr>
    <w:rPr>
      <w:caps/>
    </w:rPr>
  </w:style>
  <w:style w:type="paragraph" w:customStyle="1" w:styleId="ELEXPPriedas">
    <w:name w:val="ELEX_P_Priedas"/>
    <w:basedOn w:val="prastasis"/>
    <w:next w:val="prastasis"/>
    <w:rsid w:val="00E558FB"/>
    <w:pPr>
      <w:ind w:left="5103"/>
      <w:jc w:val="both"/>
    </w:pPr>
  </w:style>
  <w:style w:type="paragraph" w:customStyle="1" w:styleId="ELEXPPriedoPavadinimas">
    <w:name w:val="ELEX_P_PriedoPavadinimas"/>
    <w:basedOn w:val="prastasis"/>
    <w:next w:val="prastasis"/>
    <w:rsid w:val="00E558FB"/>
    <w:pPr>
      <w:jc w:val="center"/>
    </w:pPr>
    <w:rPr>
      <w:caps/>
    </w:rPr>
  </w:style>
  <w:style w:type="paragraph" w:customStyle="1" w:styleId="ELEXPPriedoPatvirtinimoAtributai">
    <w:name w:val="ELEX_P_PriedoPatvirtinimoAtributai"/>
    <w:basedOn w:val="prastasis"/>
    <w:next w:val="prastasis"/>
    <w:rsid w:val="00E558FB"/>
    <w:pPr>
      <w:jc w:val="right"/>
    </w:pPr>
  </w:style>
  <w:style w:type="paragraph" w:styleId="prastasiniatinklio">
    <w:name w:val="Normal (Web)"/>
    <w:basedOn w:val="prastasis"/>
    <w:rsid w:val="00E558FB"/>
    <w:pPr>
      <w:spacing w:before="100" w:beforeAutospacing="1" w:after="100" w:afterAutospacing="1"/>
    </w:pPr>
    <w:rPr>
      <w:rFonts w:ascii="Times New Roman" w:hAnsi="Times New Roman"/>
      <w:sz w:val="24"/>
      <w:szCs w:val="24"/>
      <w:lang w:eastAsia="lt-LT"/>
    </w:rPr>
  </w:style>
  <w:style w:type="table" w:styleId="Lentelstinklelis">
    <w:name w:val="Table Grid"/>
    <w:basedOn w:val="prastojilentel"/>
    <w:rsid w:val="00E55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E558FB"/>
    <w:pPr>
      <w:spacing w:before="100" w:beforeAutospacing="1" w:after="100" w:afterAutospacing="1"/>
    </w:pPr>
    <w:rPr>
      <w:rFonts w:ascii="Times New Roman" w:hAnsi="Times New Roman"/>
      <w:sz w:val="24"/>
      <w:szCs w:val="24"/>
      <w:lang w:eastAsia="lt-LT"/>
    </w:rPr>
  </w:style>
  <w:style w:type="character" w:customStyle="1" w:styleId="FontStyle260">
    <w:name w:val="Font Style260"/>
    <w:basedOn w:val="Numatytasispastraiposriftas"/>
    <w:rsid w:val="00E558FB"/>
    <w:rPr>
      <w:rFonts w:ascii="Times New Roman" w:hAnsi="Times New Roman" w:cs="Times New Roman" w:hint="default"/>
      <w:sz w:val="18"/>
      <w:szCs w:val="18"/>
    </w:rPr>
  </w:style>
  <w:style w:type="paragraph" w:customStyle="1" w:styleId="Style86">
    <w:name w:val="Style86"/>
    <w:basedOn w:val="prastasis"/>
    <w:rsid w:val="00E558FB"/>
    <w:pPr>
      <w:widowControl w:val="0"/>
      <w:autoSpaceDE w:val="0"/>
      <w:autoSpaceDN w:val="0"/>
      <w:adjustRightInd w:val="0"/>
      <w:spacing w:line="245" w:lineRule="exact"/>
    </w:pPr>
    <w:rPr>
      <w:szCs w:val="24"/>
      <w:lang w:eastAsia="lt-LT"/>
    </w:rPr>
  </w:style>
  <w:style w:type="paragraph" w:customStyle="1" w:styleId="Style5">
    <w:name w:val="Style5"/>
    <w:basedOn w:val="prastasis"/>
    <w:rsid w:val="00E558FB"/>
    <w:pPr>
      <w:widowControl w:val="0"/>
      <w:autoSpaceDE w:val="0"/>
      <w:autoSpaceDN w:val="0"/>
      <w:adjustRightInd w:val="0"/>
    </w:pPr>
    <w:rPr>
      <w:szCs w:val="24"/>
      <w:lang w:eastAsia="lt-LT"/>
    </w:rPr>
  </w:style>
  <w:style w:type="paragraph" w:customStyle="1" w:styleId="Style30">
    <w:name w:val="Style30"/>
    <w:basedOn w:val="prastasis"/>
    <w:rsid w:val="00E558FB"/>
    <w:pPr>
      <w:widowControl w:val="0"/>
      <w:autoSpaceDE w:val="0"/>
      <w:autoSpaceDN w:val="0"/>
      <w:adjustRightInd w:val="0"/>
      <w:spacing w:line="238" w:lineRule="exact"/>
      <w:ind w:firstLine="317"/>
      <w:jc w:val="both"/>
    </w:pPr>
    <w:rPr>
      <w:szCs w:val="24"/>
      <w:lang w:eastAsia="lt-LT"/>
    </w:rPr>
  </w:style>
  <w:style w:type="paragraph" w:customStyle="1" w:styleId="Style36">
    <w:name w:val="Style36"/>
    <w:basedOn w:val="prastasis"/>
    <w:rsid w:val="00E558FB"/>
    <w:pPr>
      <w:widowControl w:val="0"/>
      <w:autoSpaceDE w:val="0"/>
      <w:autoSpaceDN w:val="0"/>
      <w:adjustRightInd w:val="0"/>
      <w:spacing w:line="230" w:lineRule="exact"/>
      <w:ind w:firstLine="312"/>
      <w:jc w:val="both"/>
    </w:pPr>
    <w:rPr>
      <w:szCs w:val="24"/>
      <w:lang w:eastAsia="lt-LT"/>
    </w:rPr>
  </w:style>
  <w:style w:type="character" w:customStyle="1" w:styleId="FontStyle261">
    <w:name w:val="Font Style261"/>
    <w:basedOn w:val="Numatytasispastraiposriftas"/>
    <w:rsid w:val="00E558FB"/>
    <w:rPr>
      <w:rFonts w:ascii="Times New Roman" w:hAnsi="Times New Roman" w:cs="Times New Roman" w:hint="default"/>
      <w:b/>
      <w:bCs/>
      <w:sz w:val="20"/>
      <w:szCs w:val="20"/>
    </w:rPr>
  </w:style>
  <w:style w:type="paragraph" w:customStyle="1" w:styleId="Style4">
    <w:name w:val="Style4"/>
    <w:basedOn w:val="prastasis"/>
    <w:rsid w:val="007268EA"/>
    <w:pPr>
      <w:widowControl w:val="0"/>
      <w:autoSpaceDE w:val="0"/>
      <w:autoSpaceDN w:val="0"/>
      <w:adjustRightInd w:val="0"/>
      <w:jc w:val="center"/>
    </w:pPr>
    <w:rPr>
      <w:szCs w:val="24"/>
      <w:lang w:eastAsia="lt-LT"/>
    </w:rPr>
  </w:style>
  <w:style w:type="paragraph" w:customStyle="1" w:styleId="Style29">
    <w:name w:val="Style29"/>
    <w:basedOn w:val="prastasis"/>
    <w:rsid w:val="007268EA"/>
    <w:pPr>
      <w:widowControl w:val="0"/>
      <w:autoSpaceDE w:val="0"/>
      <w:autoSpaceDN w:val="0"/>
      <w:adjustRightInd w:val="0"/>
      <w:spacing w:line="240" w:lineRule="exact"/>
      <w:ind w:firstLine="317"/>
      <w:jc w:val="both"/>
    </w:pPr>
    <w:rPr>
      <w:szCs w:val="24"/>
      <w:lang w:eastAsia="lt-LT"/>
    </w:rPr>
  </w:style>
  <w:style w:type="character" w:customStyle="1" w:styleId="FontStyle255">
    <w:name w:val="Font Style255"/>
    <w:basedOn w:val="Numatytasispastraiposriftas"/>
    <w:rsid w:val="007268EA"/>
    <w:rPr>
      <w:rFonts w:ascii="Times New Roman" w:hAnsi="Times New Roman" w:cs="Times New Roman" w:hint="default"/>
      <w:sz w:val="18"/>
      <w:szCs w:val="18"/>
    </w:rPr>
  </w:style>
  <w:style w:type="character" w:customStyle="1" w:styleId="FontStyle258">
    <w:name w:val="Font Style258"/>
    <w:basedOn w:val="Numatytasispastraiposriftas"/>
    <w:rsid w:val="007268EA"/>
    <w:rPr>
      <w:rFonts w:ascii="Times New Roman" w:hAnsi="Times New Roman" w:cs="Times New Roman" w:hint="default"/>
      <w:b/>
      <w:bCs/>
      <w:sz w:val="18"/>
      <w:szCs w:val="18"/>
    </w:rPr>
  </w:style>
  <w:style w:type="character" w:customStyle="1" w:styleId="AntratsDiagrama">
    <w:name w:val="Antraštės Diagrama"/>
    <w:aliases w:val="Char Diagrama,Diagrama Diagrama"/>
    <w:basedOn w:val="Numatytasispastraiposriftas"/>
    <w:link w:val="Antrats"/>
    <w:locked/>
    <w:rsid w:val="00271560"/>
    <w:rPr>
      <w:rFonts w:ascii="Arial" w:hAnsi="Arial" w:cs="Arial"/>
      <w:lang w:val="en-GB" w:eastAsia="en-US" w:bidi="ar-SA"/>
    </w:rPr>
  </w:style>
  <w:style w:type="paragraph" w:styleId="Pagrindinistekstas">
    <w:name w:val="Body Text"/>
    <w:basedOn w:val="prastasis"/>
    <w:rsid w:val="00271560"/>
    <w:pPr>
      <w:spacing w:after="120"/>
    </w:pPr>
  </w:style>
  <w:style w:type="character" w:customStyle="1" w:styleId="PuslapioinaostekstasDiagrama">
    <w:name w:val="Puslapio išnašos tekstas Diagrama"/>
    <w:basedOn w:val="Numatytasispastraiposriftas"/>
    <w:link w:val="Puslapioinaostekstas"/>
    <w:semiHidden/>
    <w:locked/>
    <w:rsid w:val="00271560"/>
    <w:rPr>
      <w:lang w:val="lt-LT" w:eastAsia="lt-LT" w:bidi="ar-SA"/>
    </w:rPr>
  </w:style>
  <w:style w:type="paragraph" w:styleId="Puslapioinaostekstas">
    <w:name w:val="footnote text"/>
    <w:basedOn w:val="prastasis"/>
    <w:link w:val="PuslapioinaostekstasDiagrama"/>
    <w:semiHidden/>
    <w:rsid w:val="00271560"/>
    <w:rPr>
      <w:rFonts w:ascii="Times New Roman" w:hAnsi="Times New Roman" w:cs="Times New Roman"/>
      <w:lang w:eastAsia="lt-LT"/>
    </w:rPr>
  </w:style>
  <w:style w:type="paragraph" w:customStyle="1" w:styleId="Sraopastraipa1">
    <w:name w:val="Sąrašo pastraipa1"/>
    <w:basedOn w:val="prastasis"/>
    <w:rsid w:val="00271560"/>
    <w:pPr>
      <w:ind w:left="1296"/>
    </w:pPr>
  </w:style>
  <w:style w:type="paragraph" w:customStyle="1" w:styleId="listparagraphcxspmiddle">
    <w:name w:val="listparagraphcxspmiddle"/>
    <w:basedOn w:val="prastasis"/>
    <w:rsid w:val="00271560"/>
    <w:pPr>
      <w:spacing w:before="100" w:beforeAutospacing="1" w:after="100" w:afterAutospacing="1"/>
    </w:pPr>
    <w:rPr>
      <w:szCs w:val="24"/>
      <w:lang w:eastAsia="lt-LT"/>
    </w:rPr>
  </w:style>
  <w:style w:type="paragraph" w:customStyle="1" w:styleId="listparagraphcxsplast">
    <w:name w:val="listparagraphcxsplast"/>
    <w:basedOn w:val="prastasis"/>
    <w:rsid w:val="00271560"/>
    <w:pPr>
      <w:spacing w:before="100" w:beforeAutospacing="1" w:after="100" w:afterAutospacing="1"/>
    </w:pPr>
    <w:rPr>
      <w:szCs w:val="24"/>
      <w:lang w:eastAsia="lt-LT"/>
    </w:rPr>
  </w:style>
  <w:style w:type="character" w:styleId="Puslapioinaosnuoroda">
    <w:name w:val="footnote reference"/>
    <w:basedOn w:val="Numatytasispastraiposriftas"/>
    <w:semiHidden/>
    <w:rsid w:val="00271560"/>
    <w:rPr>
      <w:rFonts w:ascii="Times New Roman" w:hAnsi="Times New Roman" w:cs="Times New Roman" w:hint="default"/>
      <w:vertAlign w:val="superscript"/>
    </w:rPr>
  </w:style>
  <w:style w:type="paragraph" w:customStyle="1" w:styleId="listparagraphcxspmiddlecxspmiddle">
    <w:name w:val="listparagraphcxspmiddlecxspmiddle"/>
    <w:basedOn w:val="prastasis"/>
    <w:rsid w:val="00271560"/>
    <w:pPr>
      <w:spacing w:before="100" w:beforeAutospacing="1" w:after="100" w:afterAutospacing="1"/>
      <w:ind w:firstLine="0"/>
    </w:pPr>
    <w:rPr>
      <w:rFonts w:ascii="Times New Roman" w:hAnsi="Times New Roman" w:cs="Times New Roman"/>
      <w:sz w:val="24"/>
      <w:szCs w:val="24"/>
      <w:lang w:eastAsia="lt-LT"/>
    </w:rPr>
  </w:style>
  <w:style w:type="paragraph" w:customStyle="1" w:styleId="listparagraphcxspmiddlecxsplast">
    <w:name w:val="listparagraphcxspmiddlecxsplast"/>
    <w:basedOn w:val="prastasis"/>
    <w:rsid w:val="00271560"/>
    <w:pPr>
      <w:spacing w:before="100" w:beforeAutospacing="1" w:after="100" w:afterAutospacing="1"/>
      <w:ind w:firstLine="0"/>
    </w:pPr>
    <w:rPr>
      <w:rFonts w:ascii="Times New Roman" w:hAnsi="Times New Roman" w:cs="Times New Roman"/>
      <w:sz w:val="24"/>
      <w:szCs w:val="24"/>
      <w:lang w:eastAsia="lt-LT"/>
    </w:rPr>
  </w:style>
  <w:style w:type="paragraph" w:customStyle="1" w:styleId="ListParagraph1">
    <w:name w:val="List Paragraph1"/>
    <w:basedOn w:val="prastasis"/>
    <w:rsid w:val="00271560"/>
    <w:pPr>
      <w:ind w:left="1296"/>
    </w:pPr>
  </w:style>
  <w:style w:type="paragraph" w:customStyle="1" w:styleId="listparagraph1cxspmiddle">
    <w:name w:val="listparagraph1cxspmiddle"/>
    <w:basedOn w:val="prastasis"/>
    <w:rsid w:val="00271560"/>
    <w:pPr>
      <w:spacing w:before="100" w:beforeAutospacing="1" w:after="100" w:afterAutospacing="1"/>
    </w:pPr>
    <w:rPr>
      <w:szCs w:val="24"/>
      <w:lang w:eastAsia="lt-LT"/>
    </w:rPr>
  </w:style>
  <w:style w:type="paragraph" w:styleId="Komentarotema">
    <w:name w:val="annotation subject"/>
    <w:basedOn w:val="Komentarotekstas"/>
    <w:next w:val="Komentarotekstas"/>
    <w:link w:val="KomentarotemaDiagrama"/>
    <w:rsid w:val="003D06B5"/>
    <w:rPr>
      <w:b/>
      <w:bCs/>
    </w:rPr>
  </w:style>
  <w:style w:type="character" w:customStyle="1" w:styleId="KomentarotekstasDiagrama">
    <w:name w:val="Komentaro tekstas Diagrama"/>
    <w:basedOn w:val="Numatytasispastraiposriftas"/>
    <w:link w:val="Komentarotekstas"/>
    <w:uiPriority w:val="99"/>
    <w:semiHidden/>
    <w:rsid w:val="003D06B5"/>
    <w:rPr>
      <w:rFonts w:ascii="Arial" w:eastAsia="Times New Roman" w:hAnsi="Arial" w:cs="Arial"/>
      <w:lang w:eastAsia="en-US"/>
    </w:rPr>
  </w:style>
  <w:style w:type="character" w:customStyle="1" w:styleId="KomentarotemaDiagrama">
    <w:name w:val="Komentaro tema Diagrama"/>
    <w:basedOn w:val="KomentarotekstasDiagrama"/>
    <w:link w:val="Komentarotema"/>
    <w:rsid w:val="003D06B5"/>
    <w:rPr>
      <w:rFonts w:ascii="Arial" w:eastAsia="Times New Roman" w:hAnsi="Arial" w:cs="Arial"/>
      <w:b/>
      <w:bCs/>
      <w:lang w:eastAsia="en-US"/>
    </w:rPr>
  </w:style>
  <w:style w:type="paragraph" w:styleId="Debesliotekstas">
    <w:name w:val="Balloon Text"/>
    <w:basedOn w:val="prastasis"/>
    <w:link w:val="DebesliotekstasDiagrama"/>
    <w:rsid w:val="003D06B5"/>
    <w:rPr>
      <w:rFonts w:ascii="Segoe UI" w:hAnsi="Segoe UI" w:cs="Segoe UI"/>
      <w:sz w:val="18"/>
      <w:szCs w:val="18"/>
    </w:rPr>
  </w:style>
  <w:style w:type="character" w:customStyle="1" w:styleId="DebesliotekstasDiagrama">
    <w:name w:val="Debesėlio tekstas Diagrama"/>
    <w:basedOn w:val="Numatytasispastraiposriftas"/>
    <w:link w:val="Debesliotekstas"/>
    <w:rsid w:val="003D06B5"/>
    <w:rPr>
      <w:rFonts w:ascii="Segoe UI" w:eastAsia="Times New Roman" w:hAnsi="Segoe UI" w:cs="Segoe UI"/>
      <w:sz w:val="18"/>
      <w:szCs w:val="18"/>
      <w:lang w:eastAsia="en-US"/>
    </w:rPr>
  </w:style>
  <w:style w:type="paragraph" w:styleId="Sraopastraipa">
    <w:name w:val="List Paragraph"/>
    <w:aliases w:val="Arial bulet,List Paragraph21,Lentele,List Paragraph2,Table of contents numbered,Bullet EY,ERP-List Paragraph,List Paragraph11,Numbering,Sąrašo pastraipa.Bullet,Sąrašo pastraipa;Bullet,Sąrašo pastraipa.Bullet1"/>
    <w:basedOn w:val="prastasis"/>
    <w:link w:val="SraopastraipaDiagrama"/>
    <w:qFormat/>
    <w:rsid w:val="003D06B5"/>
    <w:pPr>
      <w:ind w:left="720"/>
      <w:contextualSpacing/>
    </w:pPr>
  </w:style>
  <w:style w:type="character" w:customStyle="1" w:styleId="SraopastraipaDiagrama">
    <w:name w:val="Sąrašo pastraipa Diagrama"/>
    <w:aliases w:val="Arial bulet Diagrama,List Paragraph21 Diagrama,Lentele Diagrama,List Paragraph2 Diagrama,Table of contents numbered Diagrama,Bullet EY Diagrama,ERP-List Paragraph Diagrama,List Paragraph11 Diagrama,Numbering Diagrama"/>
    <w:basedOn w:val="Numatytasispastraiposriftas"/>
    <w:link w:val="Sraopastraipa"/>
    <w:locked/>
    <w:rsid w:val="0014017C"/>
    <w:rPr>
      <w:rFonts w:ascii="Arial" w:eastAsia="Times New Roman" w:hAnsi="Arial" w:cs="Arial"/>
      <w:lang w:eastAsia="en-US"/>
    </w:rPr>
  </w:style>
  <w:style w:type="character" w:customStyle="1" w:styleId="clear">
    <w:name w:val="clear"/>
    <w:basedOn w:val="Numatytasispastraiposriftas"/>
    <w:rsid w:val="00A7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81337">
      <w:bodyDiv w:val="1"/>
      <w:marLeft w:val="0"/>
      <w:marRight w:val="0"/>
      <w:marTop w:val="0"/>
      <w:marBottom w:val="0"/>
      <w:divBdr>
        <w:top w:val="none" w:sz="0" w:space="0" w:color="auto"/>
        <w:left w:val="none" w:sz="0" w:space="0" w:color="auto"/>
        <w:bottom w:val="none" w:sz="0" w:space="0" w:color="auto"/>
        <w:right w:val="none" w:sz="0" w:space="0" w:color="auto"/>
      </w:divBdr>
    </w:div>
    <w:div w:id="98720221">
      <w:bodyDiv w:val="1"/>
      <w:marLeft w:val="0"/>
      <w:marRight w:val="0"/>
      <w:marTop w:val="0"/>
      <w:marBottom w:val="0"/>
      <w:divBdr>
        <w:top w:val="none" w:sz="0" w:space="0" w:color="auto"/>
        <w:left w:val="none" w:sz="0" w:space="0" w:color="auto"/>
        <w:bottom w:val="none" w:sz="0" w:space="0" w:color="auto"/>
        <w:right w:val="none" w:sz="0" w:space="0" w:color="auto"/>
      </w:divBdr>
    </w:div>
    <w:div w:id="210729772">
      <w:bodyDiv w:val="1"/>
      <w:marLeft w:val="0"/>
      <w:marRight w:val="0"/>
      <w:marTop w:val="0"/>
      <w:marBottom w:val="0"/>
      <w:divBdr>
        <w:top w:val="none" w:sz="0" w:space="0" w:color="auto"/>
        <w:left w:val="none" w:sz="0" w:space="0" w:color="auto"/>
        <w:bottom w:val="none" w:sz="0" w:space="0" w:color="auto"/>
        <w:right w:val="none" w:sz="0" w:space="0" w:color="auto"/>
      </w:divBdr>
    </w:div>
    <w:div w:id="325937340">
      <w:bodyDiv w:val="1"/>
      <w:marLeft w:val="0"/>
      <w:marRight w:val="0"/>
      <w:marTop w:val="0"/>
      <w:marBottom w:val="0"/>
      <w:divBdr>
        <w:top w:val="none" w:sz="0" w:space="0" w:color="auto"/>
        <w:left w:val="none" w:sz="0" w:space="0" w:color="auto"/>
        <w:bottom w:val="none" w:sz="0" w:space="0" w:color="auto"/>
        <w:right w:val="none" w:sz="0" w:space="0" w:color="auto"/>
      </w:divBdr>
    </w:div>
    <w:div w:id="335572722">
      <w:bodyDiv w:val="1"/>
      <w:marLeft w:val="0"/>
      <w:marRight w:val="0"/>
      <w:marTop w:val="0"/>
      <w:marBottom w:val="0"/>
      <w:divBdr>
        <w:top w:val="none" w:sz="0" w:space="0" w:color="auto"/>
        <w:left w:val="none" w:sz="0" w:space="0" w:color="auto"/>
        <w:bottom w:val="none" w:sz="0" w:space="0" w:color="auto"/>
        <w:right w:val="none" w:sz="0" w:space="0" w:color="auto"/>
      </w:divBdr>
    </w:div>
    <w:div w:id="454062279">
      <w:bodyDiv w:val="1"/>
      <w:marLeft w:val="0"/>
      <w:marRight w:val="0"/>
      <w:marTop w:val="0"/>
      <w:marBottom w:val="0"/>
      <w:divBdr>
        <w:top w:val="none" w:sz="0" w:space="0" w:color="auto"/>
        <w:left w:val="none" w:sz="0" w:space="0" w:color="auto"/>
        <w:bottom w:val="none" w:sz="0" w:space="0" w:color="auto"/>
        <w:right w:val="none" w:sz="0" w:space="0" w:color="auto"/>
      </w:divBdr>
    </w:div>
    <w:div w:id="475221389">
      <w:bodyDiv w:val="1"/>
      <w:marLeft w:val="0"/>
      <w:marRight w:val="0"/>
      <w:marTop w:val="0"/>
      <w:marBottom w:val="0"/>
      <w:divBdr>
        <w:top w:val="none" w:sz="0" w:space="0" w:color="auto"/>
        <w:left w:val="none" w:sz="0" w:space="0" w:color="auto"/>
        <w:bottom w:val="none" w:sz="0" w:space="0" w:color="auto"/>
        <w:right w:val="none" w:sz="0" w:space="0" w:color="auto"/>
      </w:divBdr>
    </w:div>
    <w:div w:id="488257123">
      <w:bodyDiv w:val="1"/>
      <w:marLeft w:val="0"/>
      <w:marRight w:val="0"/>
      <w:marTop w:val="0"/>
      <w:marBottom w:val="0"/>
      <w:divBdr>
        <w:top w:val="none" w:sz="0" w:space="0" w:color="auto"/>
        <w:left w:val="none" w:sz="0" w:space="0" w:color="auto"/>
        <w:bottom w:val="none" w:sz="0" w:space="0" w:color="auto"/>
        <w:right w:val="none" w:sz="0" w:space="0" w:color="auto"/>
      </w:divBdr>
    </w:div>
    <w:div w:id="541401373">
      <w:bodyDiv w:val="1"/>
      <w:marLeft w:val="0"/>
      <w:marRight w:val="0"/>
      <w:marTop w:val="0"/>
      <w:marBottom w:val="0"/>
      <w:divBdr>
        <w:top w:val="none" w:sz="0" w:space="0" w:color="auto"/>
        <w:left w:val="none" w:sz="0" w:space="0" w:color="auto"/>
        <w:bottom w:val="none" w:sz="0" w:space="0" w:color="auto"/>
        <w:right w:val="none" w:sz="0" w:space="0" w:color="auto"/>
      </w:divBdr>
    </w:div>
    <w:div w:id="560600197">
      <w:bodyDiv w:val="1"/>
      <w:marLeft w:val="0"/>
      <w:marRight w:val="0"/>
      <w:marTop w:val="0"/>
      <w:marBottom w:val="0"/>
      <w:divBdr>
        <w:top w:val="none" w:sz="0" w:space="0" w:color="auto"/>
        <w:left w:val="none" w:sz="0" w:space="0" w:color="auto"/>
        <w:bottom w:val="none" w:sz="0" w:space="0" w:color="auto"/>
        <w:right w:val="none" w:sz="0" w:space="0" w:color="auto"/>
      </w:divBdr>
    </w:div>
    <w:div w:id="576670445">
      <w:bodyDiv w:val="1"/>
      <w:marLeft w:val="0"/>
      <w:marRight w:val="0"/>
      <w:marTop w:val="0"/>
      <w:marBottom w:val="0"/>
      <w:divBdr>
        <w:top w:val="none" w:sz="0" w:space="0" w:color="auto"/>
        <w:left w:val="none" w:sz="0" w:space="0" w:color="auto"/>
        <w:bottom w:val="none" w:sz="0" w:space="0" w:color="auto"/>
        <w:right w:val="none" w:sz="0" w:space="0" w:color="auto"/>
      </w:divBdr>
      <w:divsChild>
        <w:div w:id="1107962210">
          <w:marLeft w:val="0"/>
          <w:marRight w:val="0"/>
          <w:marTop w:val="0"/>
          <w:marBottom w:val="0"/>
          <w:divBdr>
            <w:top w:val="none" w:sz="0" w:space="0" w:color="auto"/>
            <w:left w:val="none" w:sz="0" w:space="0" w:color="auto"/>
            <w:bottom w:val="none" w:sz="0" w:space="0" w:color="auto"/>
            <w:right w:val="none" w:sz="0" w:space="0" w:color="auto"/>
          </w:divBdr>
        </w:div>
      </w:divsChild>
    </w:div>
    <w:div w:id="657926035">
      <w:bodyDiv w:val="1"/>
      <w:marLeft w:val="0"/>
      <w:marRight w:val="0"/>
      <w:marTop w:val="0"/>
      <w:marBottom w:val="0"/>
      <w:divBdr>
        <w:top w:val="none" w:sz="0" w:space="0" w:color="auto"/>
        <w:left w:val="none" w:sz="0" w:space="0" w:color="auto"/>
        <w:bottom w:val="none" w:sz="0" w:space="0" w:color="auto"/>
        <w:right w:val="none" w:sz="0" w:space="0" w:color="auto"/>
      </w:divBdr>
    </w:div>
    <w:div w:id="699472822">
      <w:bodyDiv w:val="1"/>
      <w:marLeft w:val="0"/>
      <w:marRight w:val="0"/>
      <w:marTop w:val="0"/>
      <w:marBottom w:val="0"/>
      <w:divBdr>
        <w:top w:val="none" w:sz="0" w:space="0" w:color="auto"/>
        <w:left w:val="none" w:sz="0" w:space="0" w:color="auto"/>
        <w:bottom w:val="none" w:sz="0" w:space="0" w:color="auto"/>
        <w:right w:val="none" w:sz="0" w:space="0" w:color="auto"/>
      </w:divBdr>
    </w:div>
    <w:div w:id="727412870">
      <w:bodyDiv w:val="1"/>
      <w:marLeft w:val="0"/>
      <w:marRight w:val="0"/>
      <w:marTop w:val="0"/>
      <w:marBottom w:val="0"/>
      <w:divBdr>
        <w:top w:val="none" w:sz="0" w:space="0" w:color="auto"/>
        <w:left w:val="none" w:sz="0" w:space="0" w:color="auto"/>
        <w:bottom w:val="none" w:sz="0" w:space="0" w:color="auto"/>
        <w:right w:val="none" w:sz="0" w:space="0" w:color="auto"/>
      </w:divBdr>
    </w:div>
    <w:div w:id="809595184">
      <w:bodyDiv w:val="1"/>
      <w:marLeft w:val="0"/>
      <w:marRight w:val="0"/>
      <w:marTop w:val="0"/>
      <w:marBottom w:val="0"/>
      <w:divBdr>
        <w:top w:val="none" w:sz="0" w:space="0" w:color="auto"/>
        <w:left w:val="none" w:sz="0" w:space="0" w:color="auto"/>
        <w:bottom w:val="none" w:sz="0" w:space="0" w:color="auto"/>
        <w:right w:val="none" w:sz="0" w:space="0" w:color="auto"/>
      </w:divBdr>
    </w:div>
    <w:div w:id="814226804">
      <w:bodyDiv w:val="1"/>
      <w:marLeft w:val="0"/>
      <w:marRight w:val="0"/>
      <w:marTop w:val="0"/>
      <w:marBottom w:val="0"/>
      <w:divBdr>
        <w:top w:val="none" w:sz="0" w:space="0" w:color="auto"/>
        <w:left w:val="none" w:sz="0" w:space="0" w:color="auto"/>
        <w:bottom w:val="none" w:sz="0" w:space="0" w:color="auto"/>
        <w:right w:val="none" w:sz="0" w:space="0" w:color="auto"/>
      </w:divBdr>
    </w:div>
    <w:div w:id="830291024">
      <w:bodyDiv w:val="1"/>
      <w:marLeft w:val="0"/>
      <w:marRight w:val="0"/>
      <w:marTop w:val="0"/>
      <w:marBottom w:val="0"/>
      <w:divBdr>
        <w:top w:val="none" w:sz="0" w:space="0" w:color="auto"/>
        <w:left w:val="none" w:sz="0" w:space="0" w:color="auto"/>
        <w:bottom w:val="none" w:sz="0" w:space="0" w:color="auto"/>
        <w:right w:val="none" w:sz="0" w:space="0" w:color="auto"/>
      </w:divBdr>
    </w:div>
    <w:div w:id="833495731">
      <w:bodyDiv w:val="1"/>
      <w:marLeft w:val="0"/>
      <w:marRight w:val="0"/>
      <w:marTop w:val="0"/>
      <w:marBottom w:val="0"/>
      <w:divBdr>
        <w:top w:val="none" w:sz="0" w:space="0" w:color="auto"/>
        <w:left w:val="none" w:sz="0" w:space="0" w:color="auto"/>
        <w:bottom w:val="none" w:sz="0" w:space="0" w:color="auto"/>
        <w:right w:val="none" w:sz="0" w:space="0" w:color="auto"/>
      </w:divBdr>
    </w:div>
    <w:div w:id="835650513">
      <w:bodyDiv w:val="1"/>
      <w:marLeft w:val="0"/>
      <w:marRight w:val="0"/>
      <w:marTop w:val="0"/>
      <w:marBottom w:val="0"/>
      <w:divBdr>
        <w:top w:val="none" w:sz="0" w:space="0" w:color="auto"/>
        <w:left w:val="none" w:sz="0" w:space="0" w:color="auto"/>
        <w:bottom w:val="none" w:sz="0" w:space="0" w:color="auto"/>
        <w:right w:val="none" w:sz="0" w:space="0" w:color="auto"/>
      </w:divBdr>
    </w:div>
    <w:div w:id="1117065614">
      <w:bodyDiv w:val="1"/>
      <w:marLeft w:val="0"/>
      <w:marRight w:val="0"/>
      <w:marTop w:val="0"/>
      <w:marBottom w:val="0"/>
      <w:divBdr>
        <w:top w:val="none" w:sz="0" w:space="0" w:color="auto"/>
        <w:left w:val="none" w:sz="0" w:space="0" w:color="auto"/>
        <w:bottom w:val="none" w:sz="0" w:space="0" w:color="auto"/>
        <w:right w:val="none" w:sz="0" w:space="0" w:color="auto"/>
      </w:divBdr>
    </w:div>
    <w:div w:id="1183282326">
      <w:bodyDiv w:val="1"/>
      <w:marLeft w:val="0"/>
      <w:marRight w:val="0"/>
      <w:marTop w:val="0"/>
      <w:marBottom w:val="0"/>
      <w:divBdr>
        <w:top w:val="none" w:sz="0" w:space="0" w:color="auto"/>
        <w:left w:val="none" w:sz="0" w:space="0" w:color="auto"/>
        <w:bottom w:val="none" w:sz="0" w:space="0" w:color="auto"/>
        <w:right w:val="none" w:sz="0" w:space="0" w:color="auto"/>
      </w:divBdr>
    </w:div>
    <w:div w:id="1368217750">
      <w:bodyDiv w:val="1"/>
      <w:marLeft w:val="0"/>
      <w:marRight w:val="0"/>
      <w:marTop w:val="0"/>
      <w:marBottom w:val="0"/>
      <w:divBdr>
        <w:top w:val="none" w:sz="0" w:space="0" w:color="auto"/>
        <w:left w:val="none" w:sz="0" w:space="0" w:color="auto"/>
        <w:bottom w:val="none" w:sz="0" w:space="0" w:color="auto"/>
        <w:right w:val="none" w:sz="0" w:space="0" w:color="auto"/>
      </w:divBdr>
    </w:div>
    <w:div w:id="1371421126">
      <w:bodyDiv w:val="1"/>
      <w:marLeft w:val="0"/>
      <w:marRight w:val="0"/>
      <w:marTop w:val="0"/>
      <w:marBottom w:val="0"/>
      <w:divBdr>
        <w:top w:val="none" w:sz="0" w:space="0" w:color="auto"/>
        <w:left w:val="none" w:sz="0" w:space="0" w:color="auto"/>
        <w:bottom w:val="none" w:sz="0" w:space="0" w:color="auto"/>
        <w:right w:val="none" w:sz="0" w:space="0" w:color="auto"/>
      </w:divBdr>
    </w:div>
    <w:div w:id="1418596679">
      <w:bodyDiv w:val="1"/>
      <w:marLeft w:val="0"/>
      <w:marRight w:val="0"/>
      <w:marTop w:val="0"/>
      <w:marBottom w:val="0"/>
      <w:divBdr>
        <w:top w:val="none" w:sz="0" w:space="0" w:color="auto"/>
        <w:left w:val="none" w:sz="0" w:space="0" w:color="auto"/>
        <w:bottom w:val="none" w:sz="0" w:space="0" w:color="auto"/>
        <w:right w:val="none" w:sz="0" w:space="0" w:color="auto"/>
      </w:divBdr>
    </w:div>
    <w:div w:id="1487281180">
      <w:bodyDiv w:val="1"/>
      <w:marLeft w:val="0"/>
      <w:marRight w:val="0"/>
      <w:marTop w:val="0"/>
      <w:marBottom w:val="0"/>
      <w:divBdr>
        <w:top w:val="none" w:sz="0" w:space="0" w:color="auto"/>
        <w:left w:val="none" w:sz="0" w:space="0" w:color="auto"/>
        <w:bottom w:val="none" w:sz="0" w:space="0" w:color="auto"/>
        <w:right w:val="none" w:sz="0" w:space="0" w:color="auto"/>
      </w:divBdr>
    </w:div>
    <w:div w:id="1494374664">
      <w:bodyDiv w:val="1"/>
      <w:marLeft w:val="0"/>
      <w:marRight w:val="0"/>
      <w:marTop w:val="0"/>
      <w:marBottom w:val="0"/>
      <w:divBdr>
        <w:top w:val="none" w:sz="0" w:space="0" w:color="auto"/>
        <w:left w:val="none" w:sz="0" w:space="0" w:color="auto"/>
        <w:bottom w:val="none" w:sz="0" w:space="0" w:color="auto"/>
        <w:right w:val="none" w:sz="0" w:space="0" w:color="auto"/>
      </w:divBdr>
    </w:div>
    <w:div w:id="1563321906">
      <w:bodyDiv w:val="1"/>
      <w:marLeft w:val="0"/>
      <w:marRight w:val="0"/>
      <w:marTop w:val="0"/>
      <w:marBottom w:val="0"/>
      <w:divBdr>
        <w:top w:val="none" w:sz="0" w:space="0" w:color="auto"/>
        <w:left w:val="none" w:sz="0" w:space="0" w:color="auto"/>
        <w:bottom w:val="none" w:sz="0" w:space="0" w:color="auto"/>
        <w:right w:val="none" w:sz="0" w:space="0" w:color="auto"/>
      </w:divBdr>
    </w:div>
    <w:div w:id="1660310748">
      <w:bodyDiv w:val="1"/>
      <w:marLeft w:val="0"/>
      <w:marRight w:val="0"/>
      <w:marTop w:val="0"/>
      <w:marBottom w:val="0"/>
      <w:divBdr>
        <w:top w:val="none" w:sz="0" w:space="0" w:color="auto"/>
        <w:left w:val="none" w:sz="0" w:space="0" w:color="auto"/>
        <w:bottom w:val="none" w:sz="0" w:space="0" w:color="auto"/>
        <w:right w:val="none" w:sz="0" w:space="0" w:color="auto"/>
      </w:divBdr>
    </w:div>
    <w:div w:id="1727485441">
      <w:bodyDiv w:val="1"/>
      <w:marLeft w:val="0"/>
      <w:marRight w:val="0"/>
      <w:marTop w:val="0"/>
      <w:marBottom w:val="0"/>
      <w:divBdr>
        <w:top w:val="none" w:sz="0" w:space="0" w:color="auto"/>
        <w:left w:val="none" w:sz="0" w:space="0" w:color="auto"/>
        <w:bottom w:val="none" w:sz="0" w:space="0" w:color="auto"/>
        <w:right w:val="none" w:sz="0" w:space="0" w:color="auto"/>
      </w:divBdr>
    </w:div>
    <w:div w:id="1747148904">
      <w:bodyDiv w:val="1"/>
      <w:marLeft w:val="0"/>
      <w:marRight w:val="0"/>
      <w:marTop w:val="0"/>
      <w:marBottom w:val="0"/>
      <w:divBdr>
        <w:top w:val="none" w:sz="0" w:space="0" w:color="auto"/>
        <w:left w:val="none" w:sz="0" w:space="0" w:color="auto"/>
        <w:bottom w:val="none" w:sz="0" w:space="0" w:color="auto"/>
        <w:right w:val="none" w:sz="0" w:space="0" w:color="auto"/>
      </w:divBdr>
    </w:div>
    <w:div w:id="1786342529">
      <w:bodyDiv w:val="1"/>
      <w:marLeft w:val="0"/>
      <w:marRight w:val="0"/>
      <w:marTop w:val="0"/>
      <w:marBottom w:val="0"/>
      <w:divBdr>
        <w:top w:val="none" w:sz="0" w:space="0" w:color="auto"/>
        <w:left w:val="none" w:sz="0" w:space="0" w:color="auto"/>
        <w:bottom w:val="none" w:sz="0" w:space="0" w:color="auto"/>
        <w:right w:val="none" w:sz="0" w:space="0" w:color="auto"/>
      </w:divBdr>
    </w:div>
    <w:div w:id="1804152861">
      <w:bodyDiv w:val="1"/>
      <w:marLeft w:val="0"/>
      <w:marRight w:val="0"/>
      <w:marTop w:val="0"/>
      <w:marBottom w:val="0"/>
      <w:divBdr>
        <w:top w:val="none" w:sz="0" w:space="0" w:color="auto"/>
        <w:left w:val="none" w:sz="0" w:space="0" w:color="auto"/>
        <w:bottom w:val="none" w:sz="0" w:space="0" w:color="auto"/>
        <w:right w:val="none" w:sz="0" w:space="0" w:color="auto"/>
      </w:divBdr>
      <w:divsChild>
        <w:div w:id="528840798">
          <w:marLeft w:val="0"/>
          <w:marRight w:val="0"/>
          <w:marTop w:val="0"/>
          <w:marBottom w:val="0"/>
          <w:divBdr>
            <w:top w:val="none" w:sz="0" w:space="0" w:color="auto"/>
            <w:left w:val="none" w:sz="0" w:space="0" w:color="auto"/>
            <w:bottom w:val="none" w:sz="0" w:space="0" w:color="auto"/>
            <w:right w:val="none" w:sz="0" w:space="0" w:color="auto"/>
          </w:divBdr>
        </w:div>
      </w:divsChild>
    </w:div>
    <w:div w:id="1810897390">
      <w:bodyDiv w:val="1"/>
      <w:marLeft w:val="0"/>
      <w:marRight w:val="0"/>
      <w:marTop w:val="0"/>
      <w:marBottom w:val="0"/>
      <w:divBdr>
        <w:top w:val="none" w:sz="0" w:space="0" w:color="auto"/>
        <w:left w:val="none" w:sz="0" w:space="0" w:color="auto"/>
        <w:bottom w:val="none" w:sz="0" w:space="0" w:color="auto"/>
        <w:right w:val="none" w:sz="0" w:space="0" w:color="auto"/>
      </w:divBdr>
    </w:div>
    <w:div w:id="1821995648">
      <w:bodyDiv w:val="1"/>
      <w:marLeft w:val="0"/>
      <w:marRight w:val="0"/>
      <w:marTop w:val="0"/>
      <w:marBottom w:val="0"/>
      <w:divBdr>
        <w:top w:val="none" w:sz="0" w:space="0" w:color="auto"/>
        <w:left w:val="none" w:sz="0" w:space="0" w:color="auto"/>
        <w:bottom w:val="none" w:sz="0" w:space="0" w:color="auto"/>
        <w:right w:val="none" w:sz="0" w:space="0" w:color="auto"/>
      </w:divBdr>
    </w:div>
    <w:div w:id="1846745367">
      <w:bodyDiv w:val="1"/>
      <w:marLeft w:val="0"/>
      <w:marRight w:val="0"/>
      <w:marTop w:val="0"/>
      <w:marBottom w:val="0"/>
      <w:divBdr>
        <w:top w:val="none" w:sz="0" w:space="0" w:color="auto"/>
        <w:left w:val="none" w:sz="0" w:space="0" w:color="auto"/>
        <w:bottom w:val="none" w:sz="0" w:space="0" w:color="auto"/>
        <w:right w:val="none" w:sz="0" w:space="0" w:color="auto"/>
      </w:divBdr>
    </w:div>
    <w:div w:id="20535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13680</Words>
  <Characters>7799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2013 01 01</vt:lpstr>
      <vt:lpstr>NAUJA REDAKCIJA nuo 2013 01 01</vt:lpstr>
    </vt:vector>
  </TitlesOfParts>
  <Company>Infolex</Company>
  <LinksUpToDate>false</LinksUpToDate>
  <CharactersWithSpaces>21437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2019-06-10T06:11:00Z</dcterms:created>
  <dc:creator>algirdas</dc:creator>
  <cp:lastModifiedBy>Virmantė Voinilko</cp:lastModifiedBy>
  <dcterms:modified xsi:type="dcterms:W3CDTF">2019-06-11T07:49:00Z</dcterms:modified>
  <cp:revision>6</cp:revision>
  <dc:title>NAUJA REDAKCIJA nuo 2013 01 01</dc:title>
</cp:coreProperties>
</file>