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DCF" w:rsidRDefault="00EF7D79">
      <w:pPr>
        <w:tabs>
          <w:tab w:val="left" w:pos="720"/>
          <w:tab w:val="left" w:pos="1418"/>
          <w:tab w:val="left" w:pos="2268"/>
        </w:tabs>
        <w:ind w:firstLine="709"/>
        <w:jc w:val="center"/>
        <w:rPr>
          <w:b/>
          <w:bCs/>
          <w:caps/>
        </w:rPr>
      </w:pPr>
      <w:r>
        <w:rPr>
          <w:b/>
          <w:bCs/>
          <w:caps/>
        </w:rPr>
        <w:t>LIETUVOS RESPUBLIKOS ĮSTATYMO</w:t>
      </w:r>
    </w:p>
    <w:p w:rsidR="007D0DCF" w:rsidRDefault="00EF7D79">
      <w:pPr>
        <w:tabs>
          <w:tab w:val="left" w:pos="284"/>
          <w:tab w:val="left" w:pos="720"/>
        </w:tabs>
        <w:ind w:firstLine="709"/>
        <w:jc w:val="center"/>
        <w:rPr>
          <w:b/>
        </w:rPr>
      </w:pPr>
      <w:r>
        <w:rPr>
          <w:b/>
        </w:rPr>
        <w:t xml:space="preserve">„DĖL TRANSEUROPINIO GELEŽINKELIO (TER) KREDITO FONDO </w:t>
      </w:r>
    </w:p>
    <w:p w:rsidR="007D0DCF" w:rsidRDefault="00EF7D79">
      <w:pPr>
        <w:tabs>
          <w:tab w:val="left" w:pos="284"/>
          <w:tab w:val="left" w:pos="720"/>
        </w:tabs>
        <w:ind w:firstLine="709"/>
        <w:jc w:val="center"/>
        <w:rPr>
          <w:b/>
          <w:bCs/>
          <w:caps/>
        </w:rPr>
      </w:pPr>
      <w:r>
        <w:rPr>
          <w:b/>
        </w:rPr>
        <w:t>SUSITARIMO DĖL BENDRADARBIAVIMO DENONSAVIMO“</w:t>
      </w:r>
      <w:r>
        <w:rPr>
          <w:b/>
          <w:bCs/>
          <w:caps/>
        </w:rPr>
        <w:t xml:space="preserve"> PROJEKTO</w:t>
      </w:r>
    </w:p>
    <w:p w:rsidR="007D0DCF" w:rsidRDefault="00EF7D79">
      <w:pPr>
        <w:tabs>
          <w:tab w:val="left" w:pos="284"/>
          <w:tab w:val="left" w:pos="720"/>
        </w:tabs>
        <w:ind w:firstLine="709"/>
        <w:jc w:val="center"/>
        <w:rPr>
          <w:b/>
        </w:rPr>
      </w:pPr>
      <w:r>
        <w:rPr>
          <w:b/>
        </w:rPr>
        <w:t>AIŠKINAMASIS RAŠTAS</w:t>
      </w:r>
    </w:p>
    <w:p w:rsidR="007D0DCF" w:rsidRDefault="007D0DCF">
      <w:pPr>
        <w:ind w:firstLine="709"/>
        <w:jc w:val="both"/>
        <w:rPr>
          <w:b/>
        </w:rPr>
      </w:pPr>
    </w:p>
    <w:p w:rsidR="007D0DCF" w:rsidRDefault="007D0DCF">
      <w:pPr>
        <w:ind w:firstLine="709"/>
        <w:jc w:val="both"/>
        <w:rPr>
          <w:b/>
        </w:rPr>
      </w:pPr>
    </w:p>
    <w:p w:rsidR="007D0DCF" w:rsidRDefault="007D0DCF">
      <w:pPr>
        <w:ind w:firstLine="709"/>
        <w:jc w:val="both"/>
        <w:rPr>
          <w:b/>
        </w:rPr>
      </w:pPr>
    </w:p>
    <w:p w:rsidR="007D0DCF" w:rsidRDefault="007D0DCF">
      <w:pPr>
        <w:ind w:firstLine="709"/>
        <w:jc w:val="both"/>
        <w:rPr>
          <w:b/>
        </w:rPr>
      </w:pPr>
    </w:p>
    <w:p w:rsidR="007D0DCF" w:rsidRDefault="00EF7D79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1. Įstatymo projekto rengimą paskatinusios priežastys, parengto projekto tikslai ir uždaviniai. </w:t>
      </w:r>
    </w:p>
    <w:p w:rsidR="007D0DCF" w:rsidRDefault="00EF7D79">
      <w:pPr>
        <w:pStyle w:val="NoSpacing"/>
        <w:spacing w:line="276" w:lineRule="auto"/>
        <w:ind w:firstLine="709"/>
        <w:jc w:val="both"/>
      </w:pPr>
      <w:r>
        <w:t>Įstatymo projekto rengimą paskatinusios priežastys:</w:t>
      </w:r>
    </w:p>
    <w:p w:rsidR="007D0DCF" w:rsidRDefault="00EF7D79">
      <w:pPr>
        <w:pStyle w:val="NoSpacing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</w:t>
      </w:r>
      <w:proofErr w:type="spellStart"/>
      <w:r>
        <w:rPr>
          <w:rFonts w:eastAsia="Calibri"/>
        </w:rPr>
        <w:t>Transeuropinio</w:t>
      </w:r>
      <w:proofErr w:type="spellEnd"/>
      <w:r>
        <w:rPr>
          <w:rFonts w:eastAsia="Calibri"/>
        </w:rPr>
        <w:t xml:space="preserve"> geležinkelio (TER) kredito fondo susitarimo dėl bendradarbiavimo (toliau –</w:t>
      </w:r>
    </w:p>
    <w:p w:rsidR="007D0DCF" w:rsidRDefault="00EF7D79">
      <w:pPr>
        <w:pStyle w:val="NoSpacing"/>
        <w:spacing w:line="276" w:lineRule="auto"/>
        <w:jc w:val="both"/>
        <w:rPr>
          <w:rFonts w:eastAsia="Calibri"/>
        </w:rPr>
      </w:pPr>
      <w:r>
        <w:rPr>
          <w:rFonts w:eastAsia="Calibri"/>
        </w:rPr>
        <w:t>Susitarimas) ti</w:t>
      </w:r>
      <w:r>
        <w:rPr>
          <w:rFonts w:eastAsia="Calibri"/>
        </w:rPr>
        <w:t xml:space="preserve">kslai </w:t>
      </w:r>
      <w:r>
        <w:t xml:space="preserve">(infrastruktūros plėtojimas, geležinkelių technikos ir technologijų tobulinimas ir derinimas ir pan.) dubliuojasi su kitų organizacijų, kurių narė yra Lietuva, veiklos tikslais ir sprendžiamais klausimais, </w:t>
      </w:r>
      <w:r>
        <w:rPr>
          <w:rFonts w:eastAsia="Calibri"/>
        </w:rPr>
        <w:t>todėl dalyvavimas TER organizacijoje nesukur</w:t>
      </w:r>
      <w:r>
        <w:rPr>
          <w:rFonts w:eastAsia="Calibri"/>
        </w:rPr>
        <w:t>ia pridėtinės vertės Lietuvai;</w:t>
      </w:r>
    </w:p>
    <w:p w:rsidR="007D0DCF" w:rsidRDefault="00EF7D79">
      <w:pPr>
        <w:pStyle w:val="NoSpacing"/>
        <w:spacing w:line="276" w:lineRule="auto"/>
        <w:ind w:firstLine="720"/>
        <w:jc w:val="both"/>
        <w:rPr>
          <w:rFonts w:eastAsia="Calibri"/>
        </w:rPr>
      </w:pPr>
      <w:r>
        <w:t xml:space="preserve">- nutraukus Susitarimą, TER Susitarimui įgyvendinti tvirtinamose darbo programose numatytos veiklos bus vykdomos </w:t>
      </w:r>
      <w:r>
        <w:rPr>
          <w:color w:val="000000"/>
        </w:rPr>
        <w:t>Tarptautinio geležinkelių transporto organizacijos (</w:t>
      </w:r>
      <w:r>
        <w:t>OTIF), Geležinkelių bendradarbiavimo organizacijos (OSŽD), E</w:t>
      </w:r>
      <w:r>
        <w:t>uropos Komisijos įvairiuose formatuose (</w:t>
      </w:r>
      <w:r>
        <w:rPr>
          <w:rStyle w:val="st1"/>
        </w:rPr>
        <w:t xml:space="preserve">Europos Komisijos Mobilumo ir transporto generalinis </w:t>
      </w:r>
      <w:r>
        <w:rPr>
          <w:rStyle w:val="Emphasis"/>
          <w:b w:val="0"/>
        </w:rPr>
        <w:t xml:space="preserve">direktoratas, Inovacijų ir tinklų vykdomoji agentūra (INEA), Šiaurės jūros – Baltijos </w:t>
      </w:r>
      <w:r>
        <w:rPr>
          <w:rStyle w:val="Emphasis"/>
          <w:b w:val="0"/>
        </w:rPr>
        <w:t xml:space="preserve">jūros </w:t>
      </w:r>
      <w:r>
        <w:rPr>
          <w:rStyle w:val="Emphasis"/>
          <w:b w:val="0"/>
        </w:rPr>
        <w:t>pagrindinis koridorius, programa „</w:t>
      </w:r>
      <w:proofErr w:type="spellStart"/>
      <w:r>
        <w:rPr>
          <w:rStyle w:val="Emphasis"/>
          <w:b w:val="0"/>
        </w:rPr>
        <w:t>Horizon</w:t>
      </w:r>
      <w:proofErr w:type="spellEnd"/>
      <w:r>
        <w:rPr>
          <w:rStyle w:val="Emphasis"/>
          <w:b w:val="0"/>
        </w:rPr>
        <w:t xml:space="preserve"> 2020“</w:t>
      </w:r>
      <w:r>
        <w:t>);</w:t>
      </w:r>
    </w:p>
    <w:p w:rsidR="007D0DCF" w:rsidRDefault="00EF7D79">
      <w:pPr>
        <w:spacing w:line="276" w:lineRule="auto"/>
        <w:ind w:firstLine="720"/>
        <w:jc w:val="both"/>
        <w:rPr>
          <w:color w:val="000000"/>
          <w:lang w:eastAsia="lt-LT"/>
        </w:rPr>
      </w:pPr>
      <w:r>
        <w:rPr>
          <w:rFonts w:eastAsia="Calibri"/>
        </w:rPr>
        <w:t xml:space="preserve">- </w:t>
      </w:r>
      <w:r>
        <w:rPr>
          <w:color w:val="000000"/>
          <w:lang w:eastAsia="lt-LT"/>
        </w:rPr>
        <w:t>TER veikla yra labi</w:t>
      </w:r>
      <w:r>
        <w:rPr>
          <w:color w:val="000000"/>
          <w:lang w:eastAsia="lt-LT"/>
        </w:rPr>
        <w:t>au apžvalginio pobūdžio, t. y. apžvelgiami šalyse</w:t>
      </w:r>
      <w:r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narėse vykstantys ir planuojami plėtros planai, o konkrečios rekomendacijos nėra teikiamos, todėl Lietuvai išstojus iš TER ir toliau bus užtikrinamas geležinkelių transporto saugos ir infrastruktūros plėt</w:t>
      </w:r>
      <w:r>
        <w:rPr>
          <w:color w:val="000000"/>
          <w:lang w:eastAsia="lt-LT"/>
        </w:rPr>
        <w:t>ros klausimų sprendimas;</w:t>
      </w:r>
    </w:p>
    <w:p w:rsidR="007D0DCF" w:rsidRDefault="00EF7D79">
      <w:pPr>
        <w:spacing w:line="276" w:lineRule="auto"/>
        <w:ind w:firstLine="720"/>
        <w:jc w:val="both"/>
      </w:pPr>
      <w:r>
        <w:rPr>
          <w:color w:val="000000"/>
          <w:lang w:eastAsia="lt-LT"/>
        </w:rPr>
        <w:t>- Lietuva moka k</w:t>
      </w:r>
      <w:r>
        <w:t xml:space="preserve">asmetinį nario mokestį – </w:t>
      </w:r>
      <w:r>
        <w:t xml:space="preserve">10 000 </w:t>
      </w:r>
      <w:r>
        <w:t xml:space="preserve">USD (8 730 Eur pagal </w:t>
      </w:r>
      <w:r>
        <w:rPr>
          <w:rStyle w:val="data-text"/>
        </w:rPr>
        <w:t>2019</w:t>
      </w:r>
      <w:r>
        <w:rPr>
          <w:rStyle w:val="data-text"/>
        </w:rPr>
        <w:t>-</w:t>
      </w:r>
      <w:r>
        <w:rPr>
          <w:rStyle w:val="data-text"/>
        </w:rPr>
        <w:t>01-</w:t>
      </w:r>
      <w:r>
        <w:rPr>
          <w:rStyle w:val="data-text"/>
        </w:rPr>
        <w:t>10</w:t>
      </w:r>
      <w:r>
        <w:rPr>
          <w:rStyle w:val="data-text"/>
        </w:rPr>
        <w:t xml:space="preserve"> Europos centrinio banko skelbiamą </w:t>
      </w:r>
      <w:r>
        <w:t>oficialų dolerio ir euro santykį), tačiau nėra gavusi finansavimo iš kredito fondo.</w:t>
      </w:r>
    </w:p>
    <w:p w:rsidR="007D0DCF" w:rsidRDefault="00EF7D79">
      <w:pPr>
        <w:pStyle w:val="NoSpacing"/>
        <w:spacing w:line="276" w:lineRule="auto"/>
        <w:ind w:firstLine="709"/>
        <w:jc w:val="both"/>
      </w:pPr>
      <w:r>
        <w:t xml:space="preserve">Įstatymo projekto tikslas – denonsuoti 1998 m. spalio 23 d. </w:t>
      </w:r>
      <w:r>
        <w:t xml:space="preserve">Vilniuje  pasirašytą </w:t>
      </w:r>
      <w:proofErr w:type="spellStart"/>
      <w:r>
        <w:t>Transeuropinio</w:t>
      </w:r>
      <w:proofErr w:type="spellEnd"/>
      <w:r>
        <w:t xml:space="preserve"> geležinkelio (TER) kredito fondo susitarimą dėl bendradarbiavimo, ratifikuotą </w:t>
      </w:r>
      <w:bookmarkStart w:id="0" w:name="data_metai"/>
      <w:bookmarkEnd w:id="0"/>
      <w:r>
        <w:t xml:space="preserve">Lietuvos Respublikos </w:t>
      </w:r>
      <w:bookmarkStart w:id="1" w:name="data_diena"/>
      <w:bookmarkStart w:id="2" w:name="data_menuo"/>
      <w:bookmarkEnd w:id="1"/>
      <w:bookmarkEnd w:id="2"/>
      <w:r>
        <w:t xml:space="preserve">įstatymu </w:t>
      </w:r>
      <w:bookmarkStart w:id="3" w:name="html"/>
      <w:bookmarkStart w:id="4" w:name="dok_nr"/>
      <w:bookmarkEnd w:id="3"/>
      <w:bookmarkEnd w:id="4"/>
      <w:r>
        <w:rPr>
          <w:lang w:eastAsia="lt-LT"/>
        </w:rPr>
        <w:t xml:space="preserve">„Dėl </w:t>
      </w:r>
      <w:proofErr w:type="spellStart"/>
      <w:r>
        <w:rPr>
          <w:lang w:eastAsia="lt-LT"/>
        </w:rPr>
        <w:t>Transeuropinio</w:t>
      </w:r>
      <w:proofErr w:type="spellEnd"/>
      <w:r>
        <w:rPr>
          <w:lang w:eastAsia="lt-LT"/>
        </w:rPr>
        <w:t xml:space="preserve"> geležinkelio (TER) kredito fon</w:t>
      </w:r>
      <w:r>
        <w:rPr>
          <w:lang w:eastAsia="lt-LT"/>
        </w:rPr>
        <w:t>do susitarimo dėl bendradarbiavimo ratifikavimo“.</w:t>
      </w:r>
      <w:r>
        <w:t xml:space="preserve"> </w:t>
      </w:r>
    </w:p>
    <w:p w:rsidR="007D0DCF" w:rsidRDefault="00EF7D79">
      <w:pPr>
        <w:spacing w:line="276" w:lineRule="auto"/>
        <w:ind w:firstLine="720"/>
        <w:jc w:val="both"/>
      </w:pPr>
      <w:bookmarkStart w:id="5" w:name="_Hlk531697723"/>
      <w:bookmarkEnd w:id="5"/>
      <w:r>
        <w:t xml:space="preserve">Lietuvos Respublikos Seimui priėmus Lietuvos Respublikos įstatymą „Dėl </w:t>
      </w:r>
      <w:proofErr w:type="spellStart"/>
      <w:r>
        <w:t>Transeuropinio</w:t>
      </w:r>
      <w:proofErr w:type="spellEnd"/>
      <w:r>
        <w:t xml:space="preserve"> geležinkelio (TER) kredito fondo susitarimo dėl bendradarbiavimo denonsavimo“ bus įvykdytos Susitarimui denonsuoti būti</w:t>
      </w:r>
      <w:r>
        <w:t>nos Lietuvos vidaus teisinės procedūros ir, vadovaujantis Susitarimo 13 straipsnio nuostatomis, Susitarimas nebegalios Lietuvos Respublikai praėjus 30 dienų terminui diplomatiniais kanalais apie denonsavimą pranešus kitoms Susitarimo šalims.</w:t>
      </w:r>
    </w:p>
    <w:p w:rsidR="007D0DCF" w:rsidRDefault="007D0DCF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6" w:name="_Hlk531337167"/>
      <w:bookmarkEnd w:id="6"/>
    </w:p>
    <w:p w:rsidR="007D0DCF" w:rsidRDefault="00EF7D79">
      <w:pPr>
        <w:tabs>
          <w:tab w:val="left" w:pos="720"/>
        </w:tabs>
        <w:spacing w:line="276" w:lineRule="auto"/>
        <w:ind w:firstLine="709"/>
        <w:jc w:val="both"/>
        <w:rPr>
          <w:b/>
        </w:rPr>
      </w:pPr>
      <w:r>
        <w:rPr>
          <w:b/>
        </w:rPr>
        <w:t xml:space="preserve">2. </w:t>
      </w:r>
      <w:r>
        <w:rPr>
          <w:b/>
        </w:rPr>
        <w:t>Įstatymo projekto iniciatoriai (institucija, asmenys ar piliečių įgalioti atstovai) ir rengėjai.</w:t>
      </w:r>
    </w:p>
    <w:p w:rsidR="007D0DCF" w:rsidRDefault="00EF7D79">
      <w:pPr>
        <w:tabs>
          <w:tab w:val="left" w:pos="720"/>
        </w:tabs>
        <w:spacing w:line="276" w:lineRule="auto"/>
        <w:jc w:val="both"/>
      </w:pPr>
      <w:r>
        <w:tab/>
        <w:t>Įstatymo projekto iniciatorė – Lietuvos Respublikos susisiekimo ministerija (toliau – Susisiekimo ministerija). Įstatymo projektą parengė Susisiekimo minister</w:t>
      </w:r>
      <w:r>
        <w:t xml:space="preserve">ijos Tinklų ir tarptautinių ryšių  departamento (l. e. direktoriaus pareigas – Nerijus Kaučikas, tel. 239 3950, </w:t>
      </w:r>
      <w:r>
        <w:br/>
        <w:t xml:space="preserve">el. p. </w:t>
      </w:r>
      <w:proofErr w:type="spellStart"/>
      <w:r>
        <w:t>nerijus.kaucikas@sumin.lt</w:t>
      </w:r>
      <w:proofErr w:type="spellEnd"/>
      <w:r>
        <w:t xml:space="preserve">) Tarptautinių ryšių skyriaus (vedėja – Ina </w:t>
      </w:r>
      <w:proofErr w:type="spellStart"/>
      <w:r>
        <w:t>Irens</w:t>
      </w:r>
      <w:proofErr w:type="spellEnd"/>
      <w:r>
        <w:t xml:space="preserve">, tel. 239 3857, el. p. </w:t>
      </w:r>
      <w:proofErr w:type="spellStart"/>
      <w:r>
        <w:lastRenderedPageBreak/>
        <w:t>ina.irens@sumin.lt</w:t>
      </w:r>
      <w:proofErr w:type="spellEnd"/>
      <w:r>
        <w:t>) vyriausioji specia</w:t>
      </w:r>
      <w:r>
        <w:t>listė Laima Labutienė</w:t>
      </w:r>
      <w:r>
        <w:rPr>
          <w:color w:val="FF0000"/>
        </w:rPr>
        <w:t xml:space="preserve"> </w:t>
      </w:r>
      <w:r>
        <w:t xml:space="preserve">(tel. (8 5) 239 3806, el. </w:t>
      </w:r>
      <w:hyperlink r:id="rId7">
        <w:r>
          <w:rPr>
            <w:rStyle w:val="InternetLink"/>
            <w:color w:val="00000A"/>
            <w:u w:val="none"/>
          </w:rPr>
          <w:t>p. laima.labutiene@sumin.lt</w:t>
        </w:r>
      </w:hyperlink>
      <w:r>
        <w:t>).</w:t>
      </w:r>
    </w:p>
    <w:p w:rsidR="007D0DCF" w:rsidRDefault="007D0DCF">
      <w:pPr>
        <w:tabs>
          <w:tab w:val="left" w:pos="720"/>
        </w:tabs>
        <w:spacing w:line="276" w:lineRule="auto"/>
        <w:ind w:firstLine="709"/>
        <w:jc w:val="both"/>
      </w:pPr>
    </w:p>
    <w:p w:rsidR="007D0DCF" w:rsidRDefault="00EF7D79">
      <w:pPr>
        <w:tabs>
          <w:tab w:val="left" w:pos="720"/>
        </w:tabs>
        <w:spacing w:line="276" w:lineRule="auto"/>
        <w:ind w:firstLine="709"/>
        <w:jc w:val="both"/>
        <w:rPr>
          <w:b/>
        </w:rPr>
      </w:pPr>
      <w:r>
        <w:rPr>
          <w:b/>
        </w:rPr>
        <w:t>3. Kaip šiuo metu yra reguliuojami Įstatymo projekte aptarti klausimai.</w:t>
      </w:r>
    </w:p>
    <w:p w:rsidR="007D0DCF" w:rsidRDefault="00EF7D79">
      <w:pPr>
        <w:tabs>
          <w:tab w:val="left" w:pos="720"/>
        </w:tabs>
        <w:spacing w:line="276" w:lineRule="auto"/>
        <w:ind w:firstLine="709"/>
        <w:jc w:val="both"/>
      </w:pPr>
      <w:r>
        <w:t>Susitarimui įgyvendinti tvirtinamos darbo programos</w:t>
      </w:r>
      <w:r>
        <w:t>. Aukščiausioji Susitarimo įgyvendinimo  institucija – Koordinacinė taryba, kuri priima sprendimus ir tvirtina darbo programas, organizuojamos Koordinacinio komiteto eilinės sesijos, esant poreikiui organizuojamos ir neeilinės sesijos. Darbo programoms įgy</w:t>
      </w:r>
      <w:r>
        <w:t xml:space="preserve">vendinti organizuojami TER nacionalinių koordinatorių grupių posėdžiai, tačiau pastaraisiais metais </w:t>
      </w:r>
      <w:r>
        <w:t>organizuojama</w:t>
      </w:r>
      <w:r>
        <w:t xml:space="preserve"> tik keletas</w:t>
      </w:r>
      <w:r>
        <w:t xml:space="preserve"> posėdžių</w:t>
      </w:r>
      <w:r>
        <w:t xml:space="preserve">, </w:t>
      </w:r>
      <w:r>
        <w:t xml:space="preserve">Susisiekimo ministerijos atstovai </w:t>
      </w:r>
      <w:r>
        <w:t>juose nedalyvauja</w:t>
      </w:r>
      <w:r>
        <w:t xml:space="preserve">, klausimus derina elektroniniu paštu. </w:t>
      </w:r>
    </w:p>
    <w:p w:rsidR="007D0DCF" w:rsidRDefault="007D0DCF">
      <w:pPr>
        <w:tabs>
          <w:tab w:val="left" w:pos="720"/>
        </w:tabs>
        <w:spacing w:line="276" w:lineRule="auto"/>
        <w:ind w:firstLine="709"/>
        <w:jc w:val="both"/>
        <w:rPr>
          <w:b/>
        </w:rPr>
      </w:pPr>
    </w:p>
    <w:p w:rsidR="007D0DCF" w:rsidRDefault="00EF7D79">
      <w:pPr>
        <w:tabs>
          <w:tab w:val="left" w:pos="720"/>
        </w:tabs>
        <w:spacing w:line="276" w:lineRule="auto"/>
        <w:ind w:firstLine="709"/>
        <w:jc w:val="both"/>
        <w:rPr>
          <w:b/>
        </w:rPr>
      </w:pPr>
      <w:r>
        <w:rPr>
          <w:b/>
        </w:rPr>
        <w:t>4. Kokios siūlomos naujos teisinio reguliavimo nuostatos ir kokių teigiamų rezultatų laukiama.</w:t>
      </w:r>
    </w:p>
    <w:p w:rsidR="007D0DCF" w:rsidRDefault="00EF7D79">
      <w:pPr>
        <w:tabs>
          <w:tab w:val="left" w:pos="720"/>
        </w:tabs>
        <w:spacing w:line="276" w:lineRule="auto"/>
        <w:ind w:firstLine="709"/>
        <w:jc w:val="both"/>
      </w:pPr>
      <w:r>
        <w:t xml:space="preserve">Naujo teisinio reguliavimo nenumatoma, </w:t>
      </w:r>
      <w:proofErr w:type="spellStart"/>
      <w:r>
        <w:t>transeuropiniai</w:t>
      </w:r>
      <w:proofErr w:type="spellEnd"/>
      <w:r>
        <w:t xml:space="preserve"> geležinkelių klausimai bus sprendžiami tarptautinių organiza</w:t>
      </w:r>
      <w:r>
        <w:t xml:space="preserve">cijų: OTIF, OSŽD, Europos Komisijos formatuose. </w:t>
      </w:r>
    </w:p>
    <w:p w:rsidR="007D0DCF" w:rsidRDefault="00EF7D79">
      <w:pPr>
        <w:ind w:firstLine="709"/>
        <w:jc w:val="both"/>
      </w:pPr>
      <w:r>
        <w:t xml:space="preserve">Teigiamas rezultatas: bus sutaupytos valstybės biudžeto lėšos (kasmetinis nario mokestis – </w:t>
      </w:r>
      <w:r>
        <w:br/>
        <w:t xml:space="preserve">10 000 </w:t>
      </w:r>
      <w:r>
        <w:t xml:space="preserve">USD (8 730 Eur pagal </w:t>
      </w:r>
      <w:r>
        <w:rPr>
          <w:rStyle w:val="data-text"/>
        </w:rPr>
        <w:t>2019</w:t>
      </w:r>
      <w:r>
        <w:rPr>
          <w:rStyle w:val="data-text"/>
        </w:rPr>
        <w:t>-</w:t>
      </w:r>
      <w:r>
        <w:rPr>
          <w:rStyle w:val="data-text"/>
        </w:rPr>
        <w:t>01-</w:t>
      </w:r>
      <w:r>
        <w:rPr>
          <w:rStyle w:val="data-text"/>
        </w:rPr>
        <w:t>10</w:t>
      </w:r>
      <w:r>
        <w:rPr>
          <w:rStyle w:val="data-text"/>
        </w:rPr>
        <w:t xml:space="preserve"> </w:t>
      </w:r>
      <w:r>
        <w:rPr>
          <w:rStyle w:val="data-text"/>
        </w:rPr>
        <w:t xml:space="preserve">Europos centrinio banko skelbiamą </w:t>
      </w:r>
      <w:r>
        <w:t>oficialų dolerio ir euro santykį</w:t>
      </w:r>
      <w:r>
        <w:t>).</w:t>
      </w:r>
    </w:p>
    <w:p w:rsidR="007D0DCF" w:rsidRDefault="007D0DCF">
      <w:pPr>
        <w:pStyle w:val="BodyTextIndent"/>
        <w:spacing w:after="0" w:line="276" w:lineRule="auto"/>
        <w:ind w:left="0" w:firstLine="709"/>
        <w:jc w:val="both"/>
        <w:rPr>
          <w:b/>
          <w:sz w:val="24"/>
          <w:szCs w:val="24"/>
          <w:lang w:val="lt-LT"/>
        </w:rPr>
      </w:pPr>
    </w:p>
    <w:p w:rsidR="007D0DCF" w:rsidRDefault="00EF7D79">
      <w:pPr>
        <w:pStyle w:val="BodyTextIndent"/>
        <w:spacing w:after="0" w:line="276" w:lineRule="auto"/>
        <w:ind w:left="0" w:firstLine="709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5.</w:t>
      </w:r>
      <w:r>
        <w:rPr>
          <w:b/>
          <w:i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 w:eastAsia="lt-LT"/>
        </w:rPr>
        <w:t>Numatomo teisinio reguliavimo poveikio vertinimo rezultatai (jeigu rengiant įstatymų projektus toks vertinimas turi būti atliktas ir jo rezultatai nepateikiami atskiru dokumentu), g</w:t>
      </w:r>
      <w:r>
        <w:rPr>
          <w:b/>
          <w:sz w:val="24"/>
          <w:szCs w:val="24"/>
          <w:lang w:val="lt-LT" w:eastAsia="lt-LT"/>
        </w:rPr>
        <w:t>alimos neigiamos priimto įstatymo pasekmės ir kokių priemonių reikėtų imtis, kad tokių pasekmių būtų išvengta</w:t>
      </w:r>
      <w:r>
        <w:rPr>
          <w:b/>
          <w:sz w:val="24"/>
          <w:szCs w:val="24"/>
          <w:lang w:val="lt-LT"/>
        </w:rPr>
        <w:t xml:space="preserve">. </w:t>
      </w:r>
    </w:p>
    <w:p w:rsidR="007D0DCF" w:rsidRDefault="00EF7D79">
      <w:pPr>
        <w:pStyle w:val="BodyTextIndent"/>
        <w:tabs>
          <w:tab w:val="left" w:pos="426"/>
        </w:tabs>
        <w:spacing w:after="0" w:line="276" w:lineRule="auto"/>
        <w:ind w:left="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Priėmus įstatymą, neigiamų pasekmių ekonomikai, socialinei aplinkai ar viešajam administravimui nenumatoma.</w:t>
      </w:r>
    </w:p>
    <w:p w:rsidR="007D0DCF" w:rsidRDefault="007D0DCF">
      <w:pPr>
        <w:pStyle w:val="BodyTextIndent"/>
        <w:tabs>
          <w:tab w:val="left" w:pos="426"/>
        </w:tabs>
        <w:spacing w:after="0" w:line="276" w:lineRule="auto"/>
        <w:ind w:left="0" w:firstLine="709"/>
        <w:jc w:val="both"/>
        <w:rPr>
          <w:sz w:val="24"/>
          <w:szCs w:val="24"/>
          <w:lang w:val="lt-LT"/>
        </w:rPr>
      </w:pPr>
    </w:p>
    <w:p w:rsidR="007D0DCF" w:rsidRDefault="00EF7D79">
      <w:pPr>
        <w:pStyle w:val="BodyTextIndent"/>
        <w:spacing w:after="0" w:line="276" w:lineRule="auto"/>
        <w:ind w:left="0" w:firstLine="709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6. K</w:t>
      </w:r>
      <w:r>
        <w:rPr>
          <w:b/>
          <w:sz w:val="24"/>
          <w:szCs w:val="24"/>
          <w:lang w:val="lt-LT" w:eastAsia="lt-LT"/>
        </w:rPr>
        <w:t>okią įtaką priimtas įstatymas t</w:t>
      </w:r>
      <w:r>
        <w:rPr>
          <w:b/>
          <w:sz w:val="24"/>
          <w:szCs w:val="24"/>
          <w:lang w:val="lt-LT" w:eastAsia="lt-LT"/>
        </w:rPr>
        <w:t>urės kriminogeninei situacijai, korupcijai</w:t>
      </w:r>
      <w:r>
        <w:rPr>
          <w:b/>
          <w:sz w:val="24"/>
          <w:szCs w:val="24"/>
          <w:lang w:val="lt-LT"/>
        </w:rPr>
        <w:t>.</w:t>
      </w:r>
    </w:p>
    <w:p w:rsidR="007D0DCF" w:rsidRDefault="00EF7D79">
      <w:pPr>
        <w:pStyle w:val="BodyTextIndent"/>
        <w:spacing w:after="0" w:line="276" w:lineRule="auto"/>
        <w:ind w:left="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Priimtas įstatymas kriminogeninei situacijai ir korupcijai įtakos neturės. </w:t>
      </w:r>
    </w:p>
    <w:p w:rsidR="007D0DCF" w:rsidRDefault="007D0DCF">
      <w:pPr>
        <w:pStyle w:val="BodyTextIndent"/>
        <w:spacing w:after="0" w:line="276" w:lineRule="auto"/>
        <w:ind w:left="0" w:firstLine="709"/>
        <w:jc w:val="both"/>
        <w:rPr>
          <w:sz w:val="24"/>
          <w:szCs w:val="24"/>
          <w:lang w:val="lt-LT"/>
        </w:rPr>
      </w:pPr>
    </w:p>
    <w:p w:rsidR="007D0DCF" w:rsidRDefault="00EF7D79">
      <w:pPr>
        <w:pStyle w:val="BodyTextIndent"/>
        <w:spacing w:after="0" w:line="276" w:lineRule="auto"/>
        <w:ind w:left="0" w:firstLine="709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7. Kaip įstatymo įgyvendinimas atsilieps verslo sąlygoms ir jo plėtrai.</w:t>
      </w:r>
    </w:p>
    <w:p w:rsidR="007D0DCF" w:rsidRDefault="00EF7D79">
      <w:pPr>
        <w:tabs>
          <w:tab w:val="left" w:pos="720"/>
        </w:tabs>
        <w:spacing w:line="276" w:lineRule="auto"/>
        <w:ind w:firstLine="709"/>
        <w:jc w:val="both"/>
        <w:rPr>
          <w:rFonts w:eastAsia="Batang"/>
          <w:color w:val="000000"/>
          <w:lang w:eastAsia="ko-KR"/>
        </w:rPr>
      </w:pPr>
      <w:r>
        <w:t>Priėmus įstatymą</w:t>
      </w:r>
      <w:r>
        <w:rPr>
          <w:rFonts w:eastAsia="Batang"/>
          <w:color w:val="000000"/>
          <w:lang w:eastAsia="ko-KR"/>
        </w:rPr>
        <w:t xml:space="preserve"> įtakos verslo sąlygoms nenumatoma.</w:t>
      </w:r>
    </w:p>
    <w:p w:rsidR="007D0DCF" w:rsidRDefault="007D0DCF">
      <w:pPr>
        <w:pStyle w:val="BodyTextIndent"/>
        <w:spacing w:after="0" w:line="276" w:lineRule="auto"/>
        <w:ind w:left="0" w:firstLine="709"/>
        <w:jc w:val="both"/>
        <w:rPr>
          <w:sz w:val="24"/>
          <w:szCs w:val="24"/>
          <w:lang w:val="lt-LT"/>
        </w:rPr>
      </w:pPr>
    </w:p>
    <w:p w:rsidR="007D0DCF" w:rsidRDefault="00EF7D79">
      <w:pPr>
        <w:pStyle w:val="BodyTextIndent"/>
        <w:spacing w:after="0" w:line="276" w:lineRule="auto"/>
        <w:ind w:left="0" w:firstLine="709"/>
        <w:jc w:val="both"/>
        <w:rPr>
          <w:b/>
          <w:bCs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8. </w:t>
      </w:r>
      <w:r>
        <w:rPr>
          <w:b/>
          <w:bCs/>
          <w:sz w:val="24"/>
          <w:szCs w:val="24"/>
          <w:lang w:val="lt-LT"/>
        </w:rPr>
        <w:t>Įstatym</w:t>
      </w:r>
      <w:r>
        <w:rPr>
          <w:b/>
          <w:bCs/>
          <w:sz w:val="24"/>
          <w:szCs w:val="24"/>
          <w:lang w:val="lt-LT"/>
        </w:rPr>
        <w:t>o inkorporavimas į teisinę sistemą, kokius teisės aktus būtina priimti, kokius galiojančius teisės aktus reikia pakeisti ar pripažinti netekusiais galios.</w:t>
      </w:r>
    </w:p>
    <w:p w:rsidR="007D0DCF" w:rsidRDefault="00EF7D79">
      <w:pPr>
        <w:pStyle w:val="BodyTextIndent"/>
        <w:spacing w:after="0" w:line="276" w:lineRule="auto"/>
        <w:ind w:left="0" w:firstLine="709"/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Priėmus įstatymą, priimti, pakeisti ir pripažinti netekusiais galios galiojančių teisės aktų </w:t>
      </w:r>
      <w:r>
        <w:rPr>
          <w:sz w:val="24"/>
          <w:szCs w:val="24"/>
          <w:lang w:val="lt-LT"/>
        </w:rPr>
        <w:t>nereikės.</w:t>
      </w:r>
    </w:p>
    <w:p w:rsidR="007D0DCF" w:rsidRDefault="007D0DCF">
      <w:pPr>
        <w:pStyle w:val="BodyTextIndent"/>
        <w:spacing w:after="0" w:line="276" w:lineRule="auto"/>
        <w:ind w:left="0" w:firstLine="709"/>
        <w:jc w:val="both"/>
        <w:rPr>
          <w:sz w:val="24"/>
          <w:szCs w:val="24"/>
          <w:lang w:val="lt-LT"/>
        </w:rPr>
      </w:pPr>
    </w:p>
    <w:p w:rsidR="007D0DCF" w:rsidRDefault="00EF7D79">
      <w:pPr>
        <w:pStyle w:val="BodyTextIndent"/>
        <w:spacing w:after="0" w:line="276" w:lineRule="auto"/>
        <w:ind w:left="0" w:firstLine="709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9. A</w:t>
      </w:r>
      <w:r>
        <w:rPr>
          <w:b/>
          <w:sz w:val="24"/>
          <w:szCs w:val="24"/>
          <w:lang w:val="lt-LT" w:eastAsia="lt-LT"/>
        </w:rPr>
        <w:t xml:space="preserve">r įstatymo projektas parengtas laikantis Lietuvos Respublikos valstybinės kalbos, Teisėkūros pagrindų įstatymų reikalavimų, o įstatymo projekto sąvokos ir jas įvardijantys terminai įvertinti Terminų banko įstatymo ir jo </w:t>
      </w:r>
      <w:r>
        <w:rPr>
          <w:b/>
          <w:sz w:val="24"/>
          <w:szCs w:val="24"/>
          <w:lang w:val="lt-LT" w:eastAsia="lt-LT"/>
        </w:rPr>
        <w:t>įgyvendinamųjų teisės aktų nustatyta tvarka</w:t>
      </w:r>
      <w:r>
        <w:rPr>
          <w:b/>
          <w:sz w:val="24"/>
          <w:szCs w:val="24"/>
          <w:lang w:val="lt-LT"/>
        </w:rPr>
        <w:t xml:space="preserve">. </w:t>
      </w:r>
    </w:p>
    <w:p w:rsidR="007D0DCF" w:rsidRDefault="00EF7D79">
      <w:pPr>
        <w:pStyle w:val="BodyText"/>
        <w:tabs>
          <w:tab w:val="left" w:pos="720"/>
        </w:tabs>
        <w:spacing w:after="0" w:line="276" w:lineRule="auto"/>
        <w:ind w:firstLine="709"/>
        <w:jc w:val="both"/>
      </w:pPr>
      <w:r>
        <w:t xml:space="preserve">Įstatymo projektas parengtas laikantis Lietuvos Respublikos valstybinės kalbos įstatymo ir Lietuvos Respublikos teisėkūros pagrindų įstatymo nustatytų reikalavimų. </w:t>
      </w:r>
    </w:p>
    <w:p w:rsidR="007D0DCF" w:rsidRDefault="00EF7D79">
      <w:pPr>
        <w:pStyle w:val="BodyText"/>
        <w:tabs>
          <w:tab w:val="left" w:pos="720"/>
        </w:tabs>
        <w:spacing w:after="0" w:line="276" w:lineRule="auto"/>
        <w:ind w:firstLine="709"/>
        <w:jc w:val="both"/>
        <w:rPr>
          <w:color w:val="000000"/>
        </w:rPr>
      </w:pPr>
      <w:r>
        <w:lastRenderedPageBreak/>
        <w:t>Įstatymo projekte nepateikiama sąvokų ir nėra</w:t>
      </w:r>
      <w:r>
        <w:t xml:space="preserve"> sąvokas įvardijančių terminų, todėl įstatymo projektas nevertintinas Lietuvos Respublikos terminų banko įstatymo ir jo įgyvendinamųjų teisės aktų nustatyta tvarka.</w:t>
      </w:r>
    </w:p>
    <w:p w:rsidR="007D0DCF" w:rsidRDefault="007D0DCF">
      <w:pPr>
        <w:pStyle w:val="BodyTextIndent"/>
        <w:spacing w:after="0" w:line="276" w:lineRule="auto"/>
        <w:ind w:left="0" w:firstLine="709"/>
        <w:jc w:val="both"/>
        <w:rPr>
          <w:b/>
          <w:sz w:val="24"/>
          <w:szCs w:val="24"/>
          <w:lang w:val="lt-LT"/>
        </w:rPr>
      </w:pPr>
    </w:p>
    <w:p w:rsidR="007D0DCF" w:rsidRDefault="00EF7D79">
      <w:pPr>
        <w:pStyle w:val="BodyTextIndent"/>
        <w:spacing w:after="0" w:line="276" w:lineRule="auto"/>
        <w:ind w:left="0" w:firstLine="709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10. </w:t>
      </w:r>
      <w:r>
        <w:rPr>
          <w:b/>
          <w:sz w:val="24"/>
          <w:szCs w:val="24"/>
          <w:lang w:val="lt-LT" w:eastAsia="lt-LT"/>
        </w:rPr>
        <w:t>Ar įstatymo projektas atitinka Žmogaus teisių ir pagrindinių laisvių apsaugos konvenci</w:t>
      </w:r>
      <w:r>
        <w:rPr>
          <w:b/>
          <w:sz w:val="24"/>
          <w:szCs w:val="24"/>
          <w:lang w:val="lt-LT" w:eastAsia="lt-LT"/>
        </w:rPr>
        <w:t>jos nuostatas ir Europos Sąjungos dokumentus</w:t>
      </w:r>
      <w:r>
        <w:rPr>
          <w:b/>
          <w:sz w:val="24"/>
          <w:szCs w:val="24"/>
          <w:lang w:val="lt-LT"/>
        </w:rPr>
        <w:t>.</w:t>
      </w:r>
    </w:p>
    <w:p w:rsidR="007D0DCF" w:rsidRDefault="00EF7D79">
      <w:pPr>
        <w:pStyle w:val="BodyText"/>
        <w:spacing w:after="0" w:line="276" w:lineRule="auto"/>
        <w:ind w:firstLine="709"/>
        <w:jc w:val="both"/>
      </w:pPr>
      <w:r>
        <w:t xml:space="preserve">Įstatymo projektas atitinka Žmogaus teisių ir pagrindinių laisvių apsaugos konvencijos nuostatas ir Europos Sąjungos dokumentus.   </w:t>
      </w:r>
    </w:p>
    <w:p w:rsidR="007D0DCF" w:rsidRDefault="007D0DCF">
      <w:pPr>
        <w:pStyle w:val="BodyText"/>
        <w:spacing w:after="0" w:line="276" w:lineRule="auto"/>
        <w:ind w:firstLine="709"/>
        <w:jc w:val="both"/>
        <w:rPr>
          <w:b/>
        </w:rPr>
      </w:pPr>
    </w:p>
    <w:p w:rsidR="007D0DCF" w:rsidRDefault="00EF7D79">
      <w:pPr>
        <w:pStyle w:val="BodyText"/>
        <w:spacing w:after="0" w:line="276" w:lineRule="auto"/>
        <w:ind w:firstLine="709"/>
        <w:jc w:val="both"/>
        <w:rPr>
          <w:b/>
        </w:rPr>
      </w:pPr>
      <w:r>
        <w:rPr>
          <w:b/>
        </w:rPr>
        <w:t>11. J</w:t>
      </w:r>
      <w:r>
        <w:rPr>
          <w:b/>
          <w:lang w:eastAsia="lt-LT"/>
        </w:rPr>
        <w:t>eigu įstatymui įgyvendinti reikia įgyvendinamųjų teisės aktų, – kas ir k</w:t>
      </w:r>
      <w:r>
        <w:rPr>
          <w:b/>
          <w:lang w:eastAsia="lt-LT"/>
        </w:rPr>
        <w:t>ada juos turėtų priimti</w:t>
      </w:r>
      <w:r>
        <w:rPr>
          <w:b/>
          <w:bCs/>
        </w:rPr>
        <w:t>.</w:t>
      </w:r>
    </w:p>
    <w:p w:rsidR="007D0DCF" w:rsidRDefault="00EF7D79">
      <w:pPr>
        <w:spacing w:line="276" w:lineRule="auto"/>
        <w:ind w:firstLine="709"/>
        <w:jc w:val="both"/>
      </w:pPr>
      <w:r>
        <w:t xml:space="preserve">Lietuvos Respublikos Seimui priėmus teikiamą įstatymą, įgyvendinamųjų teisės aktų rengti nereikės. </w:t>
      </w:r>
    </w:p>
    <w:p w:rsidR="007D0DCF" w:rsidRDefault="007D0DCF">
      <w:pPr>
        <w:spacing w:line="276" w:lineRule="auto"/>
        <w:ind w:firstLine="709"/>
        <w:jc w:val="both"/>
        <w:rPr>
          <w:b/>
        </w:rPr>
      </w:pPr>
    </w:p>
    <w:p w:rsidR="007D0DCF" w:rsidRDefault="00EF7D79">
      <w:pPr>
        <w:spacing w:line="276" w:lineRule="auto"/>
        <w:ind w:firstLine="709"/>
        <w:jc w:val="both"/>
        <w:rPr>
          <w:b/>
        </w:rPr>
      </w:pPr>
      <w:r>
        <w:rPr>
          <w:b/>
        </w:rPr>
        <w:t>12. K</w:t>
      </w:r>
      <w:r>
        <w:rPr>
          <w:b/>
          <w:lang w:eastAsia="lt-LT"/>
        </w:rPr>
        <w:t>iek valstybės, savivaldybių biudžetų ir kitų valstybės įsteigtų fondų lėšų prireiks įstatymui įgyvendinti, ar bus galima suta</w:t>
      </w:r>
      <w:r>
        <w:rPr>
          <w:b/>
          <w:lang w:eastAsia="lt-LT"/>
        </w:rPr>
        <w:t>upyti (pateikiami prognozuojami rodikliai einamaisiais ir artimiausiais 3 biudžetiniais metais)</w:t>
      </w:r>
      <w:r>
        <w:rPr>
          <w:b/>
          <w:bCs/>
        </w:rPr>
        <w:t>.</w:t>
      </w:r>
    </w:p>
    <w:p w:rsidR="007D0DCF" w:rsidRDefault="00EF7D79">
      <w:pPr>
        <w:spacing w:line="276" w:lineRule="auto"/>
        <w:ind w:firstLine="709"/>
        <w:jc w:val="both"/>
      </w:pPr>
      <w:r>
        <w:t xml:space="preserve">Valstybės, savivaldybių biudžetų ar kitų valstybės įsteigtų fondų lėšų įstatymui įgyvendinti nereikės, kasmet bus sutaupyta 10 000 USD (8 730 Eur pagal </w:t>
      </w:r>
      <w:r>
        <w:rPr>
          <w:rStyle w:val="data-text"/>
        </w:rPr>
        <w:t>2019</w:t>
      </w:r>
      <w:r>
        <w:rPr>
          <w:rStyle w:val="data-text"/>
        </w:rPr>
        <w:t>-</w:t>
      </w:r>
      <w:r>
        <w:rPr>
          <w:rStyle w:val="data-text"/>
        </w:rPr>
        <w:t>0</w:t>
      </w:r>
      <w:r>
        <w:rPr>
          <w:rStyle w:val="data-text"/>
        </w:rPr>
        <w:t>1-</w:t>
      </w:r>
      <w:r>
        <w:rPr>
          <w:rStyle w:val="data-text"/>
        </w:rPr>
        <w:t>10</w:t>
      </w:r>
      <w:bookmarkStart w:id="7" w:name="_GoBack"/>
      <w:bookmarkEnd w:id="7"/>
      <w:r>
        <w:rPr>
          <w:rStyle w:val="data-text"/>
        </w:rPr>
        <w:t xml:space="preserve"> Europos centrinio banko skelbiamą </w:t>
      </w:r>
      <w:r>
        <w:t xml:space="preserve">oficialų dolerio ir euro santykį). </w:t>
      </w:r>
    </w:p>
    <w:p w:rsidR="007D0DCF" w:rsidRDefault="007D0DCF">
      <w:pPr>
        <w:spacing w:line="276" w:lineRule="auto"/>
        <w:ind w:firstLine="709"/>
        <w:jc w:val="both"/>
      </w:pPr>
    </w:p>
    <w:p w:rsidR="007D0DCF" w:rsidRDefault="00EF7D79">
      <w:pPr>
        <w:spacing w:line="276" w:lineRule="auto"/>
        <w:ind w:firstLine="709"/>
        <w:jc w:val="both"/>
        <w:rPr>
          <w:b/>
        </w:rPr>
      </w:pPr>
      <w:r>
        <w:rPr>
          <w:b/>
        </w:rPr>
        <w:t>13. Įstatymo projekto rengimo metu gauti specialistų vertinimai ir išvados.</w:t>
      </w:r>
    </w:p>
    <w:p w:rsidR="007D0DCF" w:rsidRDefault="00EF7D79">
      <w:pPr>
        <w:spacing w:line="276" w:lineRule="auto"/>
        <w:ind w:firstLine="709"/>
        <w:jc w:val="both"/>
      </w:pPr>
      <w:r>
        <w:t>Rengiant įstatymo projektą specialistų vertinimų ir išvadų negauta.</w:t>
      </w:r>
    </w:p>
    <w:p w:rsidR="007D0DCF" w:rsidRDefault="007D0DCF">
      <w:pPr>
        <w:spacing w:line="276" w:lineRule="auto"/>
        <w:ind w:firstLine="709"/>
        <w:jc w:val="both"/>
        <w:rPr>
          <w:b/>
        </w:rPr>
      </w:pPr>
    </w:p>
    <w:p w:rsidR="007D0DCF" w:rsidRDefault="00EF7D79">
      <w:pPr>
        <w:pStyle w:val="Title"/>
        <w:spacing w:line="276" w:lineRule="auto"/>
        <w:ind w:right="-180" w:firstLine="709"/>
        <w:jc w:val="both"/>
        <w:rPr>
          <w:i/>
          <w:color w:val="000000"/>
        </w:rPr>
      </w:pPr>
      <w:r>
        <w:rPr>
          <w:bCs w:val="0"/>
        </w:rPr>
        <w:t>14. Reikšminiai žodžia</w:t>
      </w:r>
      <w:r>
        <w:rPr>
          <w:bCs w:val="0"/>
        </w:rPr>
        <w:t xml:space="preserve">i, kurių reikia Įstatymo projektui įtraukti į kompiuterinę paieškos sistemą, įskaitant Europos žodyno </w:t>
      </w:r>
      <w:proofErr w:type="spellStart"/>
      <w:r>
        <w:rPr>
          <w:bCs w:val="0"/>
          <w:i/>
        </w:rPr>
        <w:t>Eurovoc</w:t>
      </w:r>
      <w:proofErr w:type="spellEnd"/>
      <w:r>
        <w:rPr>
          <w:bCs w:val="0"/>
          <w:i/>
        </w:rPr>
        <w:t xml:space="preserve"> </w:t>
      </w:r>
      <w:r>
        <w:rPr>
          <w:bCs w:val="0"/>
        </w:rPr>
        <w:t>terminus, temas ir sritis.</w:t>
      </w:r>
      <w:r>
        <w:rPr>
          <w:bCs w:val="0"/>
          <w:i/>
        </w:rPr>
        <w:t xml:space="preserve"> </w:t>
      </w:r>
    </w:p>
    <w:p w:rsidR="007D0DCF" w:rsidRDefault="00EF7D79">
      <w:pPr>
        <w:tabs>
          <w:tab w:val="left" w:pos="720"/>
        </w:tabs>
        <w:spacing w:line="276" w:lineRule="auto"/>
        <w:ind w:firstLine="709"/>
        <w:jc w:val="both"/>
      </w:pPr>
      <w:r>
        <w:t xml:space="preserve">„Susitarimo denonsavimas“, „TER“. </w:t>
      </w:r>
    </w:p>
    <w:p w:rsidR="007D0DCF" w:rsidRDefault="007D0DCF">
      <w:pPr>
        <w:pStyle w:val="Title"/>
        <w:spacing w:line="276" w:lineRule="auto"/>
        <w:ind w:right="-180" w:firstLine="709"/>
        <w:jc w:val="both"/>
        <w:rPr>
          <w:b w:val="0"/>
        </w:rPr>
      </w:pPr>
    </w:p>
    <w:p w:rsidR="007D0DCF" w:rsidRDefault="00EF7D79">
      <w:pPr>
        <w:pStyle w:val="Title"/>
        <w:spacing w:line="276" w:lineRule="auto"/>
        <w:ind w:right="-180" w:firstLine="709"/>
        <w:jc w:val="both"/>
      </w:pPr>
      <w:r>
        <w:t xml:space="preserve">15. Kiti, iniciatorių nuomone, reikalingi pagrindimai ir </w:t>
      </w:r>
      <w:r>
        <w:t>paaiškinimai.</w:t>
      </w:r>
    </w:p>
    <w:p w:rsidR="007D0DCF" w:rsidRDefault="00EF7D79">
      <w:pPr>
        <w:pStyle w:val="Title"/>
        <w:spacing w:line="276" w:lineRule="auto"/>
        <w:ind w:right="-180" w:firstLine="709"/>
        <w:jc w:val="both"/>
      </w:pPr>
      <w:r>
        <w:rPr>
          <w:b w:val="0"/>
        </w:rPr>
        <w:t xml:space="preserve">Nėra.    </w:t>
      </w:r>
    </w:p>
    <w:sectPr w:rsidR="007D0DCF">
      <w:headerReference w:type="default" r:id="rId8"/>
      <w:pgSz w:w="12240" w:h="15840"/>
      <w:pgMar w:top="1134" w:right="851" w:bottom="1134" w:left="1531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F7D79">
      <w:r>
        <w:separator/>
      </w:r>
    </w:p>
  </w:endnote>
  <w:endnote w:type="continuationSeparator" w:id="0">
    <w:p w:rsidR="00000000" w:rsidRDefault="00EF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F7D79">
      <w:r>
        <w:separator/>
      </w:r>
    </w:p>
  </w:footnote>
  <w:footnote w:type="continuationSeparator" w:id="0">
    <w:p w:rsidR="00000000" w:rsidRDefault="00EF7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DCF" w:rsidRDefault="00EF7D7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7452A9E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462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D0DCF" w:rsidRDefault="00EF7D79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452A9E1" id="Frame1" o:spid="_x0000_s1026" style="position:absolute;margin-left:0;margin-top:.05pt;width:6.15pt;height:13.7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Wdze0wEAAAoEAAAOAAAAZHJzL2Uyb0RvYy54bWysU9tu2zAMfR/QfxD0vsjphiUw4hTDihQD hq1Yuw+QZSkWoBsoNXb+fpTsuOv61GEvMkXxkDyH9O5mtIacJETtXUPXq4oS6YTvtDs29Nfj4f2W kpi467jxTjb0LCO92V+92w2hlte+96aTQDCJi/UQGtqnFGrGouil5XHlg3T4qDxYnvAKR9YBHzC7 Ney6qj6xwUMXwAsZI3pvp0e6L/mVkiL9UCrKRExDsbdUTihnm0+23/H6CDz0Wsxt8H/ownLtsOiS 6pYnTp5Av0pltQAfvUor4S3zSmkhCwdks67+YvPQ8yALFxQnhkWm+P/Siu+neyC6w9lR4rjFER0A P+uszBBijQEP4R7mW0Qz0xwV2PxFAmQsap4XNeWYiEDnZvOxQskFvqw3H7bbIjZ7xgaI6U56S7LR UMBZFQn56VtMWA9DLyG5lPMHbUyZl3EvHBiYPSy3OzVYrHQ2MscZ91MqpFj6zI4o4Nh+MUCmPcBF xTYv21CSISAHKiz4RuwMyWhZ1u+N+AVU6nuXFrzVzkOeysRzYpeJprEd5/G0vjvjOM1XhyuS1/1i wMVoZ6PoED4/JVS1iJ0zTfC5Ai5cmcH8c+SN/vNeop5/4f1vAAAA//8DAFBLAwQUAAYACAAAACEA +HejGNoAAAADAQAADwAAAGRycy9kb3ducmV2LnhtbEyPwU7DMBBE70j8g7VIXFDrNEilDXGqCqk3 JNSUA9y28RKnjddR7DaBr8c5wXFnRjNv881oW3Gl3jeOFSzmCQjiyumGawXvh91sBcIHZI2tY1Lw TR42xe1Njpl2A+/pWoZaxBL2GSowIXSZlL4yZNHPXUccvS/XWwzx7GupexxiuW1lmiRLabHhuGCw oxdD1bm8WAW7t4+G+EfuH9arwZ2q9LM0r51S93fj9hlEoDH8hWHCj+hQRKaju7D2olUQHwmTKiYv fQRxVJA+LUEWufzPXvwCAAD//wMAUEsBAi0AFAAGAAgAAAAhALaDOJL+AAAA4QEAABMAAAAAAAAA AAAAAAAAAAAAAFtDb250ZW50X1R5cGVzXS54bWxQSwECLQAUAAYACAAAACEAOP0h/9YAAACUAQAA CwAAAAAAAAAAAAAAAAAvAQAAX3JlbHMvLnJlbHNQSwECLQAUAAYACAAAACEA6Fnc3tMBAAAKBAAA DgAAAAAAAAAAAAAAAAAuAgAAZHJzL2Uyb0RvYy54bWxQSwECLQAUAAYACAAAACEA+HejGNoAAAAD AQAADwAAAAAAAAAAAAAAAAAtBAAAZHJzL2Rvd25yZXYueG1sUEsFBgAAAAAEAAQA8wAAADQFAAAA AA== " filled="f" stroked="f">
              <v:textbox style="mso-fit-shape-to-text:t" inset="0,0,0,0">
                <w:txbxContent>
                  <w:p w:rsidR="007D0DCF" w:rsidRDefault="00EF7D79"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CF"/>
    <w:rsid w:val="007D0DCF"/>
    <w:rsid w:val="00EF7D79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B9896-9528-4042-9628-FE5C88A0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427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1B4276"/>
  </w:style>
  <w:style w:type="character" w:customStyle="1" w:styleId="InternetLink">
    <w:name w:val="Internet Link"/>
    <w:basedOn w:val="DefaultParagraphFont"/>
    <w:unhideWhenUsed/>
    <w:rsid w:val="0054502C"/>
    <w:rPr>
      <w:color w:val="0000FF" w:themeColor="hyperlink"/>
      <w:u w:val="single"/>
    </w:rPr>
  </w:style>
  <w:style w:type="character" w:styleId="Strong">
    <w:name w:val="Strong"/>
    <w:uiPriority w:val="22"/>
    <w:qFormat/>
    <w:rsid w:val="00C53E4C"/>
    <w:rPr>
      <w:b/>
      <w:bCs/>
    </w:rPr>
  </w:style>
  <w:style w:type="character" w:customStyle="1" w:styleId="FontStyle26">
    <w:name w:val="Font Style26"/>
    <w:qFormat/>
    <w:rsid w:val="00CF2B0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qFormat/>
    <w:rsid w:val="002F573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2F5733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2F5733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qFormat/>
    <w:rsid w:val="00D2101D"/>
    <w:rPr>
      <w:sz w:val="24"/>
      <w:szCs w:val="24"/>
      <w:lang w:eastAsia="en-GB"/>
    </w:rPr>
  </w:style>
  <w:style w:type="character" w:customStyle="1" w:styleId="datametai">
    <w:name w:val="datametai"/>
    <w:basedOn w:val="DefaultParagraphFont"/>
    <w:qFormat/>
    <w:rsid w:val="00195F4F"/>
  </w:style>
  <w:style w:type="character" w:styleId="Emphasis">
    <w:name w:val="Emphasis"/>
    <w:basedOn w:val="DefaultParagraphFont"/>
    <w:uiPriority w:val="20"/>
    <w:qFormat/>
    <w:rsid w:val="00F85151"/>
    <w:rPr>
      <w:b/>
      <w:bCs/>
      <w:i w:val="0"/>
      <w:iCs w:val="0"/>
    </w:rPr>
  </w:style>
  <w:style w:type="character" w:customStyle="1" w:styleId="st1">
    <w:name w:val="st1"/>
    <w:basedOn w:val="DefaultParagraphFont"/>
    <w:qFormat/>
    <w:rsid w:val="00F85151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data-text">
    <w:name w:val="data-text"/>
    <w:basedOn w:val="DefaultParagraphFont"/>
    <w:qFormat/>
    <w:rsid w:val="008C7F6C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54502C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1B4276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statymopavad">
    <w:name w:val="Ástatymo pavad."/>
    <w:basedOn w:val="Normal"/>
    <w:qFormat/>
    <w:rsid w:val="001B4276"/>
    <w:pPr>
      <w:jc w:val="center"/>
    </w:pPr>
    <w:rPr>
      <w:caps/>
    </w:rPr>
  </w:style>
  <w:style w:type="paragraph" w:styleId="BodyTextIndent">
    <w:name w:val="Body Text Indent"/>
    <w:basedOn w:val="Normal"/>
    <w:rsid w:val="001B4276"/>
    <w:pPr>
      <w:spacing w:after="120"/>
      <w:ind w:left="283"/>
    </w:pPr>
    <w:rPr>
      <w:sz w:val="20"/>
      <w:szCs w:val="20"/>
      <w:lang w:val="en-GB"/>
    </w:rPr>
  </w:style>
  <w:style w:type="paragraph" w:styleId="BodyText2">
    <w:name w:val="Body Text 2"/>
    <w:basedOn w:val="Normal"/>
    <w:qFormat/>
    <w:rsid w:val="004B2197"/>
    <w:pPr>
      <w:spacing w:after="120" w:line="480" w:lineRule="auto"/>
    </w:pPr>
  </w:style>
  <w:style w:type="paragraph" w:customStyle="1" w:styleId="Diagrama">
    <w:name w:val="Diagrama"/>
    <w:basedOn w:val="Normal"/>
    <w:qFormat/>
    <w:rsid w:val="004B219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semiHidden/>
    <w:qFormat/>
    <w:rsid w:val="00F46B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46B5B"/>
    <w:pPr>
      <w:tabs>
        <w:tab w:val="center" w:pos="4819"/>
        <w:tab w:val="right" w:pos="9638"/>
      </w:tabs>
    </w:pPr>
  </w:style>
  <w:style w:type="paragraph" w:customStyle="1" w:styleId="str-txt1">
    <w:name w:val="str-txt1"/>
    <w:basedOn w:val="Normal"/>
    <w:qFormat/>
    <w:rsid w:val="00306D96"/>
    <w:pPr>
      <w:spacing w:after="120"/>
      <w:ind w:firstLine="567"/>
      <w:jc w:val="both"/>
    </w:pPr>
    <w:rPr>
      <w:szCs w:val="20"/>
    </w:rPr>
  </w:style>
  <w:style w:type="paragraph" w:customStyle="1" w:styleId="skyrius-pav">
    <w:name w:val="skyrius-pav"/>
    <w:basedOn w:val="Normal"/>
    <w:qFormat/>
    <w:rsid w:val="00BB5B0B"/>
    <w:pPr>
      <w:jc w:val="both"/>
    </w:pPr>
    <w:rPr>
      <w:sz w:val="30"/>
      <w:szCs w:val="20"/>
    </w:rPr>
  </w:style>
  <w:style w:type="paragraph" w:styleId="BodyText3">
    <w:name w:val="Body Text 3"/>
    <w:basedOn w:val="Normal"/>
    <w:qFormat/>
    <w:rsid w:val="00263E7D"/>
    <w:pPr>
      <w:spacing w:after="120"/>
    </w:pPr>
    <w:rPr>
      <w:sz w:val="16"/>
      <w:szCs w:val="16"/>
    </w:rPr>
  </w:style>
  <w:style w:type="paragraph" w:styleId="Title">
    <w:name w:val="Title"/>
    <w:basedOn w:val="Normal"/>
    <w:qFormat/>
    <w:rsid w:val="0021173F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semiHidden/>
    <w:unhideWhenUsed/>
    <w:qFormat/>
    <w:rsid w:val="002F5733"/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2F5733"/>
    <w:rPr>
      <w:b/>
      <w:bCs/>
    </w:rPr>
  </w:style>
  <w:style w:type="paragraph" w:styleId="Footer">
    <w:name w:val="footer"/>
    <w:basedOn w:val="Normal"/>
    <w:link w:val="FooterChar"/>
    <w:rsid w:val="00D2101D"/>
    <w:pPr>
      <w:tabs>
        <w:tab w:val="center" w:pos="4535"/>
        <w:tab w:val="right" w:pos="9071"/>
        <w:tab w:val="right" w:pos="9921"/>
      </w:tabs>
      <w:spacing w:before="360"/>
      <w:ind w:left="-850" w:right="-850"/>
    </w:pPr>
    <w:rPr>
      <w:lang w:eastAsia="en-GB"/>
    </w:rPr>
  </w:style>
  <w:style w:type="paragraph" w:styleId="ListBullet">
    <w:name w:val="List Bullet"/>
    <w:basedOn w:val="Normal"/>
    <w:qFormat/>
    <w:rsid w:val="008B75D4"/>
    <w:pPr>
      <w:spacing w:before="120" w:after="120"/>
      <w:jc w:val="both"/>
    </w:pPr>
    <w:rPr>
      <w:lang w:eastAsia="en-GB"/>
    </w:rPr>
  </w:style>
  <w:style w:type="paragraph" w:customStyle="1" w:styleId="doc-ti">
    <w:name w:val="doc-ti"/>
    <w:basedOn w:val="Normal"/>
    <w:qFormat/>
    <w:rsid w:val="00002ACD"/>
    <w:pPr>
      <w:spacing w:before="240" w:after="120"/>
      <w:jc w:val="center"/>
    </w:pPr>
    <w:rPr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A82292"/>
    <w:pPr>
      <w:ind w:left="720"/>
      <w:contextualSpacing/>
    </w:pPr>
  </w:style>
  <w:style w:type="paragraph" w:styleId="NoSpacing">
    <w:name w:val="No Spacing"/>
    <w:uiPriority w:val="1"/>
    <w:qFormat/>
    <w:rsid w:val="00D74F2C"/>
    <w:rPr>
      <w:sz w:val="24"/>
      <w:szCs w:val="24"/>
      <w:lang w:eastAsia="en-US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8B75D4"/>
    <w:pPr>
      <w:jc w:val="both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ailto:p.%20laima.labutiene@sumin.lt" TargetMode="External" Type="http://schemas.openxmlformats.org/officeDocument/2006/relationships/hyperlink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496F-4D6D-4C2C-9362-92AA6610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Sm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2019-01-11T08:47:00Z</dcterms:created>
  <dc:creator>Natalija Baranauskiene</dc:creator>
  <dc:language>lt-LT</dc:language>
  <cp:lastModifiedBy>Laima Labutienė</cp:lastModifiedBy>
  <cp:lastPrinted>2019-01-10T13:06:00Z</cp:lastPrinted>
  <dcterms:modified xsi:type="dcterms:W3CDTF">2019-01-11T08:48:00Z</dcterms:modified>
  <cp:revision>3</cp:revision>
  <dc:title>AIŠKINAMASIS RAŠTAS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