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A4E25" w14:textId="77777777" w:rsidR="00944E1C" w:rsidRDefault="00746634" w:rsidP="00944E1C">
      <w:pPr>
        <w:jc w:val="center"/>
        <w:rPr>
          <w:b/>
          <w:bCs/>
        </w:rPr>
      </w:pPr>
      <w:bookmarkStart w:id="0" w:name="_GoBack"/>
      <w:bookmarkEnd w:id="0"/>
      <w:r w:rsidRPr="00746634">
        <w:rPr>
          <w:b/>
          <w:bCs/>
        </w:rPr>
        <w:t xml:space="preserve">LIETUVOS RESPUBLIKOS </w:t>
      </w:r>
      <w:r w:rsidR="00944E1C">
        <w:rPr>
          <w:b/>
          <w:bCs/>
        </w:rPr>
        <w:t xml:space="preserve">VYRIAUSYBĖS NUTARIMO „DĖL VALSTYBĖS TURTO INVESTAVIMO IR AKCINĖS BENDROVĖS </w:t>
      </w:r>
    </w:p>
    <w:p w14:paraId="01BA4E26" w14:textId="00ED2BC7" w:rsidR="00746634" w:rsidRPr="00944E1C" w:rsidRDefault="003D7E67" w:rsidP="00944E1C">
      <w:pPr>
        <w:jc w:val="center"/>
        <w:rPr>
          <w:b/>
          <w:bCs/>
        </w:rPr>
      </w:pPr>
      <w:r>
        <w:rPr>
          <w:b/>
          <w:bCs/>
        </w:rPr>
        <w:t>„</w:t>
      </w:r>
      <w:r w:rsidR="00944E1C">
        <w:rPr>
          <w:b/>
          <w:bCs/>
        </w:rPr>
        <w:t xml:space="preserve">LIETUVOS GELEŽINKELIAI“ ĮSTATINIO KAPITALO DIDINIMO“ </w:t>
      </w:r>
      <w:r w:rsidR="00746634" w:rsidRPr="00746634">
        <w:rPr>
          <w:b/>
          <w:bCs/>
        </w:rPr>
        <w:t>P</w:t>
      </w:r>
      <w:r w:rsidR="00944E1C">
        <w:rPr>
          <w:b/>
          <w:bCs/>
        </w:rPr>
        <w:t>ROJEKTO</w:t>
      </w:r>
    </w:p>
    <w:p w14:paraId="01BA4E27" w14:textId="77777777" w:rsidR="00746634" w:rsidRPr="00746634" w:rsidRDefault="00746634" w:rsidP="00746634">
      <w:pPr>
        <w:ind w:right="-55"/>
        <w:jc w:val="center"/>
      </w:pPr>
      <w:r w:rsidRPr="002A10EA">
        <w:rPr>
          <w:b/>
        </w:rPr>
        <w:t>DERINIMO</w:t>
      </w:r>
      <w:r w:rsidRPr="00E75A57">
        <w:rPr>
          <w:b/>
          <w:caps/>
        </w:rPr>
        <w:t xml:space="preserve"> </w:t>
      </w:r>
      <w:r w:rsidRPr="00E34AA8">
        <w:rPr>
          <w:b/>
          <w:caps/>
        </w:rPr>
        <w:t>Pažyma</w:t>
      </w:r>
    </w:p>
    <w:p w14:paraId="01BA4E28" w14:textId="77777777" w:rsidR="00746634" w:rsidRPr="002A10EA" w:rsidRDefault="00746634" w:rsidP="00746634">
      <w:pPr>
        <w:rPr>
          <w:b/>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8930"/>
        <w:gridCol w:w="4111"/>
      </w:tblGrid>
      <w:tr w:rsidR="00746634" w:rsidRPr="008848D1" w14:paraId="01BA4E2E" w14:textId="77777777" w:rsidTr="00944E1C">
        <w:trPr>
          <w:trHeight w:val="934"/>
        </w:trPr>
        <w:tc>
          <w:tcPr>
            <w:tcW w:w="2014" w:type="dxa"/>
          </w:tcPr>
          <w:p w14:paraId="01BA4E29" w14:textId="77777777" w:rsidR="00746634" w:rsidRPr="002C395C" w:rsidRDefault="00746634" w:rsidP="00746634">
            <w:pPr>
              <w:ind w:right="180"/>
            </w:pPr>
            <w:r w:rsidRPr="002C395C">
              <w:t>Institucija, pateikusi pastabas ir pasiūlymus</w:t>
            </w:r>
          </w:p>
        </w:tc>
        <w:tc>
          <w:tcPr>
            <w:tcW w:w="8930" w:type="dxa"/>
          </w:tcPr>
          <w:p w14:paraId="01BA4E2A" w14:textId="77777777" w:rsidR="00746634" w:rsidRPr="002C395C" w:rsidRDefault="00746634" w:rsidP="00746634">
            <w:pPr>
              <w:ind w:right="180"/>
              <w:jc w:val="center"/>
            </w:pPr>
            <w:r w:rsidRPr="002C395C">
              <w:t>Pastabos ir pasiūlymai</w:t>
            </w:r>
          </w:p>
          <w:p w14:paraId="01BA4E2B" w14:textId="77777777" w:rsidR="00746634" w:rsidRPr="002C395C" w:rsidRDefault="00746634" w:rsidP="00746634">
            <w:pPr>
              <w:ind w:right="180"/>
              <w:jc w:val="center"/>
              <w:rPr>
                <w:b/>
              </w:rPr>
            </w:pPr>
          </w:p>
        </w:tc>
        <w:tc>
          <w:tcPr>
            <w:tcW w:w="4111" w:type="dxa"/>
          </w:tcPr>
          <w:p w14:paraId="01BA4E2C" w14:textId="77777777" w:rsidR="0075147B" w:rsidRDefault="00DC2679" w:rsidP="00746634">
            <w:pPr>
              <w:jc w:val="center"/>
            </w:pPr>
            <w:r>
              <w:t xml:space="preserve">Argumentai, kodėl neatsižvelgta arba tik iš dalies atsižvelgta </w:t>
            </w:r>
          </w:p>
          <w:p w14:paraId="01BA4E2D" w14:textId="77777777" w:rsidR="00746634" w:rsidRPr="002C395C" w:rsidRDefault="00DC2679" w:rsidP="00746634">
            <w:pPr>
              <w:jc w:val="center"/>
            </w:pPr>
            <w:r>
              <w:t>į pastabas ir pasiūlymus</w:t>
            </w:r>
          </w:p>
        </w:tc>
      </w:tr>
      <w:tr w:rsidR="00746634" w:rsidRPr="008A2FB5" w14:paraId="01BA4E32" w14:textId="77777777" w:rsidTr="00944E1C">
        <w:trPr>
          <w:trHeight w:val="264"/>
        </w:trPr>
        <w:tc>
          <w:tcPr>
            <w:tcW w:w="2014" w:type="dxa"/>
          </w:tcPr>
          <w:p w14:paraId="01BA4E2F" w14:textId="77777777" w:rsidR="00746634" w:rsidRDefault="00746634" w:rsidP="00746634">
            <w:pPr>
              <w:tabs>
                <w:tab w:val="left" w:pos="2052"/>
              </w:tabs>
              <w:jc w:val="center"/>
            </w:pPr>
            <w:r>
              <w:t>1</w:t>
            </w:r>
          </w:p>
        </w:tc>
        <w:tc>
          <w:tcPr>
            <w:tcW w:w="8930" w:type="dxa"/>
          </w:tcPr>
          <w:p w14:paraId="01BA4E30" w14:textId="77777777" w:rsidR="00746634" w:rsidRDefault="00746634" w:rsidP="00746634">
            <w:pPr>
              <w:tabs>
                <w:tab w:val="left" w:pos="732"/>
              </w:tabs>
              <w:autoSpaceDE w:val="0"/>
              <w:autoSpaceDN w:val="0"/>
              <w:adjustRightInd w:val="0"/>
              <w:jc w:val="center"/>
            </w:pPr>
            <w:r>
              <w:t>2</w:t>
            </w:r>
          </w:p>
        </w:tc>
        <w:tc>
          <w:tcPr>
            <w:tcW w:w="4111" w:type="dxa"/>
          </w:tcPr>
          <w:p w14:paraId="01BA4E31" w14:textId="77777777" w:rsidR="00746634" w:rsidRPr="00333E80" w:rsidRDefault="00746634" w:rsidP="00746634">
            <w:pPr>
              <w:shd w:val="clear" w:color="auto" w:fill="FFFFFF"/>
              <w:ind w:firstLine="459"/>
              <w:jc w:val="center"/>
            </w:pPr>
            <w:r w:rsidRPr="00333E80">
              <w:t>3</w:t>
            </w:r>
          </w:p>
        </w:tc>
      </w:tr>
      <w:tr w:rsidR="006214CB" w:rsidRPr="008A2FB5" w14:paraId="01BA4E3F" w14:textId="77777777" w:rsidTr="00944E1C">
        <w:trPr>
          <w:trHeight w:val="264"/>
        </w:trPr>
        <w:tc>
          <w:tcPr>
            <w:tcW w:w="2014" w:type="dxa"/>
          </w:tcPr>
          <w:p w14:paraId="01BA4E33" w14:textId="77777777" w:rsidR="006214CB" w:rsidRPr="005C1F70" w:rsidRDefault="006214CB" w:rsidP="00746634">
            <w:r w:rsidRPr="005C1F70">
              <w:t>Lietuvos Respu</w:t>
            </w:r>
            <w:r w:rsidR="00EA162C">
              <w:t>blikos ūkio ministerijos 2018-06-01 raštas   Nr. (37.2-35)3-2246</w:t>
            </w:r>
          </w:p>
          <w:p w14:paraId="01BA4E34" w14:textId="77777777" w:rsidR="006214CB" w:rsidRDefault="006214CB" w:rsidP="00746634">
            <w:pPr>
              <w:tabs>
                <w:tab w:val="left" w:pos="2052"/>
              </w:tabs>
              <w:jc w:val="both"/>
            </w:pPr>
          </w:p>
        </w:tc>
        <w:tc>
          <w:tcPr>
            <w:tcW w:w="8930" w:type="dxa"/>
            <w:tcBorders>
              <w:bottom w:val="single" w:sz="4" w:space="0" w:color="auto"/>
            </w:tcBorders>
          </w:tcPr>
          <w:p w14:paraId="01BA4E35" w14:textId="77777777" w:rsidR="00944E1C" w:rsidRDefault="00944E1C" w:rsidP="00944E1C">
            <w:pPr>
              <w:tabs>
                <w:tab w:val="left" w:pos="732"/>
              </w:tabs>
              <w:autoSpaceDE w:val="0"/>
              <w:autoSpaceDN w:val="0"/>
              <w:adjustRightInd w:val="0"/>
              <w:jc w:val="both"/>
            </w:pPr>
            <w:r>
              <w:t xml:space="preserve">       Susisiekimo ministerijos rašte siūloma valstybei nuosavybės teise priklausantį finansinį turtą, kaip papildomą įnašą, iš Susisiekimo ministerijos administruojamos programos „Transporto ir ryšių politikos įgyvendinimas“ priemonei „Užtikrinti bendros Lietuvos, Latvijos ir Estijos įmonės veiklą įgyvendinant projektą „Rail Baltica 2“ perduoti akcinei bendrovei „Lietuvos geležinkeliai“, t. y. Lietuvos Respublikos Vyriausybės nutarimu skirti valstybės lėšas akcinės bendrovės „Lietuvos geležinkeliai“ įstatiniam kapitalui didinti, nors faktiškai lėšos skiriamos europinės vėžės geležinkelių infrastruktūros statybos projektui „Rail Baltica 2“ įgyvendinti, </w:t>
            </w:r>
            <w:r w:rsidRPr="00B26C3C">
              <w:rPr>
                <w:u w:val="single"/>
              </w:rPr>
              <w:t>t. y. viešajai geležinkelių infrastruktūrai</w:t>
            </w:r>
            <w:r>
              <w:t>.</w:t>
            </w:r>
          </w:p>
          <w:p w14:paraId="01BA4E36" w14:textId="77777777" w:rsidR="00944E1C" w:rsidRDefault="00944E1C" w:rsidP="00944E1C">
            <w:pPr>
              <w:tabs>
                <w:tab w:val="left" w:pos="732"/>
              </w:tabs>
              <w:autoSpaceDE w:val="0"/>
              <w:autoSpaceDN w:val="0"/>
              <w:adjustRightInd w:val="0"/>
              <w:jc w:val="both"/>
            </w:pPr>
            <w:r>
              <w:t xml:space="preserve">        Primename, kad pagal Lietuvos Respublikos geležinkelių transporto kodekso 5 straipsnio 1 dalį viešoji geležinkelių infrastruktūra yra Lietuvos valstybės nuosavybė, o pagal šio kodekso 23 straipsnio 1 dalį viešąją geležinkelių infrastruktūrą patikėjimo teise valdo, naudoja, ja disponuoja, įmonėms teikia su viešosios geležinkelių infrastruktūros valdymu ir priežiūra susijusias paslaugas viešosios geležinkelių infrastruktūros valdytoja – akcinė bendrovė „Lietuvos geležinkeliai“. </w:t>
            </w:r>
          </w:p>
          <w:p w14:paraId="01BA4E37" w14:textId="77777777" w:rsidR="00944E1C" w:rsidRPr="00B26C3C" w:rsidRDefault="00944E1C" w:rsidP="00944E1C">
            <w:pPr>
              <w:tabs>
                <w:tab w:val="left" w:pos="732"/>
              </w:tabs>
              <w:autoSpaceDE w:val="0"/>
              <w:autoSpaceDN w:val="0"/>
              <w:adjustRightInd w:val="0"/>
              <w:jc w:val="both"/>
              <w:rPr>
                <w:u w:val="single"/>
              </w:rPr>
            </w:pPr>
            <w:r>
              <w:t xml:space="preserve">        Europos Sąjungos bendrovių teisėje, kurią įgyvendina Lietuvos Respublikos akcinių bendrovių įstatymas, laikoma, kad akcinės bendrovės įstatinis kapitalas yra tos akcinės bendrovės nuosavo kapitalo dalis ir kreditorių garantija. </w:t>
            </w:r>
            <w:r w:rsidRPr="00B26C3C">
              <w:rPr>
                <w:u w:val="single"/>
              </w:rPr>
              <w:t>Todėl lėšos, skiriamos viešajai geležinkelių infrastruktūrai, kuri yra valstybės nuosavybė, tuo pat metu negali būti laikomos akcinės bendrovės „Lietuvos geležinkeliai“ nuosavybe.</w:t>
            </w:r>
          </w:p>
          <w:p w14:paraId="01BA4E38" w14:textId="77777777" w:rsidR="00944E1C" w:rsidRDefault="00944E1C" w:rsidP="00944E1C">
            <w:pPr>
              <w:tabs>
                <w:tab w:val="left" w:pos="732"/>
              </w:tabs>
              <w:autoSpaceDE w:val="0"/>
              <w:autoSpaceDN w:val="0"/>
              <w:adjustRightInd w:val="0"/>
              <w:jc w:val="both"/>
            </w:pPr>
            <w:r>
              <w:t xml:space="preserve">      Ūkio ministerija laikosi nuomonės, kuri jau buvo išreikšta derinant analogiško pobūdžio Lietuvos Respublikos Vyriausybės nutarimų projektus, kad akcinė bendrovė „Lietuvos geležinkeliai“, būdama viena didžiausių ir svarbiausių Lietuvoje veikiančių valstybės valdomų bendrovių, privalo kaip ir visos kitos akcinės bendrovės laikytis Akcinių bendrovių įstatymo nuostatų dėl įstatinio kapitalo didinimo.</w:t>
            </w:r>
          </w:p>
          <w:p w14:paraId="01BA4E39" w14:textId="77777777" w:rsidR="00944E1C" w:rsidRDefault="00944E1C" w:rsidP="00944E1C">
            <w:pPr>
              <w:tabs>
                <w:tab w:val="left" w:pos="732"/>
              </w:tabs>
              <w:autoSpaceDE w:val="0"/>
              <w:autoSpaceDN w:val="0"/>
              <w:adjustRightInd w:val="0"/>
              <w:jc w:val="both"/>
            </w:pPr>
          </w:p>
          <w:p w14:paraId="01BA4E3A" w14:textId="77777777" w:rsidR="006214CB" w:rsidRDefault="006214CB" w:rsidP="00A00E3C">
            <w:pPr>
              <w:tabs>
                <w:tab w:val="left" w:pos="732"/>
              </w:tabs>
              <w:autoSpaceDE w:val="0"/>
              <w:autoSpaceDN w:val="0"/>
              <w:adjustRightInd w:val="0"/>
              <w:jc w:val="both"/>
            </w:pPr>
          </w:p>
        </w:tc>
        <w:tc>
          <w:tcPr>
            <w:tcW w:w="4111" w:type="dxa"/>
            <w:tcBorders>
              <w:bottom w:val="single" w:sz="4" w:space="0" w:color="auto"/>
            </w:tcBorders>
          </w:tcPr>
          <w:p w14:paraId="01BA4E3B" w14:textId="77777777" w:rsidR="002B7DCA" w:rsidRDefault="002B7DCA" w:rsidP="00E90175">
            <w:pPr>
              <w:shd w:val="clear" w:color="auto" w:fill="FFFFFF"/>
              <w:jc w:val="both"/>
              <w:rPr>
                <w:b/>
              </w:rPr>
            </w:pPr>
            <w:r>
              <w:rPr>
                <w:b/>
              </w:rPr>
              <w:t xml:space="preserve">   </w:t>
            </w:r>
            <w:r w:rsidR="00E65B4D" w:rsidRPr="00E65B4D">
              <w:rPr>
                <w:b/>
              </w:rPr>
              <w:t>Nea</w:t>
            </w:r>
            <w:r w:rsidR="006214CB" w:rsidRPr="00E65B4D">
              <w:rPr>
                <w:b/>
              </w:rPr>
              <w:t>tsižvelgta</w:t>
            </w:r>
            <w:r w:rsidR="00E65B4D" w:rsidRPr="00E65B4D">
              <w:rPr>
                <w:b/>
              </w:rPr>
              <w:t xml:space="preserve">. </w:t>
            </w:r>
          </w:p>
          <w:p w14:paraId="01BA4E3C" w14:textId="14B8197D" w:rsidR="00EC139E" w:rsidRPr="00351406" w:rsidRDefault="00EC139E" w:rsidP="006214CB">
            <w:pPr>
              <w:shd w:val="clear" w:color="auto" w:fill="FFFFFF"/>
              <w:jc w:val="both"/>
              <w:rPr>
                <w:u w:val="single"/>
              </w:rPr>
            </w:pPr>
            <w:r>
              <w:t xml:space="preserve">   </w:t>
            </w:r>
            <w:r w:rsidRPr="00EC139E">
              <w:t xml:space="preserve">Susisiekimo ministerija pažymi, kad valstybei nuosavybės teise priklausantis finansinis turtas (650 196,90 euro) kaip papildomas įnašas iš Susisiekimo ministerijos administruojamos programos „Transporto ir ryšių politikos įgyvendinimas“ priemonei „Užtikrinti bendros Lietuvos, Latvijos ir Estijos įmonės veiklą įgyvendinant projektą „Rail Baltica 2“ įgyvendinti </w:t>
            </w:r>
            <w:r w:rsidRPr="00351406">
              <w:rPr>
                <w:u w:val="single"/>
              </w:rPr>
              <w:t xml:space="preserve">perduodamas akcinės bendrovės „Lietuvos geležinkeliai“ kapitalui </w:t>
            </w:r>
            <w:r w:rsidR="00351406">
              <w:rPr>
                <w:u w:val="single"/>
              </w:rPr>
              <w:t>didinti. Lėšos</w:t>
            </w:r>
            <w:r w:rsidRPr="00351406">
              <w:rPr>
                <w:u w:val="single"/>
              </w:rPr>
              <w:t xml:space="preserve"> skiriamos bendros įmonės </w:t>
            </w:r>
            <w:r w:rsidR="002956D2">
              <w:rPr>
                <w:u w:val="single"/>
              </w:rPr>
              <w:t>„</w:t>
            </w:r>
            <w:r w:rsidRPr="00351406">
              <w:rPr>
                <w:u w:val="single"/>
              </w:rPr>
              <w:t>RB R</w:t>
            </w:r>
            <w:r w:rsidR="002956D2">
              <w:rPr>
                <w:u w:val="single"/>
              </w:rPr>
              <w:t>ail AS“</w:t>
            </w:r>
            <w:r w:rsidRPr="00351406">
              <w:rPr>
                <w:u w:val="single"/>
              </w:rPr>
              <w:t xml:space="preserve"> </w:t>
            </w:r>
            <w:r w:rsidR="00351406">
              <w:rPr>
                <w:u w:val="single"/>
              </w:rPr>
              <w:t xml:space="preserve">(projekto koordinatoriaus) </w:t>
            </w:r>
            <w:r w:rsidRPr="00351406">
              <w:rPr>
                <w:u w:val="single"/>
              </w:rPr>
              <w:t>veiklai užtikrinti, o ne viešajai geležinkelių infrastruktūrai kurti ar modernizuoti.</w:t>
            </w:r>
          </w:p>
          <w:p w14:paraId="01BA4E3D" w14:textId="77777777" w:rsidR="00E90175" w:rsidRPr="00EC139E" w:rsidRDefault="00E90175" w:rsidP="006214CB">
            <w:pPr>
              <w:shd w:val="clear" w:color="auto" w:fill="FFFFFF"/>
              <w:jc w:val="both"/>
            </w:pPr>
          </w:p>
          <w:p w14:paraId="01BA4E3E" w14:textId="77777777" w:rsidR="006214CB" w:rsidRPr="00333E80" w:rsidRDefault="006214CB" w:rsidP="00746634">
            <w:pPr>
              <w:shd w:val="clear" w:color="auto" w:fill="FFFFFF"/>
              <w:ind w:firstLine="459"/>
              <w:jc w:val="both"/>
            </w:pPr>
          </w:p>
        </w:tc>
      </w:tr>
    </w:tbl>
    <w:p w14:paraId="01BA4E40" w14:textId="77777777" w:rsidR="00746634" w:rsidRDefault="00746634" w:rsidP="00746634">
      <w:pPr>
        <w:jc w:val="center"/>
      </w:pPr>
      <w:r>
        <w:t>______________________________________</w:t>
      </w:r>
    </w:p>
    <w:p w14:paraId="01BA4E41" w14:textId="77777777" w:rsidR="00AF02E9" w:rsidRDefault="00AF02E9" w:rsidP="00746634"/>
    <w:sectPr w:rsidR="00AF02E9" w:rsidSect="00BF3B19">
      <w:headerReference w:type="default" r:id="rId6"/>
      <w:pgSz w:w="16838" w:h="11906" w:orient="landscape"/>
      <w:pgMar w:top="709" w:right="816"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9D477D" w16cid:durableId="1ED73C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4E44" w14:textId="77777777" w:rsidR="00F5347F" w:rsidRDefault="00F5347F">
      <w:r>
        <w:separator/>
      </w:r>
    </w:p>
  </w:endnote>
  <w:endnote w:type="continuationSeparator" w:id="0">
    <w:p w14:paraId="01BA4E45" w14:textId="77777777" w:rsidR="00F5347F" w:rsidRDefault="00F5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A4E42" w14:textId="77777777" w:rsidR="00F5347F" w:rsidRDefault="00F5347F">
      <w:r>
        <w:separator/>
      </w:r>
    </w:p>
  </w:footnote>
  <w:footnote w:type="continuationSeparator" w:id="0">
    <w:p w14:paraId="01BA4E43" w14:textId="77777777" w:rsidR="00F5347F" w:rsidRDefault="00F53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4E46" w14:textId="77777777" w:rsidR="006031DC" w:rsidRDefault="0089656B">
    <w:pPr>
      <w:pStyle w:val="Antrats"/>
      <w:jc w:val="center"/>
    </w:pPr>
    <w:r>
      <w:fldChar w:fldCharType="begin"/>
    </w:r>
    <w:r>
      <w:instrText xml:space="preserve"> PAGE   \* MERGEFORMAT </w:instrText>
    </w:r>
    <w:r>
      <w:fldChar w:fldCharType="separate"/>
    </w:r>
    <w:r w:rsidR="00EC139E">
      <w:rPr>
        <w:noProof/>
      </w:rPr>
      <w:t>2</w:t>
    </w:r>
    <w:r>
      <w:fldChar w:fldCharType="end"/>
    </w:r>
  </w:p>
  <w:p w14:paraId="01BA4E47" w14:textId="77777777" w:rsidR="006031DC" w:rsidRDefault="008D7F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34"/>
    <w:rsid w:val="00010397"/>
    <w:rsid w:val="000660D2"/>
    <w:rsid w:val="000B28B6"/>
    <w:rsid w:val="001E0B44"/>
    <w:rsid w:val="00256902"/>
    <w:rsid w:val="00261EC4"/>
    <w:rsid w:val="00281994"/>
    <w:rsid w:val="00285E79"/>
    <w:rsid w:val="002956D2"/>
    <w:rsid w:val="002B7DCA"/>
    <w:rsid w:val="002C5887"/>
    <w:rsid w:val="00351406"/>
    <w:rsid w:val="003D7E67"/>
    <w:rsid w:val="00465D92"/>
    <w:rsid w:val="004E304B"/>
    <w:rsid w:val="0055258A"/>
    <w:rsid w:val="005B568D"/>
    <w:rsid w:val="006214CB"/>
    <w:rsid w:val="00632D40"/>
    <w:rsid w:val="00746634"/>
    <w:rsid w:val="0075147B"/>
    <w:rsid w:val="007A5B9A"/>
    <w:rsid w:val="00833071"/>
    <w:rsid w:val="0089656B"/>
    <w:rsid w:val="008D160B"/>
    <w:rsid w:val="008D7F06"/>
    <w:rsid w:val="00926455"/>
    <w:rsid w:val="0093581B"/>
    <w:rsid w:val="00944E1C"/>
    <w:rsid w:val="00A00E3C"/>
    <w:rsid w:val="00AF02E9"/>
    <w:rsid w:val="00B26C3C"/>
    <w:rsid w:val="00C43FEF"/>
    <w:rsid w:val="00C869F4"/>
    <w:rsid w:val="00D21587"/>
    <w:rsid w:val="00DC2679"/>
    <w:rsid w:val="00E42F3D"/>
    <w:rsid w:val="00E438A1"/>
    <w:rsid w:val="00E65B4D"/>
    <w:rsid w:val="00E90175"/>
    <w:rsid w:val="00EA162C"/>
    <w:rsid w:val="00EC139E"/>
    <w:rsid w:val="00F249C1"/>
    <w:rsid w:val="00F5347F"/>
    <w:rsid w:val="00F72047"/>
    <w:rsid w:val="00FC5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4E25"/>
  <w15:chartTrackingRefBased/>
  <w15:docId w15:val="{A8003AF8-DF2F-4DB8-B66B-C3486AF2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63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46634"/>
    <w:pPr>
      <w:tabs>
        <w:tab w:val="center" w:pos="4153"/>
        <w:tab w:val="right" w:pos="8306"/>
      </w:tabs>
    </w:pPr>
    <w:rPr>
      <w:szCs w:val="20"/>
      <w:lang w:eastAsia="en-US"/>
    </w:rPr>
  </w:style>
  <w:style w:type="character" w:customStyle="1" w:styleId="AntratsDiagrama">
    <w:name w:val="Antraštės Diagrama"/>
    <w:basedOn w:val="Numatytasispastraiposriftas"/>
    <w:link w:val="Antrats"/>
    <w:uiPriority w:val="99"/>
    <w:rsid w:val="00746634"/>
    <w:rPr>
      <w:rFonts w:ascii="Times New Roman" w:eastAsia="Times New Roman" w:hAnsi="Times New Roman" w:cs="Times New Roman"/>
      <w:sz w:val="24"/>
      <w:szCs w:val="20"/>
    </w:rPr>
  </w:style>
  <w:style w:type="paragraph" w:customStyle="1" w:styleId="statymopavad">
    <w:name w:val="Įstatymo pavad."/>
    <w:basedOn w:val="prastasis"/>
    <w:rsid w:val="00746634"/>
    <w:pPr>
      <w:spacing w:line="360" w:lineRule="auto"/>
      <w:ind w:firstLine="720"/>
      <w:jc w:val="center"/>
    </w:pPr>
    <w:rPr>
      <w:rFonts w:ascii="TimesLT" w:hAnsi="TimesLT"/>
      <w:caps/>
      <w:szCs w:val="20"/>
      <w:lang w:eastAsia="en-US"/>
    </w:rPr>
  </w:style>
  <w:style w:type="paragraph" w:styleId="Betarp">
    <w:name w:val="No Spacing"/>
    <w:uiPriority w:val="1"/>
    <w:qFormat/>
    <w:rsid w:val="00E90175"/>
    <w:pPr>
      <w:spacing w:after="0" w:line="240" w:lineRule="auto"/>
    </w:pPr>
  </w:style>
  <w:style w:type="paragraph" w:styleId="Debesliotekstas">
    <w:name w:val="Balloon Text"/>
    <w:basedOn w:val="prastasis"/>
    <w:link w:val="DebesliotekstasDiagrama"/>
    <w:uiPriority w:val="99"/>
    <w:semiHidden/>
    <w:unhideWhenUsed/>
    <w:rsid w:val="008D16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60B"/>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3D7E67"/>
    <w:rPr>
      <w:sz w:val="16"/>
      <w:szCs w:val="16"/>
    </w:rPr>
  </w:style>
  <w:style w:type="paragraph" w:styleId="Komentarotekstas">
    <w:name w:val="annotation text"/>
    <w:basedOn w:val="prastasis"/>
    <w:link w:val="KomentarotekstasDiagrama"/>
    <w:uiPriority w:val="99"/>
    <w:semiHidden/>
    <w:unhideWhenUsed/>
    <w:rsid w:val="003D7E67"/>
    <w:rPr>
      <w:sz w:val="20"/>
      <w:szCs w:val="20"/>
    </w:rPr>
  </w:style>
  <w:style w:type="character" w:customStyle="1" w:styleId="KomentarotekstasDiagrama">
    <w:name w:val="Komentaro tekstas Diagrama"/>
    <w:basedOn w:val="Numatytasispastraiposriftas"/>
    <w:link w:val="Komentarotekstas"/>
    <w:uiPriority w:val="99"/>
    <w:semiHidden/>
    <w:rsid w:val="003D7E6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D7E67"/>
    <w:rPr>
      <w:b/>
      <w:bCs/>
    </w:rPr>
  </w:style>
  <w:style w:type="character" w:customStyle="1" w:styleId="KomentarotemaDiagrama">
    <w:name w:val="Komentaro tema Diagrama"/>
    <w:basedOn w:val="KomentarotekstasDiagrama"/>
    <w:link w:val="Komentarotema"/>
    <w:uiPriority w:val="99"/>
    <w:semiHidden/>
    <w:rsid w:val="003D7E6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433">
      <w:bodyDiv w:val="1"/>
      <w:marLeft w:val="0"/>
      <w:marRight w:val="0"/>
      <w:marTop w:val="0"/>
      <w:marBottom w:val="0"/>
      <w:divBdr>
        <w:top w:val="none" w:sz="0" w:space="0" w:color="auto"/>
        <w:left w:val="none" w:sz="0" w:space="0" w:color="auto"/>
        <w:bottom w:val="none" w:sz="0" w:space="0" w:color="auto"/>
        <w:right w:val="none" w:sz="0" w:space="0" w:color="auto"/>
      </w:divBdr>
    </w:div>
    <w:div w:id="2042439074">
      <w:bodyDiv w:val="1"/>
      <w:marLeft w:val="0"/>
      <w:marRight w:val="0"/>
      <w:marTop w:val="0"/>
      <w:marBottom w:val="0"/>
      <w:divBdr>
        <w:top w:val="none" w:sz="0" w:space="0" w:color="auto"/>
        <w:left w:val="none" w:sz="0" w:space="0" w:color="auto"/>
        <w:bottom w:val="none" w:sz="0" w:space="0" w:color="auto"/>
        <w:right w:val="none" w:sz="0" w:space="0" w:color="auto"/>
      </w:divBdr>
      <w:divsChild>
        <w:div w:id="1248491194">
          <w:marLeft w:val="0"/>
          <w:marRight w:val="0"/>
          <w:marTop w:val="0"/>
          <w:marBottom w:val="0"/>
          <w:divBdr>
            <w:top w:val="none" w:sz="0" w:space="0" w:color="auto"/>
            <w:left w:val="none" w:sz="0" w:space="0" w:color="auto"/>
            <w:bottom w:val="none" w:sz="0" w:space="0" w:color="auto"/>
            <w:right w:val="none" w:sz="0" w:space="0" w:color="auto"/>
          </w:divBdr>
          <w:divsChild>
            <w:div w:id="824518434">
              <w:marLeft w:val="0"/>
              <w:marRight w:val="0"/>
              <w:marTop w:val="0"/>
              <w:marBottom w:val="0"/>
              <w:divBdr>
                <w:top w:val="none" w:sz="0" w:space="0" w:color="auto"/>
                <w:left w:val="none" w:sz="0" w:space="0" w:color="auto"/>
                <w:bottom w:val="none" w:sz="0" w:space="0" w:color="auto"/>
                <w:right w:val="none" w:sz="0" w:space="0" w:color="auto"/>
              </w:divBdr>
              <w:divsChild>
                <w:div w:id="1619679179">
                  <w:marLeft w:val="0"/>
                  <w:marRight w:val="0"/>
                  <w:marTop w:val="0"/>
                  <w:marBottom w:val="0"/>
                  <w:divBdr>
                    <w:top w:val="none" w:sz="0" w:space="0" w:color="auto"/>
                    <w:left w:val="none" w:sz="0" w:space="0" w:color="auto"/>
                    <w:bottom w:val="none" w:sz="0" w:space="0" w:color="auto"/>
                    <w:right w:val="none" w:sz="0" w:space="0" w:color="auto"/>
                  </w:divBdr>
                  <w:divsChild>
                    <w:div w:id="1533109075">
                      <w:marLeft w:val="0"/>
                      <w:marRight w:val="0"/>
                      <w:marTop w:val="0"/>
                      <w:marBottom w:val="0"/>
                      <w:divBdr>
                        <w:top w:val="none" w:sz="0" w:space="0" w:color="auto"/>
                        <w:left w:val="none" w:sz="0" w:space="0" w:color="auto"/>
                        <w:bottom w:val="none" w:sz="0" w:space="0" w:color="auto"/>
                        <w:right w:val="none" w:sz="0" w:space="0" w:color="auto"/>
                      </w:divBdr>
                    </w:div>
                    <w:div w:id="852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2"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1975</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2018-06-25T08:08:00Z</dcterms:created>
  <dc:creator>Indrė</dc:creator>
  <cp:lastModifiedBy>Roma Andruškevičienė</cp:lastModifiedBy>
  <cp:lastPrinted>2018-05-11T05:48:00Z</cp:lastPrinted>
  <dcterms:modified xsi:type="dcterms:W3CDTF">2018-06-25T08:24:00Z</dcterms:modified>
  <cp:revision>4</cp:revision>
</cp:coreProperties>
</file>