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51AC" w14:textId="77777777" w:rsidR="00517107" w:rsidRDefault="00517107" w:rsidP="009546D6">
      <w:pPr>
        <w:ind w:firstLine="709"/>
        <w:jc w:val="center"/>
        <w:outlineLvl w:val="0"/>
        <w:rPr>
          <w:b/>
        </w:rPr>
      </w:pPr>
      <w:bookmarkStart w:id="0" w:name="_GoBack"/>
      <w:bookmarkEnd w:id="0"/>
      <w:r w:rsidRPr="00A65B2F">
        <w:rPr>
          <w:b/>
        </w:rPr>
        <w:t>DERINIMO PAŽYMA</w:t>
      </w:r>
    </w:p>
    <w:p w14:paraId="246B1917" w14:textId="04765C8B" w:rsidR="00AF5B58" w:rsidRPr="00A65B2F" w:rsidRDefault="00AF5B58" w:rsidP="009546D6">
      <w:pPr>
        <w:ind w:firstLine="709"/>
        <w:jc w:val="center"/>
        <w:outlineLvl w:val="0"/>
        <w:rPr>
          <w:b/>
        </w:rPr>
      </w:pPr>
      <w:r w:rsidRPr="00AF5B58">
        <w:rPr>
          <w:b/>
        </w:rPr>
        <w:t xml:space="preserve">DĖL </w:t>
      </w:r>
      <w:r>
        <w:rPr>
          <w:b/>
        </w:rPr>
        <w:t xml:space="preserve">LIETUVOS RESPUBLIKOS VYRIAUSYBĖS NUTARIMO </w:t>
      </w:r>
      <w:r w:rsidR="00B326CC">
        <w:rPr>
          <w:b/>
        </w:rPr>
        <w:t>„</w:t>
      </w:r>
      <w:r>
        <w:rPr>
          <w:b/>
        </w:rPr>
        <w:t xml:space="preserve">DĖL </w:t>
      </w:r>
      <w:r w:rsidRPr="00AF5B58">
        <w:rPr>
          <w:b/>
        </w:rPr>
        <w:t>STRATEGINĖS KOMUNIKACIJOS NACIONALINIO SAUGUMO SRITYJE KOORDINAVIMO TVARKOS APRAŠO</w:t>
      </w:r>
      <w:r w:rsidR="00B326CC">
        <w:rPr>
          <w:b/>
        </w:rPr>
        <w:t>“</w:t>
      </w:r>
      <w:r w:rsidRPr="00AF5B58">
        <w:rPr>
          <w:b/>
        </w:rPr>
        <w:t xml:space="preserve"> PATVIRTINIMO</w:t>
      </w:r>
    </w:p>
    <w:p w14:paraId="3BAE4685" w14:textId="2E64ACB4" w:rsidR="00172779" w:rsidRDefault="00172779" w:rsidP="009546D6">
      <w:pPr>
        <w:jc w:val="center"/>
        <w:rPr>
          <w:b/>
        </w:rPr>
      </w:pPr>
      <w:r>
        <w:rPr>
          <w:b/>
        </w:rPr>
        <w:t>PROJEKT</w:t>
      </w:r>
      <w:r w:rsidR="00AF5B58">
        <w:rPr>
          <w:b/>
        </w:rPr>
        <w:t>O</w:t>
      </w:r>
    </w:p>
    <w:p w14:paraId="6742371A" w14:textId="7248C5BF" w:rsidR="000C0D6D" w:rsidRDefault="000C0D6D" w:rsidP="009546D6">
      <w:pPr>
        <w:jc w:val="center"/>
        <w:rPr>
          <w:b/>
        </w:rPr>
      </w:pPr>
    </w:p>
    <w:tbl>
      <w:tblPr>
        <w:tblStyle w:val="TableGrid"/>
        <w:tblW w:w="0" w:type="auto"/>
        <w:tblLook w:val="04A0" w:firstRow="1" w:lastRow="0" w:firstColumn="1" w:lastColumn="0" w:noHBand="0" w:noVBand="1"/>
      </w:tblPr>
      <w:tblGrid>
        <w:gridCol w:w="1696"/>
        <w:gridCol w:w="4820"/>
        <w:gridCol w:w="7477"/>
      </w:tblGrid>
      <w:tr w:rsidR="000C0D6D" w14:paraId="13F9858C" w14:textId="77777777" w:rsidTr="000C0D6D">
        <w:tc>
          <w:tcPr>
            <w:tcW w:w="1696" w:type="dxa"/>
          </w:tcPr>
          <w:p w14:paraId="4244E040" w14:textId="4BD097C5" w:rsidR="000C0D6D" w:rsidRPr="000C0D6D" w:rsidRDefault="000C0D6D" w:rsidP="000C0D6D">
            <w:pPr>
              <w:jc w:val="both"/>
              <w:rPr>
                <w:b/>
              </w:rPr>
            </w:pPr>
            <w:r w:rsidRPr="000C0D6D">
              <w:rPr>
                <w:b/>
              </w:rPr>
              <w:t>Institucija</w:t>
            </w:r>
          </w:p>
        </w:tc>
        <w:tc>
          <w:tcPr>
            <w:tcW w:w="4820" w:type="dxa"/>
          </w:tcPr>
          <w:p w14:paraId="675BD369" w14:textId="596A5CD3" w:rsidR="000C0D6D" w:rsidRPr="000C0D6D" w:rsidRDefault="000C0D6D" w:rsidP="000C0D6D">
            <w:pPr>
              <w:jc w:val="both"/>
              <w:rPr>
                <w:b/>
              </w:rPr>
            </w:pPr>
            <w:r w:rsidRPr="000C0D6D">
              <w:rPr>
                <w:b/>
              </w:rPr>
              <w:t>Pastabos</w:t>
            </w:r>
          </w:p>
        </w:tc>
        <w:tc>
          <w:tcPr>
            <w:tcW w:w="7477" w:type="dxa"/>
          </w:tcPr>
          <w:p w14:paraId="48CA4D05" w14:textId="72479912" w:rsidR="000C0D6D" w:rsidRPr="000C0D6D" w:rsidRDefault="000C0D6D" w:rsidP="000C0D6D">
            <w:pPr>
              <w:jc w:val="both"/>
              <w:rPr>
                <w:b/>
              </w:rPr>
            </w:pPr>
            <w:r w:rsidRPr="000C0D6D">
              <w:rPr>
                <w:b/>
              </w:rPr>
              <w:t>Komentarai</w:t>
            </w:r>
          </w:p>
        </w:tc>
      </w:tr>
      <w:tr w:rsidR="000C0D6D" w14:paraId="3A236848" w14:textId="77777777" w:rsidTr="000C0D6D">
        <w:trPr>
          <w:trHeight w:val="348"/>
        </w:trPr>
        <w:tc>
          <w:tcPr>
            <w:tcW w:w="1696" w:type="dxa"/>
            <w:vMerge w:val="restart"/>
          </w:tcPr>
          <w:p w14:paraId="24AFBDF2" w14:textId="63A06B67" w:rsidR="000C0D6D" w:rsidRPr="000C0D6D" w:rsidRDefault="000C0D6D" w:rsidP="000C0D6D">
            <w:pPr>
              <w:widowControl w:val="0"/>
              <w:jc w:val="both"/>
              <w:rPr>
                <w:rStyle w:val="fontstyle51"/>
              </w:rPr>
            </w:pPr>
            <w:r w:rsidRPr="000C0D6D">
              <w:rPr>
                <w:rStyle w:val="fontstyle51"/>
              </w:rPr>
              <w:t>Krašto apsaugos ministerijos 2020-06-17</w:t>
            </w:r>
          </w:p>
          <w:p w14:paraId="6684FF55" w14:textId="0516AEEE" w:rsidR="000C0D6D" w:rsidRPr="000C0D6D" w:rsidRDefault="000C0D6D" w:rsidP="000C0D6D">
            <w:pPr>
              <w:jc w:val="both"/>
              <w:rPr>
                <w:b/>
              </w:rPr>
            </w:pPr>
            <w:r w:rsidRPr="000C0D6D">
              <w:rPr>
                <w:rStyle w:val="fontstyle51"/>
              </w:rPr>
              <w:t>raštas</w:t>
            </w:r>
          </w:p>
        </w:tc>
        <w:tc>
          <w:tcPr>
            <w:tcW w:w="4820" w:type="dxa"/>
          </w:tcPr>
          <w:p w14:paraId="174457EB" w14:textId="1C453C57" w:rsidR="000C0D6D" w:rsidRPr="000C0D6D" w:rsidRDefault="000C0D6D" w:rsidP="000C0D6D">
            <w:pPr>
              <w:jc w:val="both"/>
              <w:rPr>
                <w:bCs/>
              </w:rPr>
            </w:pPr>
            <w:r w:rsidRPr="000C0D6D">
              <w:rPr>
                <w:bCs/>
              </w:rPr>
              <w:t>1. Atsižvelgiant į Tvarkos aprašo projekto 13</w:t>
            </w:r>
            <w:r w:rsidR="00B326CC">
              <w:rPr>
                <w:bCs/>
              </w:rPr>
              <w:t> </w:t>
            </w:r>
            <w:r w:rsidRPr="000C0D6D">
              <w:rPr>
                <w:bCs/>
              </w:rPr>
              <w:t>punktą, atsaką į informacinį incidentą galima pradėti tik nustačius galimą informacinį incidentą. Vadovaujantis Tvarkos aprašo projekto 2.1 papunktyje nurodyto informacinio incidento sąvokos apibrėžimu, siekiant identifikuoti tam tikrus informacinio incidento požymius, tokius kaip incidento šaltinis (ne Europos Sąjunga ir ne NATO) ar išankstinis pasiruošimas (planuotas informacinis veiksmas), reikėtų atlikti tiriamuosius veiksmus, o tai reikalauja laiko, kuris, atsižvelgiant į Tvarkos aprašo projekto IV skyriuje (Atsakas į informacinius incidentus) nustatytus gana trumpus reagavimo terminus, yra svarbus. Taip sukuriama situacija, kai, neatlikus išsamaus tyrimo, apskritai nebūtų galima pradėti atsako į informacinį incidentą. Siūlytina apsvarstyti, ar visi 2.1 papunktyje nurodytos sąvokos požymiai yra būtini, atsisakant požymių, nesusijusių su padariniais nacionalinio saugumo interesams.</w:t>
            </w:r>
          </w:p>
        </w:tc>
        <w:tc>
          <w:tcPr>
            <w:tcW w:w="7477" w:type="dxa"/>
          </w:tcPr>
          <w:p w14:paraId="368DB24C" w14:textId="77777777" w:rsidR="000C0D6D" w:rsidRPr="000C0D6D" w:rsidRDefault="000C0D6D" w:rsidP="000C0D6D">
            <w:pPr>
              <w:jc w:val="both"/>
              <w:rPr>
                <w:rStyle w:val="fontstyle51"/>
              </w:rPr>
            </w:pPr>
            <w:r w:rsidRPr="000C0D6D">
              <w:rPr>
                <w:rStyle w:val="fontstyle51"/>
              </w:rPr>
              <w:t xml:space="preserve">Neatsižvelgta. </w:t>
            </w:r>
          </w:p>
          <w:p w14:paraId="33ED8566" w14:textId="7B4CC015" w:rsidR="000C0D6D" w:rsidRPr="000C0D6D" w:rsidRDefault="000C0D6D">
            <w:pPr>
              <w:jc w:val="both"/>
              <w:rPr>
                <w:b/>
              </w:rPr>
            </w:pPr>
            <w:r w:rsidRPr="000C0D6D">
              <w:rPr>
                <w:rStyle w:val="fontstyle51"/>
              </w:rPr>
              <w:t xml:space="preserve">Reaguojant į informacinius incidentus lemiamą vaidmenį vaidina atsako greitis. Siekiant </w:t>
            </w:r>
            <w:r w:rsidR="00B326CC">
              <w:rPr>
                <w:rStyle w:val="fontstyle51"/>
              </w:rPr>
              <w:t>išspręsti</w:t>
            </w:r>
            <w:r w:rsidR="00B326CC" w:rsidRPr="000C0D6D">
              <w:rPr>
                <w:rStyle w:val="fontstyle51"/>
              </w:rPr>
              <w:t xml:space="preserve"> </w:t>
            </w:r>
            <w:r w:rsidRPr="000C0D6D">
              <w:rPr>
                <w:rStyle w:val="fontstyle51"/>
              </w:rPr>
              <w:t>K</w:t>
            </w:r>
            <w:r w:rsidR="00B326CC">
              <w:rPr>
                <w:rStyle w:val="fontstyle51"/>
              </w:rPr>
              <w:t>rašto apsaugos ministerijos</w:t>
            </w:r>
            <w:r w:rsidRPr="000C0D6D">
              <w:rPr>
                <w:rStyle w:val="fontstyle51"/>
              </w:rPr>
              <w:t xml:space="preserve"> </w:t>
            </w:r>
            <w:r w:rsidR="00B326CC">
              <w:rPr>
                <w:rStyle w:val="fontstyle51"/>
              </w:rPr>
              <w:t>iš</w:t>
            </w:r>
            <w:r w:rsidRPr="000C0D6D">
              <w:rPr>
                <w:rStyle w:val="fontstyle51"/>
              </w:rPr>
              <w:t>vard</w:t>
            </w:r>
            <w:r w:rsidR="00B326CC">
              <w:rPr>
                <w:rStyle w:val="fontstyle51"/>
              </w:rPr>
              <w:t>y</w:t>
            </w:r>
            <w:r w:rsidRPr="000C0D6D">
              <w:rPr>
                <w:rStyle w:val="fontstyle51"/>
              </w:rPr>
              <w:t>tus iššūkius įvedamas konsultacijų mechanizmas, kuris pailgina analizės laiką</w:t>
            </w:r>
            <w:r w:rsidR="00B326CC">
              <w:rPr>
                <w:rStyle w:val="fontstyle51"/>
              </w:rPr>
              <w:t xml:space="preserve"> ir</w:t>
            </w:r>
            <w:r w:rsidRPr="000C0D6D">
              <w:rPr>
                <w:rStyle w:val="fontstyle51"/>
              </w:rPr>
              <w:t xml:space="preserve"> leidžia institucijos vertinimus palyginti su kitų suinteresuotų institucijų vertinimais. Vykdant ilgalaikį ir gilų tyrimą, reakcija į informacinį incidentą gali būti nebeaktuali.</w:t>
            </w:r>
          </w:p>
        </w:tc>
      </w:tr>
      <w:tr w:rsidR="000C0D6D" w14:paraId="4671A695" w14:textId="77777777" w:rsidTr="000C0D6D">
        <w:trPr>
          <w:trHeight w:val="346"/>
        </w:trPr>
        <w:tc>
          <w:tcPr>
            <w:tcW w:w="1696" w:type="dxa"/>
            <w:vMerge/>
          </w:tcPr>
          <w:p w14:paraId="06B8B1ED" w14:textId="77777777" w:rsidR="000C0D6D" w:rsidRPr="000C0D6D" w:rsidRDefault="000C0D6D" w:rsidP="000C0D6D">
            <w:pPr>
              <w:widowControl w:val="0"/>
              <w:jc w:val="both"/>
              <w:rPr>
                <w:rStyle w:val="fontstyle51"/>
              </w:rPr>
            </w:pPr>
          </w:p>
        </w:tc>
        <w:tc>
          <w:tcPr>
            <w:tcW w:w="4820" w:type="dxa"/>
          </w:tcPr>
          <w:p w14:paraId="768E9581" w14:textId="4A71E036" w:rsidR="000C0D6D" w:rsidRPr="000C0D6D" w:rsidRDefault="000C0D6D" w:rsidP="000C0D6D">
            <w:pPr>
              <w:jc w:val="both"/>
              <w:rPr>
                <w:bCs/>
              </w:rPr>
            </w:pPr>
            <w:r w:rsidRPr="000C0D6D">
              <w:rPr>
                <w:bCs/>
              </w:rPr>
              <w:t>2. Siūlytina suderinti Tvarkos aprašo projekto 15 ir 16 punkt</w:t>
            </w:r>
            <w:r w:rsidR="00B326CC">
              <w:rPr>
                <w:bCs/>
              </w:rPr>
              <w:t>ų</w:t>
            </w:r>
            <w:r w:rsidRPr="000C0D6D">
              <w:rPr>
                <w:bCs/>
              </w:rPr>
              <w:t xml:space="preserve"> terminus, nes, vadovaujantis Tvarko aprašo projekto 15 punktu, Vyriausybės kanceliarija per 1 valandą turi kreiptis dėl konsultacijų, tačiau, jeigu Vyriausybės kanceliarija maksimaliai išnaudoja 1 valandos terminą dėl konsultacijų, tai nebeturi galimybės </w:t>
            </w:r>
            <w:r w:rsidRPr="000C0D6D">
              <w:rPr>
                <w:bCs/>
              </w:rPr>
              <w:lastRenderedPageBreak/>
              <w:t>pasinaudoti 16 punkte numatytu 1 valandos terminu, nes terminų pradžios momentas yra tas pats.</w:t>
            </w:r>
          </w:p>
        </w:tc>
        <w:tc>
          <w:tcPr>
            <w:tcW w:w="7477" w:type="dxa"/>
          </w:tcPr>
          <w:p w14:paraId="7D129BE3" w14:textId="77777777" w:rsidR="000C0D6D" w:rsidRPr="000C0D6D" w:rsidRDefault="000C0D6D" w:rsidP="000C0D6D">
            <w:pPr>
              <w:jc w:val="both"/>
              <w:rPr>
                <w:bCs/>
              </w:rPr>
            </w:pPr>
            <w:r w:rsidRPr="000C0D6D">
              <w:rPr>
                <w:bCs/>
              </w:rPr>
              <w:lastRenderedPageBreak/>
              <w:t>Neatsižvelgta.</w:t>
            </w:r>
          </w:p>
          <w:p w14:paraId="570A6FD8" w14:textId="3928A18E" w:rsidR="000C0D6D" w:rsidRPr="000C0D6D" w:rsidRDefault="000C0D6D" w:rsidP="000C0D6D">
            <w:pPr>
              <w:jc w:val="both"/>
              <w:rPr>
                <w:b/>
              </w:rPr>
            </w:pPr>
            <w:r w:rsidRPr="000C0D6D">
              <w:rPr>
                <w:bCs/>
              </w:rPr>
              <w:t xml:space="preserve">16 punkte </w:t>
            </w:r>
            <w:r w:rsidR="00B326CC">
              <w:rPr>
                <w:bCs/>
              </w:rPr>
              <w:t>iš</w:t>
            </w:r>
            <w:r w:rsidRPr="000C0D6D">
              <w:rPr>
                <w:bCs/>
              </w:rPr>
              <w:t>vard</w:t>
            </w:r>
            <w:r w:rsidR="00B326CC">
              <w:rPr>
                <w:bCs/>
              </w:rPr>
              <w:t>y</w:t>
            </w:r>
            <w:r w:rsidRPr="000C0D6D">
              <w:rPr>
                <w:bCs/>
              </w:rPr>
              <w:t>ti procesai inicijuojami atsižvelgiant į Aprašo 15 punkte nurodytų konsultacijų rezultatus, t.</w:t>
            </w:r>
            <w:r w:rsidR="00B326CC">
              <w:rPr>
                <w:bCs/>
              </w:rPr>
              <w:t xml:space="preserve"> </w:t>
            </w:r>
            <w:r w:rsidRPr="000C0D6D">
              <w:rPr>
                <w:bCs/>
              </w:rPr>
              <w:t>y. įvykdžius 15 punkte numatytas konsultacijas, Vyriausybės kanceliarija vykdo 16 punktą, t.</w:t>
            </w:r>
            <w:r w:rsidR="00B326CC">
              <w:rPr>
                <w:bCs/>
              </w:rPr>
              <w:t xml:space="preserve"> </w:t>
            </w:r>
            <w:r w:rsidRPr="000C0D6D">
              <w:rPr>
                <w:bCs/>
              </w:rPr>
              <w:t>y. per 1 val. priim</w:t>
            </w:r>
            <w:r w:rsidR="00B326CC">
              <w:rPr>
                <w:bCs/>
              </w:rPr>
              <w:t>a</w:t>
            </w:r>
            <w:r w:rsidRPr="000C0D6D">
              <w:rPr>
                <w:bCs/>
              </w:rPr>
              <w:t xml:space="preserve"> sprendimą dėl reagavimo. Kitais žodžiais tariant</w:t>
            </w:r>
            <w:r w:rsidR="00B326CC">
              <w:rPr>
                <w:bCs/>
              </w:rPr>
              <w:t>,</w:t>
            </w:r>
            <w:r w:rsidRPr="000C0D6D">
              <w:rPr>
                <w:bCs/>
              </w:rPr>
              <w:t xml:space="preserve"> terminų pradžios momentas ne tas pats, </w:t>
            </w:r>
            <w:r w:rsidR="00B326CC">
              <w:rPr>
                <w:bCs/>
              </w:rPr>
              <w:t xml:space="preserve">o </w:t>
            </w:r>
            <w:r w:rsidRPr="000C0D6D">
              <w:rPr>
                <w:bCs/>
              </w:rPr>
              <w:t>seka vienas paskui kitą.</w:t>
            </w:r>
          </w:p>
        </w:tc>
      </w:tr>
      <w:tr w:rsidR="000C0D6D" w14:paraId="38260D82" w14:textId="77777777" w:rsidTr="000C0D6D">
        <w:trPr>
          <w:trHeight w:val="346"/>
        </w:trPr>
        <w:tc>
          <w:tcPr>
            <w:tcW w:w="1696" w:type="dxa"/>
            <w:vMerge/>
          </w:tcPr>
          <w:p w14:paraId="1110784D" w14:textId="77777777" w:rsidR="000C0D6D" w:rsidRPr="000C0D6D" w:rsidRDefault="000C0D6D" w:rsidP="000C0D6D">
            <w:pPr>
              <w:widowControl w:val="0"/>
              <w:jc w:val="both"/>
              <w:rPr>
                <w:rStyle w:val="fontstyle51"/>
              </w:rPr>
            </w:pPr>
          </w:p>
        </w:tc>
        <w:tc>
          <w:tcPr>
            <w:tcW w:w="4820" w:type="dxa"/>
          </w:tcPr>
          <w:p w14:paraId="3FE3D11A" w14:textId="3E0D3044" w:rsidR="000C0D6D" w:rsidRPr="000C0D6D" w:rsidRDefault="000C0D6D" w:rsidP="000C0D6D">
            <w:pPr>
              <w:jc w:val="both"/>
              <w:rPr>
                <w:bCs/>
              </w:rPr>
            </w:pPr>
            <w:r w:rsidRPr="000C0D6D">
              <w:rPr>
                <w:bCs/>
              </w:rPr>
              <w:t>3. Tvarkos aprašo projekto 18 punkte numatomi reagavimo į informacinius incidentus būdai yra nustatyti imperatyviai, be kita ko, imperatyviai nurodant ir reaguojantį subjektą. Tai reiškia, kad Tvarko aprašo projekto 2 priede numatytas rekomenduojamas reagavimo lygmuo netenka prasmės, nes šioje priedo dalyje taip pat numatomi į informacinius incidentus reaguojantys subjektai.</w:t>
            </w:r>
          </w:p>
        </w:tc>
        <w:tc>
          <w:tcPr>
            <w:tcW w:w="7477" w:type="dxa"/>
          </w:tcPr>
          <w:p w14:paraId="7BD3553D" w14:textId="77777777" w:rsidR="000C0D6D" w:rsidRPr="000C0D6D" w:rsidRDefault="000C0D6D" w:rsidP="000C0D6D">
            <w:pPr>
              <w:jc w:val="both"/>
              <w:rPr>
                <w:bCs/>
              </w:rPr>
            </w:pPr>
            <w:r w:rsidRPr="000C0D6D">
              <w:rPr>
                <w:bCs/>
              </w:rPr>
              <w:t>Neatsižvelgta.</w:t>
            </w:r>
          </w:p>
          <w:p w14:paraId="21D9B5F4" w14:textId="7E7C4ADD" w:rsidR="000C0D6D" w:rsidRPr="000C0D6D" w:rsidRDefault="000C0D6D" w:rsidP="000C0D6D">
            <w:pPr>
              <w:jc w:val="both"/>
              <w:rPr>
                <w:b/>
              </w:rPr>
            </w:pPr>
            <w:r w:rsidRPr="000C0D6D">
              <w:rPr>
                <w:bCs/>
              </w:rPr>
              <w:t>Rekomenduojamas reagavimo būdas turi prasmę, kadangi konsultacijų metu Vyriausybės kanceliarija susidaro vaizdą</w:t>
            </w:r>
            <w:r w:rsidR="00B326CC">
              <w:rPr>
                <w:bCs/>
              </w:rPr>
              <w:t>,</w:t>
            </w:r>
            <w:r w:rsidRPr="000C0D6D">
              <w:rPr>
                <w:bCs/>
              </w:rPr>
              <w:t xml:space="preserve"> kokiu būdu institucija siūlo reaguoti, ar tame pasiūlyme nėra trūkumų, ar reikalinga kitų institucijų parama reaguojančiai institucijai. Visa tai aktualu vykdant 15 ir 16 punktus.</w:t>
            </w:r>
          </w:p>
        </w:tc>
      </w:tr>
      <w:tr w:rsidR="000C0D6D" w14:paraId="2C8BC785" w14:textId="77777777" w:rsidTr="000C0D6D">
        <w:trPr>
          <w:trHeight w:val="346"/>
        </w:trPr>
        <w:tc>
          <w:tcPr>
            <w:tcW w:w="1696" w:type="dxa"/>
            <w:vMerge/>
          </w:tcPr>
          <w:p w14:paraId="26E11316" w14:textId="77777777" w:rsidR="000C0D6D" w:rsidRPr="000C0D6D" w:rsidRDefault="000C0D6D" w:rsidP="000C0D6D">
            <w:pPr>
              <w:widowControl w:val="0"/>
              <w:jc w:val="both"/>
              <w:rPr>
                <w:rStyle w:val="fontstyle51"/>
              </w:rPr>
            </w:pPr>
          </w:p>
        </w:tc>
        <w:tc>
          <w:tcPr>
            <w:tcW w:w="4820" w:type="dxa"/>
          </w:tcPr>
          <w:p w14:paraId="23A60B2F" w14:textId="03668D38" w:rsidR="000C0D6D" w:rsidRPr="000C0D6D" w:rsidRDefault="000C0D6D" w:rsidP="000C0D6D">
            <w:pPr>
              <w:jc w:val="both"/>
              <w:rPr>
                <w:bCs/>
              </w:rPr>
            </w:pPr>
            <w:r w:rsidRPr="000C0D6D">
              <w:rPr>
                <w:bCs/>
              </w:rPr>
              <w:t>4. Tvarkos aprašo projekto 2.4 papunktyje nurodoma, kad krizės komunikacija – už krizės valdymą atsakingos institucijos veiksmai krizei valdyti ir jos padariniams sumažinti ar pašalinti, pasitelkiant visuomenės informavimo priemones. Nepaisant to, Tvarko apraš</w:t>
            </w:r>
            <w:r w:rsidR="00B326CC">
              <w:rPr>
                <w:bCs/>
              </w:rPr>
              <w:t>o</w:t>
            </w:r>
            <w:r w:rsidRPr="000C0D6D">
              <w:rPr>
                <w:bCs/>
              </w:rPr>
              <w:t xml:space="preserve"> projekto V skyriuje „Krizių komunikacija“ neaptariami konkretūs už krizių valdymą atsakingų institucijų veiksmai ir visuomenės informavimo priemonių pasitelkimas. Be to, neaišku, kodėl V skyriuje, kuriame turėtų būti kalbama apie krizių komunikaciją, reguliuojami santykiai, susiję su ekstremaliosiomis situacijomis. Siūlytina tikslinti Tvarko apraš</w:t>
            </w:r>
            <w:r w:rsidR="00B326CC">
              <w:rPr>
                <w:bCs/>
              </w:rPr>
              <w:t>o</w:t>
            </w:r>
            <w:r w:rsidRPr="000C0D6D">
              <w:rPr>
                <w:bCs/>
              </w:rPr>
              <w:t xml:space="preserve"> projekto V skyriuje aptariamų teisinių santykių turinį, susiejant jį su krizės komunikacijos sąvoka, arba keisti V skyriaus pavadinimą.</w:t>
            </w:r>
          </w:p>
        </w:tc>
        <w:tc>
          <w:tcPr>
            <w:tcW w:w="7477" w:type="dxa"/>
          </w:tcPr>
          <w:p w14:paraId="3407DBE6" w14:textId="686DB48B" w:rsidR="000C0D6D" w:rsidRPr="000C0D6D" w:rsidRDefault="000C0D6D" w:rsidP="000C0D6D">
            <w:pPr>
              <w:jc w:val="both"/>
              <w:rPr>
                <w:bCs/>
              </w:rPr>
            </w:pPr>
            <w:r w:rsidRPr="000C0D6D">
              <w:rPr>
                <w:bCs/>
              </w:rPr>
              <w:t>Atsižvelgta iš dalies</w:t>
            </w:r>
            <w:r w:rsidR="00B326CC">
              <w:rPr>
                <w:bCs/>
              </w:rPr>
              <w:t xml:space="preserve"> –</w:t>
            </w:r>
            <w:r w:rsidRPr="000C0D6D">
              <w:rPr>
                <w:bCs/>
              </w:rPr>
              <w:t xml:space="preserve"> panaikin</w:t>
            </w:r>
            <w:r w:rsidR="00B326CC">
              <w:rPr>
                <w:bCs/>
              </w:rPr>
              <w:t>tas</w:t>
            </w:r>
            <w:r w:rsidRPr="000C0D6D">
              <w:rPr>
                <w:bCs/>
              </w:rPr>
              <w:t xml:space="preserve"> V skyri</w:t>
            </w:r>
            <w:r w:rsidR="00B326CC">
              <w:rPr>
                <w:bCs/>
              </w:rPr>
              <w:t>us</w:t>
            </w:r>
            <w:r w:rsidRPr="000C0D6D">
              <w:rPr>
                <w:bCs/>
              </w:rPr>
              <w:t>.</w:t>
            </w:r>
          </w:p>
        </w:tc>
      </w:tr>
      <w:tr w:rsidR="000C0D6D" w14:paraId="387515BA" w14:textId="77777777" w:rsidTr="000C0D6D">
        <w:trPr>
          <w:trHeight w:val="346"/>
        </w:trPr>
        <w:tc>
          <w:tcPr>
            <w:tcW w:w="1696" w:type="dxa"/>
          </w:tcPr>
          <w:p w14:paraId="68CFBF6D" w14:textId="53B41E06" w:rsidR="000C0D6D" w:rsidRPr="000C0D6D" w:rsidRDefault="000C0D6D" w:rsidP="000C0D6D">
            <w:pPr>
              <w:widowControl w:val="0"/>
              <w:jc w:val="both"/>
              <w:rPr>
                <w:rStyle w:val="fontstyle51"/>
              </w:rPr>
            </w:pPr>
            <w:r w:rsidRPr="000C0D6D">
              <w:rPr>
                <w:rStyle w:val="fontstyle51"/>
              </w:rPr>
              <w:t>Kultūros ministerijos 2020-06-16</w:t>
            </w:r>
          </w:p>
          <w:p w14:paraId="3E93EE0B" w14:textId="04EF9ECE" w:rsidR="000C0D6D" w:rsidRPr="000C0D6D" w:rsidRDefault="000C0D6D" w:rsidP="000C0D6D">
            <w:pPr>
              <w:widowControl w:val="0"/>
              <w:jc w:val="both"/>
              <w:rPr>
                <w:rStyle w:val="fontstyle51"/>
              </w:rPr>
            </w:pPr>
            <w:r w:rsidRPr="000C0D6D">
              <w:rPr>
                <w:rStyle w:val="fontstyle51"/>
              </w:rPr>
              <w:t>raštas</w:t>
            </w:r>
          </w:p>
        </w:tc>
        <w:tc>
          <w:tcPr>
            <w:tcW w:w="4820" w:type="dxa"/>
          </w:tcPr>
          <w:p w14:paraId="4C1FF336" w14:textId="3FF0AABD" w:rsidR="000C0D6D" w:rsidRPr="000C0D6D" w:rsidRDefault="000C0D6D" w:rsidP="00987606">
            <w:pPr>
              <w:jc w:val="both"/>
              <w:rPr>
                <w:bCs/>
              </w:rPr>
            </w:pPr>
            <w:r w:rsidRPr="000C0D6D">
              <w:rPr>
                <w:bCs/>
              </w:rPr>
              <w:t>Aprašo 19 punkte siūlytume rašyti „nevykdydama 14 punkte nustatytų reikalavimų“, nes 15 ir 16 punktuose nustatytos pareigos Vyriausybės kanceliarijai, bet ne institucijai.</w:t>
            </w:r>
          </w:p>
        </w:tc>
        <w:tc>
          <w:tcPr>
            <w:tcW w:w="7477" w:type="dxa"/>
          </w:tcPr>
          <w:p w14:paraId="00C248F2" w14:textId="034CDC08" w:rsidR="000C0D6D" w:rsidRPr="000C0D6D" w:rsidRDefault="000C0D6D">
            <w:pPr>
              <w:jc w:val="both"/>
              <w:rPr>
                <w:bCs/>
              </w:rPr>
            </w:pPr>
            <w:r w:rsidRPr="000C0D6D">
              <w:rPr>
                <w:bCs/>
              </w:rPr>
              <w:t>Atsižvelgta iš dalies</w:t>
            </w:r>
            <w:r w:rsidR="00B326CC">
              <w:rPr>
                <w:bCs/>
              </w:rPr>
              <w:t xml:space="preserve"> – </w:t>
            </w:r>
            <w:r w:rsidRPr="000C0D6D">
              <w:rPr>
                <w:bCs/>
              </w:rPr>
              <w:t xml:space="preserve">Aprašo </w:t>
            </w:r>
            <w:r w:rsidR="00B326CC">
              <w:rPr>
                <w:bCs/>
              </w:rPr>
              <w:t xml:space="preserve">19 </w:t>
            </w:r>
            <w:r w:rsidRPr="000C0D6D">
              <w:rPr>
                <w:bCs/>
              </w:rPr>
              <w:t>punkt</w:t>
            </w:r>
            <w:r w:rsidR="00B326CC">
              <w:rPr>
                <w:bCs/>
              </w:rPr>
              <w:t>o nuostata</w:t>
            </w:r>
            <w:r w:rsidRPr="000C0D6D">
              <w:rPr>
                <w:bCs/>
              </w:rPr>
              <w:t xml:space="preserve"> išdėstyta taip</w:t>
            </w:r>
            <w:r w:rsidR="00B326CC">
              <w:rPr>
                <w:bCs/>
              </w:rPr>
              <w:t>:</w:t>
            </w:r>
            <w:r w:rsidRPr="000C0D6D">
              <w:rPr>
                <w:bCs/>
              </w:rPr>
              <w:t xml:space="preserve"> </w:t>
            </w:r>
            <w:r w:rsidR="00B326CC">
              <w:rPr>
                <w:bCs/>
              </w:rPr>
              <w:t>„</w:t>
            </w:r>
            <w:r w:rsidRPr="000C0D6D">
              <w:rPr>
                <w:bCs/>
              </w:rPr>
              <w:t>nevykdydama Aprašo 14–17 punktų“</w:t>
            </w:r>
            <w:r w:rsidR="00B326CC">
              <w:rPr>
                <w:bCs/>
              </w:rPr>
              <w:t>.</w:t>
            </w:r>
          </w:p>
        </w:tc>
      </w:tr>
      <w:tr w:rsidR="000C0D6D" w14:paraId="4879A5AB" w14:textId="77777777" w:rsidTr="000C0D6D">
        <w:trPr>
          <w:trHeight w:val="841"/>
        </w:trPr>
        <w:tc>
          <w:tcPr>
            <w:tcW w:w="1696" w:type="dxa"/>
            <w:vMerge w:val="restart"/>
          </w:tcPr>
          <w:p w14:paraId="3A42B8E3" w14:textId="36A1CAE4" w:rsidR="000C0D6D" w:rsidRPr="000C0D6D" w:rsidRDefault="000C0D6D" w:rsidP="000C0D6D">
            <w:pPr>
              <w:widowControl w:val="0"/>
              <w:jc w:val="both"/>
              <w:rPr>
                <w:rStyle w:val="fontstyle51"/>
              </w:rPr>
            </w:pPr>
            <w:r w:rsidRPr="000C0D6D">
              <w:rPr>
                <w:rStyle w:val="fontstyle51"/>
              </w:rPr>
              <w:lastRenderedPageBreak/>
              <w:t>Teisingumo ministerijos 2020-06-16</w:t>
            </w:r>
          </w:p>
          <w:p w14:paraId="698A0C29" w14:textId="2CBB9E1B" w:rsidR="000C0D6D" w:rsidRPr="000C0D6D" w:rsidRDefault="000C0D6D" w:rsidP="000C0D6D">
            <w:pPr>
              <w:widowControl w:val="0"/>
              <w:jc w:val="both"/>
              <w:rPr>
                <w:rStyle w:val="fontstyle51"/>
              </w:rPr>
            </w:pPr>
            <w:r w:rsidRPr="000C0D6D">
              <w:rPr>
                <w:rStyle w:val="fontstyle51"/>
              </w:rPr>
              <w:t>raštas</w:t>
            </w:r>
          </w:p>
        </w:tc>
        <w:tc>
          <w:tcPr>
            <w:tcW w:w="4820" w:type="dxa"/>
          </w:tcPr>
          <w:p w14:paraId="70015F74" w14:textId="2061E809" w:rsidR="000C0D6D" w:rsidRPr="000C0D6D" w:rsidRDefault="000C0D6D" w:rsidP="00987606">
            <w:pPr>
              <w:jc w:val="both"/>
              <w:rPr>
                <w:bCs/>
              </w:rPr>
            </w:pPr>
            <w:r>
              <w:rPr>
                <w:bCs/>
              </w:rPr>
              <w:t>1.</w:t>
            </w:r>
            <w:r w:rsidR="00B326CC">
              <w:rPr>
                <w:bCs/>
              </w:rPr>
              <w:t xml:space="preserve"> </w:t>
            </w:r>
            <w:r w:rsidRPr="000C0D6D">
              <w:rPr>
                <w:bCs/>
              </w:rPr>
              <w:t>Atsižvelgiant į Lietuvos Respublikos civilinės saugos įstatymo 2 str. 6 d. pateiktą sąvoką „Ekstremalioji situacija“, atitinkamai tikslintinos Projekte dėstomame Strateginės komunikacijos nacionalinio saugumo srityje koordinavimo tvarkos aprašo projekto (toliau – Aprašo projektas) 3 p. vartojamos formuluotės „ekstremalių situacijų“, „ekstremalios situacijos“. Šiuo aspektu peržiūrėtinos ir Aprašo projekto 22 ir 23 p. nuostatos. Taip pat, įvertinant Civilinės saugos įstatymo 27 str. nuostatas, nėra aišku, kokią konkrečiai instituciją siekiama įvardyti Aprašo projekto 3 p. vartojama formuluote „ekstremalių situacijų &lt;...&gt; atveju – Vyriausybės paskirta už ekstremalios situacijos &lt;...&gt; valdymą atsakinga institucija“.</w:t>
            </w:r>
          </w:p>
        </w:tc>
        <w:tc>
          <w:tcPr>
            <w:tcW w:w="7477" w:type="dxa"/>
          </w:tcPr>
          <w:p w14:paraId="7FB7C7D1" w14:textId="0C1C0B8A" w:rsidR="000C0D6D" w:rsidRPr="000C0D6D" w:rsidRDefault="000C0D6D" w:rsidP="000C0D6D">
            <w:pPr>
              <w:jc w:val="both"/>
              <w:rPr>
                <w:bCs/>
              </w:rPr>
            </w:pPr>
            <w:r w:rsidRPr="000C0D6D">
              <w:rPr>
                <w:bCs/>
              </w:rPr>
              <w:t>Atsižvelgta iš dalies</w:t>
            </w:r>
            <w:r w:rsidR="00B326CC">
              <w:rPr>
                <w:bCs/>
              </w:rPr>
              <w:t xml:space="preserve"> –</w:t>
            </w:r>
            <w:r w:rsidRPr="000C0D6D">
              <w:rPr>
                <w:bCs/>
              </w:rPr>
              <w:t xml:space="preserve"> panaikin</w:t>
            </w:r>
            <w:r w:rsidR="00B326CC">
              <w:rPr>
                <w:bCs/>
              </w:rPr>
              <w:t>tas</w:t>
            </w:r>
            <w:r w:rsidRPr="000C0D6D">
              <w:rPr>
                <w:bCs/>
              </w:rPr>
              <w:t xml:space="preserve"> V skyri</w:t>
            </w:r>
            <w:r w:rsidR="00B326CC">
              <w:rPr>
                <w:bCs/>
              </w:rPr>
              <w:t>us</w:t>
            </w:r>
            <w:r w:rsidRPr="000C0D6D">
              <w:rPr>
                <w:bCs/>
              </w:rPr>
              <w:t>.</w:t>
            </w:r>
          </w:p>
        </w:tc>
      </w:tr>
      <w:tr w:rsidR="000C0D6D" w14:paraId="54DC1722" w14:textId="77777777" w:rsidTr="000C0D6D">
        <w:trPr>
          <w:trHeight w:val="841"/>
        </w:trPr>
        <w:tc>
          <w:tcPr>
            <w:tcW w:w="1696" w:type="dxa"/>
            <w:vMerge/>
          </w:tcPr>
          <w:p w14:paraId="017DB86E" w14:textId="77777777" w:rsidR="000C0D6D" w:rsidRPr="000C0D6D" w:rsidRDefault="000C0D6D" w:rsidP="000C0D6D">
            <w:pPr>
              <w:widowControl w:val="0"/>
              <w:jc w:val="both"/>
              <w:rPr>
                <w:rStyle w:val="fontstyle51"/>
              </w:rPr>
            </w:pPr>
          </w:p>
        </w:tc>
        <w:tc>
          <w:tcPr>
            <w:tcW w:w="4820" w:type="dxa"/>
          </w:tcPr>
          <w:p w14:paraId="4F19062A" w14:textId="4730374A" w:rsidR="000C0D6D" w:rsidRDefault="000C0D6D" w:rsidP="00987606">
            <w:pPr>
              <w:jc w:val="both"/>
              <w:rPr>
                <w:bCs/>
              </w:rPr>
            </w:pPr>
            <w:r>
              <w:rPr>
                <w:bCs/>
              </w:rPr>
              <w:t>2.</w:t>
            </w:r>
            <w:r w:rsidR="00B326CC">
              <w:rPr>
                <w:bCs/>
              </w:rPr>
              <w:t xml:space="preserve"> </w:t>
            </w:r>
            <w:r w:rsidRPr="000C0D6D">
              <w:rPr>
                <w:bCs/>
              </w:rPr>
              <w:t>Įvertinant tai, kad Aprašo projekto 5 p. nurodytas Vyriausybės 2019 m. liepos 10 d. nutarimas Nr. 700-9 nėra išviešintas, svarstytina, ar tikslinga jį apskritai nurodyti Aprašo projekto 5</w:t>
            </w:r>
            <w:r w:rsidR="00B326CC">
              <w:rPr>
                <w:bCs/>
              </w:rPr>
              <w:t xml:space="preserve"> </w:t>
            </w:r>
            <w:r w:rsidRPr="000C0D6D">
              <w:rPr>
                <w:bCs/>
              </w:rPr>
              <w:t>p.</w:t>
            </w:r>
          </w:p>
        </w:tc>
        <w:tc>
          <w:tcPr>
            <w:tcW w:w="7477" w:type="dxa"/>
          </w:tcPr>
          <w:p w14:paraId="0E0E4790" w14:textId="54D9C8D6" w:rsidR="000C0D6D" w:rsidRPr="000C0D6D" w:rsidRDefault="000C0D6D">
            <w:pPr>
              <w:jc w:val="both"/>
              <w:rPr>
                <w:bCs/>
              </w:rPr>
            </w:pPr>
            <w:r w:rsidRPr="000C0D6D">
              <w:rPr>
                <w:bCs/>
              </w:rPr>
              <w:t xml:space="preserve">Neatsižvelgta. Šis nutarimas jau </w:t>
            </w:r>
            <w:r w:rsidR="00B326CC">
              <w:rPr>
                <w:bCs/>
              </w:rPr>
              <w:t>nurodytas Vyriausybės</w:t>
            </w:r>
            <w:r w:rsidR="00B326CC" w:rsidRPr="000C0D6D">
              <w:rPr>
                <w:bCs/>
              </w:rPr>
              <w:t xml:space="preserve"> </w:t>
            </w:r>
            <w:r w:rsidRPr="000C0D6D">
              <w:rPr>
                <w:bCs/>
              </w:rPr>
              <w:t>2019 m. gruodžio 18 d. nutarime Nr. 1310 „Dėl Jungtinės grėsmių prevencijos ir krizių valdymo grupės sudėties ir šios grupės nuostatų patvirtinimo“</w:t>
            </w:r>
            <w:r w:rsidR="00682CEA">
              <w:rPr>
                <w:bCs/>
              </w:rPr>
              <w:t>.</w:t>
            </w:r>
          </w:p>
        </w:tc>
      </w:tr>
      <w:tr w:rsidR="000C0D6D" w14:paraId="223FB704" w14:textId="77777777" w:rsidTr="000C0D6D">
        <w:trPr>
          <w:trHeight w:val="841"/>
        </w:trPr>
        <w:tc>
          <w:tcPr>
            <w:tcW w:w="1696" w:type="dxa"/>
            <w:vMerge/>
          </w:tcPr>
          <w:p w14:paraId="1A70598E" w14:textId="77777777" w:rsidR="000C0D6D" w:rsidRPr="000C0D6D" w:rsidRDefault="000C0D6D" w:rsidP="000C0D6D">
            <w:pPr>
              <w:widowControl w:val="0"/>
              <w:jc w:val="both"/>
              <w:rPr>
                <w:rStyle w:val="fontstyle51"/>
              </w:rPr>
            </w:pPr>
          </w:p>
        </w:tc>
        <w:tc>
          <w:tcPr>
            <w:tcW w:w="4820" w:type="dxa"/>
          </w:tcPr>
          <w:p w14:paraId="63286D22" w14:textId="1D6DAF4B" w:rsidR="000C0D6D" w:rsidRDefault="00F7031E" w:rsidP="00987606">
            <w:pPr>
              <w:jc w:val="both"/>
              <w:rPr>
                <w:bCs/>
              </w:rPr>
            </w:pPr>
            <w:r>
              <w:rPr>
                <w:bCs/>
              </w:rPr>
              <w:t>3.</w:t>
            </w:r>
            <w:r w:rsidR="00682CEA">
              <w:rPr>
                <w:bCs/>
              </w:rPr>
              <w:t xml:space="preserve"> </w:t>
            </w:r>
            <w:r w:rsidRPr="00F7031E">
              <w:rPr>
                <w:bCs/>
              </w:rPr>
              <w:t>Siūlytina įvertinti, ar Aprašo projekto 9 p. neturėtų būti nurodoma ir grėsmių prevencijos prioritetų ir priemonių sąrašo pakeitimo aplinkybė.</w:t>
            </w:r>
          </w:p>
        </w:tc>
        <w:tc>
          <w:tcPr>
            <w:tcW w:w="7477" w:type="dxa"/>
          </w:tcPr>
          <w:p w14:paraId="20EF954F" w14:textId="41FAA6CD" w:rsidR="000C0D6D" w:rsidRPr="000C0D6D" w:rsidRDefault="00F7031E">
            <w:pPr>
              <w:jc w:val="both"/>
              <w:rPr>
                <w:bCs/>
              </w:rPr>
            </w:pPr>
            <w:r w:rsidRPr="00F7031E">
              <w:rPr>
                <w:bCs/>
              </w:rPr>
              <w:t xml:space="preserve">Neatsižvelgta. Šios sąrašo teikimą reglamentuoja kitas </w:t>
            </w:r>
            <w:r w:rsidR="00682CEA">
              <w:rPr>
                <w:bCs/>
              </w:rPr>
              <w:t>Vyriausybės</w:t>
            </w:r>
            <w:r w:rsidR="00682CEA" w:rsidRPr="00F7031E">
              <w:rPr>
                <w:bCs/>
              </w:rPr>
              <w:t xml:space="preserve"> </w:t>
            </w:r>
            <w:r w:rsidRPr="00F7031E">
              <w:rPr>
                <w:bCs/>
              </w:rPr>
              <w:t>nutarimas (2019 m. liepos 10 d. nutarimas Nr. 700-9)</w:t>
            </w:r>
            <w:r w:rsidR="00682CEA">
              <w:rPr>
                <w:bCs/>
              </w:rPr>
              <w:t>.</w:t>
            </w:r>
          </w:p>
        </w:tc>
      </w:tr>
      <w:tr w:rsidR="000C0D6D" w14:paraId="7F932133" w14:textId="77777777" w:rsidTr="000C0D6D">
        <w:trPr>
          <w:trHeight w:val="841"/>
        </w:trPr>
        <w:tc>
          <w:tcPr>
            <w:tcW w:w="1696" w:type="dxa"/>
            <w:vMerge/>
          </w:tcPr>
          <w:p w14:paraId="015CDA97" w14:textId="77777777" w:rsidR="000C0D6D" w:rsidRPr="000C0D6D" w:rsidRDefault="000C0D6D" w:rsidP="000C0D6D">
            <w:pPr>
              <w:widowControl w:val="0"/>
              <w:jc w:val="both"/>
              <w:rPr>
                <w:rStyle w:val="fontstyle51"/>
              </w:rPr>
            </w:pPr>
          </w:p>
        </w:tc>
        <w:tc>
          <w:tcPr>
            <w:tcW w:w="4820" w:type="dxa"/>
          </w:tcPr>
          <w:p w14:paraId="623A86EE" w14:textId="18FBDBBA" w:rsidR="000C0D6D" w:rsidRDefault="00F7031E" w:rsidP="00987606">
            <w:pPr>
              <w:jc w:val="both"/>
              <w:rPr>
                <w:bCs/>
              </w:rPr>
            </w:pPr>
            <w:r>
              <w:rPr>
                <w:bCs/>
              </w:rPr>
              <w:t>4.</w:t>
            </w:r>
            <w:r w:rsidR="00682CEA">
              <w:rPr>
                <w:bCs/>
              </w:rPr>
              <w:t xml:space="preserve"> </w:t>
            </w:r>
            <w:r w:rsidRPr="00F7031E">
              <w:rPr>
                <w:bCs/>
              </w:rPr>
              <w:t>Neaišku, kokią „Vyriausybės nustatytą tvarką“ siekiama nurodyti Aprašo projekto 16.4 p. (žr. formuluotę „vadovaujantis Vyriausybės nustatyta tvarka“).</w:t>
            </w:r>
          </w:p>
        </w:tc>
        <w:tc>
          <w:tcPr>
            <w:tcW w:w="7477" w:type="dxa"/>
          </w:tcPr>
          <w:p w14:paraId="7A573B84" w14:textId="22239FC4" w:rsidR="000C0D6D" w:rsidRPr="000C0D6D" w:rsidRDefault="00682CEA" w:rsidP="000C0D6D">
            <w:pPr>
              <w:jc w:val="both"/>
              <w:rPr>
                <w:bCs/>
              </w:rPr>
            </w:pPr>
            <w:r>
              <w:rPr>
                <w:bCs/>
              </w:rPr>
              <w:t>Atsižvelgta – p</w:t>
            </w:r>
            <w:r w:rsidR="00F7031E">
              <w:rPr>
                <w:bCs/>
              </w:rPr>
              <w:t>atikslinta</w:t>
            </w:r>
            <w:r>
              <w:rPr>
                <w:bCs/>
              </w:rPr>
              <w:t xml:space="preserve"> nuostata</w:t>
            </w:r>
            <w:r w:rsidR="00F7031E">
              <w:rPr>
                <w:bCs/>
              </w:rPr>
              <w:t xml:space="preserve"> išdėst</w:t>
            </w:r>
            <w:r>
              <w:rPr>
                <w:bCs/>
              </w:rPr>
              <w:t>yta</w:t>
            </w:r>
            <w:r w:rsidR="00F7031E">
              <w:rPr>
                <w:bCs/>
              </w:rPr>
              <w:t xml:space="preserve"> taip:</w:t>
            </w:r>
            <w:r>
              <w:rPr>
                <w:bCs/>
              </w:rPr>
              <w:t xml:space="preserve"> </w:t>
            </w:r>
            <w:r>
              <w:t>„</w:t>
            </w:r>
            <w:r w:rsidR="00F7031E" w:rsidRPr="00F7031E">
              <w:rPr>
                <w:bCs/>
              </w:rPr>
              <w:t>Grėsmių nacionaliniam saugumui stebėjimo, vertinimo ir perspėjimo apie grėsmes tvarkos aprašo nustatyta tvarka</w:t>
            </w:r>
            <w:r w:rsidR="00F7031E">
              <w:rPr>
                <w:bCs/>
              </w:rPr>
              <w:t>“</w:t>
            </w:r>
            <w:r>
              <w:rPr>
                <w:bCs/>
              </w:rPr>
              <w:t>.</w:t>
            </w:r>
          </w:p>
        </w:tc>
      </w:tr>
    </w:tbl>
    <w:p w14:paraId="6CD72067" w14:textId="77777777" w:rsidR="000C0D6D" w:rsidRPr="00B326CC" w:rsidRDefault="000C0D6D" w:rsidP="000C0D6D">
      <w:pPr>
        <w:jc w:val="both"/>
        <w:rPr>
          <w:b/>
        </w:rPr>
      </w:pPr>
    </w:p>
    <w:p w14:paraId="54B5F0C4" w14:textId="77777777" w:rsidR="00831D06" w:rsidRPr="00A65B2F" w:rsidRDefault="00831D06" w:rsidP="00A65B2F">
      <w:pPr>
        <w:jc w:val="both"/>
      </w:pPr>
      <w:r w:rsidRPr="00A65B2F">
        <w:t xml:space="preserve">                                        </w:t>
      </w:r>
    </w:p>
    <w:sectPr w:rsidR="00831D06" w:rsidRPr="00A65B2F" w:rsidSect="00B2365D">
      <w:headerReference w:type="even" r:id="rId7"/>
      <w:headerReference w:type="default" r:id="rId8"/>
      <w:pgSz w:w="16838" w:h="11906" w:orient="landscape"/>
      <w:pgMar w:top="1702" w:right="1701"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E1E8" w14:textId="77777777" w:rsidR="00FF1AB3" w:rsidRDefault="00FF1AB3">
      <w:r>
        <w:separator/>
      </w:r>
    </w:p>
  </w:endnote>
  <w:endnote w:type="continuationSeparator" w:id="0">
    <w:p w14:paraId="480A585B" w14:textId="77777777" w:rsidR="00FF1AB3" w:rsidRDefault="00FF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2D321" w14:textId="77777777" w:rsidR="00FF1AB3" w:rsidRDefault="00FF1AB3">
      <w:r>
        <w:separator/>
      </w:r>
    </w:p>
  </w:footnote>
  <w:footnote w:type="continuationSeparator" w:id="0">
    <w:p w14:paraId="39F03CDD" w14:textId="77777777" w:rsidR="00FF1AB3" w:rsidRDefault="00FF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C3C2" w14:textId="77777777" w:rsidR="00187BDF" w:rsidRDefault="00187BDF" w:rsidP="00075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FB587" w14:textId="77777777" w:rsidR="00187BDF" w:rsidRDefault="00187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9898" w14:textId="2CE65608" w:rsidR="00187BDF" w:rsidRDefault="00187BDF" w:rsidP="00075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CEA">
      <w:rPr>
        <w:rStyle w:val="PageNumber"/>
        <w:noProof/>
      </w:rPr>
      <w:t>3</w:t>
    </w:r>
    <w:r>
      <w:rPr>
        <w:rStyle w:val="PageNumber"/>
      </w:rPr>
      <w:fldChar w:fldCharType="end"/>
    </w:r>
  </w:p>
  <w:p w14:paraId="047CAEE1" w14:textId="77777777" w:rsidR="00187BDF" w:rsidRDefault="00187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1A9"/>
    <w:multiLevelType w:val="hybridMultilevel"/>
    <w:tmpl w:val="A27AD29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4BA0608"/>
    <w:multiLevelType w:val="hybridMultilevel"/>
    <w:tmpl w:val="1974ED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5B4715B"/>
    <w:multiLevelType w:val="hybridMultilevel"/>
    <w:tmpl w:val="0DB8C054"/>
    <w:lvl w:ilvl="0" w:tplc="C13826C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0A5E639C"/>
    <w:multiLevelType w:val="hybridMultilevel"/>
    <w:tmpl w:val="703E70C6"/>
    <w:lvl w:ilvl="0" w:tplc="04090011">
      <w:start w:val="1"/>
      <w:numFmt w:val="decimal"/>
      <w:lvlText w:val="%1)"/>
      <w:lvlJc w:val="left"/>
      <w:pPr>
        <w:tabs>
          <w:tab w:val="num" w:pos="2520"/>
        </w:tabs>
        <w:ind w:left="2520" w:hanging="360"/>
      </w:pPr>
    </w:lvl>
    <w:lvl w:ilvl="1" w:tplc="26D4D6F0">
      <w:start w:val="1"/>
      <w:numFmt w:val="bullet"/>
      <w:lvlText w:val=""/>
      <w:lvlJc w:val="left"/>
      <w:pPr>
        <w:tabs>
          <w:tab w:val="num" w:pos="3240"/>
        </w:tabs>
        <w:ind w:left="3240" w:hanging="360"/>
      </w:pPr>
      <w:rPr>
        <w:rFonts w:ascii="Symbol" w:hAnsi="Symbol"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8754D4"/>
    <w:multiLevelType w:val="hybridMultilevel"/>
    <w:tmpl w:val="AF0028E2"/>
    <w:lvl w:ilvl="0" w:tplc="FA9E3EE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EF6528"/>
    <w:multiLevelType w:val="hybridMultilevel"/>
    <w:tmpl w:val="D97E510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6" w15:restartNumberingAfterBreak="0">
    <w:nsid w:val="271A453C"/>
    <w:multiLevelType w:val="hybridMultilevel"/>
    <w:tmpl w:val="C3D675B0"/>
    <w:lvl w:ilvl="0" w:tplc="04270011">
      <w:start w:val="1"/>
      <w:numFmt w:val="decimal"/>
      <w:lvlText w:val="%1)"/>
      <w:lvlJc w:val="left"/>
      <w:pPr>
        <w:ind w:left="2218" w:hanging="360"/>
      </w:pPr>
      <w:rPr>
        <w:rFonts w:cs="Times New Roman"/>
      </w:rPr>
    </w:lvl>
    <w:lvl w:ilvl="1" w:tplc="04270019" w:tentative="1">
      <w:start w:val="1"/>
      <w:numFmt w:val="lowerLetter"/>
      <w:lvlText w:val="%2."/>
      <w:lvlJc w:val="left"/>
      <w:pPr>
        <w:ind w:left="2938" w:hanging="360"/>
      </w:pPr>
      <w:rPr>
        <w:rFonts w:cs="Times New Roman"/>
      </w:rPr>
    </w:lvl>
    <w:lvl w:ilvl="2" w:tplc="0427001B" w:tentative="1">
      <w:start w:val="1"/>
      <w:numFmt w:val="lowerRoman"/>
      <w:lvlText w:val="%3."/>
      <w:lvlJc w:val="right"/>
      <w:pPr>
        <w:ind w:left="3658" w:hanging="180"/>
      </w:pPr>
      <w:rPr>
        <w:rFonts w:cs="Times New Roman"/>
      </w:rPr>
    </w:lvl>
    <w:lvl w:ilvl="3" w:tplc="0427000F" w:tentative="1">
      <w:start w:val="1"/>
      <w:numFmt w:val="decimal"/>
      <w:lvlText w:val="%4."/>
      <w:lvlJc w:val="left"/>
      <w:pPr>
        <w:ind w:left="4378" w:hanging="360"/>
      </w:pPr>
      <w:rPr>
        <w:rFonts w:cs="Times New Roman"/>
      </w:rPr>
    </w:lvl>
    <w:lvl w:ilvl="4" w:tplc="04270019" w:tentative="1">
      <w:start w:val="1"/>
      <w:numFmt w:val="lowerLetter"/>
      <w:lvlText w:val="%5."/>
      <w:lvlJc w:val="left"/>
      <w:pPr>
        <w:ind w:left="5098" w:hanging="360"/>
      </w:pPr>
      <w:rPr>
        <w:rFonts w:cs="Times New Roman"/>
      </w:rPr>
    </w:lvl>
    <w:lvl w:ilvl="5" w:tplc="0427001B" w:tentative="1">
      <w:start w:val="1"/>
      <w:numFmt w:val="lowerRoman"/>
      <w:lvlText w:val="%6."/>
      <w:lvlJc w:val="right"/>
      <w:pPr>
        <w:ind w:left="5818" w:hanging="180"/>
      </w:pPr>
      <w:rPr>
        <w:rFonts w:cs="Times New Roman"/>
      </w:rPr>
    </w:lvl>
    <w:lvl w:ilvl="6" w:tplc="0427000F" w:tentative="1">
      <w:start w:val="1"/>
      <w:numFmt w:val="decimal"/>
      <w:lvlText w:val="%7."/>
      <w:lvlJc w:val="left"/>
      <w:pPr>
        <w:ind w:left="6538" w:hanging="360"/>
      </w:pPr>
      <w:rPr>
        <w:rFonts w:cs="Times New Roman"/>
      </w:rPr>
    </w:lvl>
    <w:lvl w:ilvl="7" w:tplc="04270019" w:tentative="1">
      <w:start w:val="1"/>
      <w:numFmt w:val="lowerLetter"/>
      <w:lvlText w:val="%8."/>
      <w:lvlJc w:val="left"/>
      <w:pPr>
        <w:ind w:left="7258" w:hanging="360"/>
      </w:pPr>
      <w:rPr>
        <w:rFonts w:cs="Times New Roman"/>
      </w:rPr>
    </w:lvl>
    <w:lvl w:ilvl="8" w:tplc="0427001B" w:tentative="1">
      <w:start w:val="1"/>
      <w:numFmt w:val="lowerRoman"/>
      <w:lvlText w:val="%9."/>
      <w:lvlJc w:val="right"/>
      <w:pPr>
        <w:ind w:left="7978" w:hanging="180"/>
      </w:pPr>
      <w:rPr>
        <w:rFonts w:cs="Times New Roman"/>
      </w:rPr>
    </w:lvl>
  </w:abstractNum>
  <w:abstractNum w:abstractNumId="7" w15:restartNumberingAfterBreak="0">
    <w:nsid w:val="28963E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B7C3B"/>
    <w:multiLevelType w:val="hybridMultilevel"/>
    <w:tmpl w:val="F5E6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37C9D"/>
    <w:multiLevelType w:val="hybridMultilevel"/>
    <w:tmpl w:val="BEC295CE"/>
    <w:lvl w:ilvl="0" w:tplc="9C2E3A24">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2E77463"/>
    <w:multiLevelType w:val="hybridMultilevel"/>
    <w:tmpl w:val="FF34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D2727"/>
    <w:multiLevelType w:val="hybridMultilevel"/>
    <w:tmpl w:val="6D8AAA76"/>
    <w:lvl w:ilvl="0" w:tplc="04270003">
      <w:start w:val="1"/>
      <w:numFmt w:val="bullet"/>
      <w:lvlText w:val="o"/>
      <w:lvlJc w:val="left"/>
      <w:pPr>
        <w:ind w:left="1494" w:hanging="360"/>
      </w:pPr>
      <w:rPr>
        <w:rFonts w:ascii="Courier New" w:hAnsi="Courier New" w:hint="default"/>
      </w:rPr>
    </w:lvl>
    <w:lvl w:ilvl="1" w:tplc="04270003" w:tentative="1">
      <w:start w:val="1"/>
      <w:numFmt w:val="bullet"/>
      <w:lvlText w:val="o"/>
      <w:lvlJc w:val="left"/>
      <w:pPr>
        <w:ind w:left="2214" w:hanging="360"/>
      </w:pPr>
      <w:rPr>
        <w:rFonts w:ascii="Courier New" w:hAnsi="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41201F3D"/>
    <w:multiLevelType w:val="hybridMultilevel"/>
    <w:tmpl w:val="E5F464A2"/>
    <w:lvl w:ilvl="0" w:tplc="3BA47550">
      <w:start w:val="1"/>
      <w:numFmt w:val="decimal"/>
      <w:lvlText w:val="%1)"/>
      <w:lvlJc w:val="left"/>
      <w:pPr>
        <w:ind w:left="785" w:hanging="360"/>
      </w:pPr>
      <w:rPr>
        <w:rFonts w:hint="default"/>
        <w:i/>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3" w15:restartNumberingAfterBreak="0">
    <w:nsid w:val="4B1C41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6C2A36"/>
    <w:multiLevelType w:val="hybridMultilevel"/>
    <w:tmpl w:val="3D4E43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F3748DD"/>
    <w:multiLevelType w:val="hybridMultilevel"/>
    <w:tmpl w:val="CBAE5C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64473"/>
    <w:multiLevelType w:val="hybridMultilevel"/>
    <w:tmpl w:val="723A92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542316"/>
    <w:multiLevelType w:val="hybridMultilevel"/>
    <w:tmpl w:val="5B3C996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5C184967"/>
    <w:multiLevelType w:val="hybridMultilevel"/>
    <w:tmpl w:val="540CB72C"/>
    <w:lvl w:ilvl="0" w:tplc="04270011">
      <w:start w:val="1"/>
      <w:numFmt w:val="decimal"/>
      <w:lvlText w:val="%1)"/>
      <w:lvlJc w:val="left"/>
      <w:pPr>
        <w:ind w:left="2203" w:hanging="360"/>
      </w:pPr>
      <w:rPr>
        <w:rFonts w:cs="Times New Roman"/>
      </w:rPr>
    </w:lvl>
    <w:lvl w:ilvl="1" w:tplc="04270019" w:tentative="1">
      <w:start w:val="1"/>
      <w:numFmt w:val="lowerLetter"/>
      <w:lvlText w:val="%2."/>
      <w:lvlJc w:val="left"/>
      <w:pPr>
        <w:ind w:left="2923" w:hanging="360"/>
      </w:pPr>
      <w:rPr>
        <w:rFonts w:cs="Times New Roman"/>
      </w:rPr>
    </w:lvl>
    <w:lvl w:ilvl="2" w:tplc="0427001B" w:tentative="1">
      <w:start w:val="1"/>
      <w:numFmt w:val="lowerRoman"/>
      <w:lvlText w:val="%3."/>
      <w:lvlJc w:val="right"/>
      <w:pPr>
        <w:ind w:left="3643" w:hanging="180"/>
      </w:pPr>
      <w:rPr>
        <w:rFonts w:cs="Times New Roman"/>
      </w:rPr>
    </w:lvl>
    <w:lvl w:ilvl="3" w:tplc="0427000F" w:tentative="1">
      <w:start w:val="1"/>
      <w:numFmt w:val="decimal"/>
      <w:lvlText w:val="%4."/>
      <w:lvlJc w:val="left"/>
      <w:pPr>
        <w:ind w:left="4363" w:hanging="360"/>
      </w:pPr>
      <w:rPr>
        <w:rFonts w:cs="Times New Roman"/>
      </w:rPr>
    </w:lvl>
    <w:lvl w:ilvl="4" w:tplc="04270019" w:tentative="1">
      <w:start w:val="1"/>
      <w:numFmt w:val="lowerLetter"/>
      <w:lvlText w:val="%5."/>
      <w:lvlJc w:val="left"/>
      <w:pPr>
        <w:ind w:left="5083" w:hanging="360"/>
      </w:pPr>
      <w:rPr>
        <w:rFonts w:cs="Times New Roman"/>
      </w:rPr>
    </w:lvl>
    <w:lvl w:ilvl="5" w:tplc="0427001B" w:tentative="1">
      <w:start w:val="1"/>
      <w:numFmt w:val="lowerRoman"/>
      <w:lvlText w:val="%6."/>
      <w:lvlJc w:val="right"/>
      <w:pPr>
        <w:ind w:left="5803" w:hanging="180"/>
      </w:pPr>
      <w:rPr>
        <w:rFonts w:cs="Times New Roman"/>
      </w:rPr>
    </w:lvl>
    <w:lvl w:ilvl="6" w:tplc="0427000F" w:tentative="1">
      <w:start w:val="1"/>
      <w:numFmt w:val="decimal"/>
      <w:lvlText w:val="%7."/>
      <w:lvlJc w:val="left"/>
      <w:pPr>
        <w:ind w:left="6523" w:hanging="360"/>
      </w:pPr>
      <w:rPr>
        <w:rFonts w:cs="Times New Roman"/>
      </w:rPr>
    </w:lvl>
    <w:lvl w:ilvl="7" w:tplc="04270019" w:tentative="1">
      <w:start w:val="1"/>
      <w:numFmt w:val="lowerLetter"/>
      <w:lvlText w:val="%8."/>
      <w:lvlJc w:val="left"/>
      <w:pPr>
        <w:ind w:left="7243" w:hanging="360"/>
      </w:pPr>
      <w:rPr>
        <w:rFonts w:cs="Times New Roman"/>
      </w:rPr>
    </w:lvl>
    <w:lvl w:ilvl="8" w:tplc="0427001B" w:tentative="1">
      <w:start w:val="1"/>
      <w:numFmt w:val="lowerRoman"/>
      <w:lvlText w:val="%9."/>
      <w:lvlJc w:val="right"/>
      <w:pPr>
        <w:ind w:left="7963" w:hanging="180"/>
      </w:pPr>
      <w:rPr>
        <w:rFonts w:cs="Times New Roman"/>
      </w:rPr>
    </w:lvl>
  </w:abstractNum>
  <w:abstractNum w:abstractNumId="19" w15:restartNumberingAfterBreak="0">
    <w:nsid w:val="5D0B2E70"/>
    <w:multiLevelType w:val="hybridMultilevel"/>
    <w:tmpl w:val="2800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4133"/>
    <w:multiLevelType w:val="hybridMultilevel"/>
    <w:tmpl w:val="EF260C98"/>
    <w:lvl w:ilvl="0" w:tplc="0108D564">
      <w:start w:val="2"/>
      <w:numFmt w:val="decimal"/>
      <w:lvlText w:val="%1."/>
      <w:lvlJc w:val="left"/>
      <w:pPr>
        <w:tabs>
          <w:tab w:val="num" w:pos="825"/>
        </w:tabs>
        <w:ind w:left="825" w:hanging="46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F347941"/>
    <w:multiLevelType w:val="hybridMultilevel"/>
    <w:tmpl w:val="02B42C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21603D8"/>
    <w:multiLevelType w:val="hybridMultilevel"/>
    <w:tmpl w:val="572EF52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760624FE"/>
    <w:multiLevelType w:val="hybridMultilevel"/>
    <w:tmpl w:val="91366B6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15"/>
  </w:num>
  <w:num w:numId="2">
    <w:abstractNumId w:val="2"/>
  </w:num>
  <w:num w:numId="3">
    <w:abstractNumId w:val="3"/>
  </w:num>
  <w:num w:numId="4">
    <w:abstractNumId w:val="16"/>
  </w:num>
  <w:num w:numId="5">
    <w:abstractNumId w:val="9"/>
  </w:num>
  <w:num w:numId="6">
    <w:abstractNumId w:val="20"/>
  </w:num>
  <w:num w:numId="7">
    <w:abstractNumId w:val="4"/>
  </w:num>
  <w:num w:numId="8">
    <w:abstractNumId w:val="23"/>
  </w:num>
  <w:num w:numId="9">
    <w:abstractNumId w:val="17"/>
  </w:num>
  <w:num w:numId="10">
    <w:abstractNumId w:val="0"/>
  </w:num>
  <w:num w:numId="11">
    <w:abstractNumId w:val="6"/>
  </w:num>
  <w:num w:numId="12">
    <w:abstractNumId w:val="18"/>
  </w:num>
  <w:num w:numId="13">
    <w:abstractNumId w:val="22"/>
  </w:num>
  <w:num w:numId="14">
    <w:abstractNumId w:val="5"/>
  </w:num>
  <w:num w:numId="15">
    <w:abstractNumId w:val="14"/>
  </w:num>
  <w:num w:numId="16">
    <w:abstractNumId w:val="1"/>
  </w:num>
  <w:num w:numId="17">
    <w:abstractNumId w:val="11"/>
  </w:num>
  <w:num w:numId="18">
    <w:abstractNumId w:val="12"/>
  </w:num>
  <w:num w:numId="19">
    <w:abstractNumId w:val="21"/>
  </w:num>
  <w:num w:numId="20">
    <w:abstractNumId w:val="13"/>
  </w:num>
  <w:num w:numId="21">
    <w:abstractNumId w:val="7"/>
  </w:num>
  <w:num w:numId="22">
    <w:abstractNumId w:val="8"/>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CB"/>
    <w:rsid w:val="000013FC"/>
    <w:rsid w:val="00001E89"/>
    <w:rsid w:val="0000288A"/>
    <w:rsid w:val="00002895"/>
    <w:rsid w:val="00002B2F"/>
    <w:rsid w:val="00002E2A"/>
    <w:rsid w:val="0000463C"/>
    <w:rsid w:val="00005834"/>
    <w:rsid w:val="00007E82"/>
    <w:rsid w:val="00010FAB"/>
    <w:rsid w:val="000111AB"/>
    <w:rsid w:val="00012EC2"/>
    <w:rsid w:val="000145FC"/>
    <w:rsid w:val="00015360"/>
    <w:rsid w:val="00017AD4"/>
    <w:rsid w:val="00020D6B"/>
    <w:rsid w:val="00021C6F"/>
    <w:rsid w:val="00021F3D"/>
    <w:rsid w:val="0002348E"/>
    <w:rsid w:val="00024A77"/>
    <w:rsid w:val="00027358"/>
    <w:rsid w:val="0003156C"/>
    <w:rsid w:val="00032B9B"/>
    <w:rsid w:val="00034A6C"/>
    <w:rsid w:val="00034D85"/>
    <w:rsid w:val="00037B41"/>
    <w:rsid w:val="00041F4E"/>
    <w:rsid w:val="00042532"/>
    <w:rsid w:val="00042DF3"/>
    <w:rsid w:val="000436DC"/>
    <w:rsid w:val="00043831"/>
    <w:rsid w:val="00044008"/>
    <w:rsid w:val="00044173"/>
    <w:rsid w:val="00044831"/>
    <w:rsid w:val="0005009A"/>
    <w:rsid w:val="00050B03"/>
    <w:rsid w:val="00054230"/>
    <w:rsid w:val="0005452B"/>
    <w:rsid w:val="00060530"/>
    <w:rsid w:val="000618E6"/>
    <w:rsid w:val="000629CB"/>
    <w:rsid w:val="000660D4"/>
    <w:rsid w:val="00066580"/>
    <w:rsid w:val="00067303"/>
    <w:rsid w:val="00067F1E"/>
    <w:rsid w:val="00067F44"/>
    <w:rsid w:val="0007176B"/>
    <w:rsid w:val="00074A4A"/>
    <w:rsid w:val="0007584E"/>
    <w:rsid w:val="000778E0"/>
    <w:rsid w:val="00077ADE"/>
    <w:rsid w:val="00077E24"/>
    <w:rsid w:val="00081562"/>
    <w:rsid w:val="0008542F"/>
    <w:rsid w:val="00085F6D"/>
    <w:rsid w:val="00086E8F"/>
    <w:rsid w:val="0009101D"/>
    <w:rsid w:val="00091533"/>
    <w:rsid w:val="00094BB3"/>
    <w:rsid w:val="0009559B"/>
    <w:rsid w:val="0009571D"/>
    <w:rsid w:val="000A288B"/>
    <w:rsid w:val="000B2F11"/>
    <w:rsid w:val="000B38B1"/>
    <w:rsid w:val="000B3FF4"/>
    <w:rsid w:val="000C0D6D"/>
    <w:rsid w:val="000C115B"/>
    <w:rsid w:val="000C38D6"/>
    <w:rsid w:val="000C59C2"/>
    <w:rsid w:val="000C719D"/>
    <w:rsid w:val="000D2FE4"/>
    <w:rsid w:val="000D68F4"/>
    <w:rsid w:val="000E4D0D"/>
    <w:rsid w:val="000E4E6A"/>
    <w:rsid w:val="000E4F56"/>
    <w:rsid w:val="000E6F1A"/>
    <w:rsid w:val="000E70D7"/>
    <w:rsid w:val="000E70EE"/>
    <w:rsid w:val="000E7921"/>
    <w:rsid w:val="000F61C1"/>
    <w:rsid w:val="000F6B32"/>
    <w:rsid w:val="0010211A"/>
    <w:rsid w:val="001033A9"/>
    <w:rsid w:val="00107CAF"/>
    <w:rsid w:val="0011543F"/>
    <w:rsid w:val="001170F3"/>
    <w:rsid w:val="00124304"/>
    <w:rsid w:val="00125D25"/>
    <w:rsid w:val="00130ADD"/>
    <w:rsid w:val="001311EA"/>
    <w:rsid w:val="001329B9"/>
    <w:rsid w:val="00133543"/>
    <w:rsid w:val="00136423"/>
    <w:rsid w:val="00142EC8"/>
    <w:rsid w:val="001433B9"/>
    <w:rsid w:val="00144B54"/>
    <w:rsid w:val="00144B5A"/>
    <w:rsid w:val="00144C2A"/>
    <w:rsid w:val="00144CE1"/>
    <w:rsid w:val="00144D84"/>
    <w:rsid w:val="001461F0"/>
    <w:rsid w:val="00147FE2"/>
    <w:rsid w:val="001539C0"/>
    <w:rsid w:val="00155079"/>
    <w:rsid w:val="001562CD"/>
    <w:rsid w:val="00166AC3"/>
    <w:rsid w:val="001675FB"/>
    <w:rsid w:val="001709F9"/>
    <w:rsid w:val="00170DC8"/>
    <w:rsid w:val="00172779"/>
    <w:rsid w:val="00176A0D"/>
    <w:rsid w:val="00176BEF"/>
    <w:rsid w:val="00177E97"/>
    <w:rsid w:val="00177F9A"/>
    <w:rsid w:val="00180FA1"/>
    <w:rsid w:val="001841A7"/>
    <w:rsid w:val="00187BDF"/>
    <w:rsid w:val="0019294F"/>
    <w:rsid w:val="00192E4B"/>
    <w:rsid w:val="00195FC2"/>
    <w:rsid w:val="001962F2"/>
    <w:rsid w:val="001A250F"/>
    <w:rsid w:val="001A71D9"/>
    <w:rsid w:val="001B019E"/>
    <w:rsid w:val="001B1CB8"/>
    <w:rsid w:val="001B3BB6"/>
    <w:rsid w:val="001B4D71"/>
    <w:rsid w:val="001B4D88"/>
    <w:rsid w:val="001B5087"/>
    <w:rsid w:val="001B52EE"/>
    <w:rsid w:val="001C2513"/>
    <w:rsid w:val="001C3A3D"/>
    <w:rsid w:val="001C445C"/>
    <w:rsid w:val="001C65E4"/>
    <w:rsid w:val="001D0610"/>
    <w:rsid w:val="001D2C3F"/>
    <w:rsid w:val="001D3350"/>
    <w:rsid w:val="001D4813"/>
    <w:rsid w:val="001D54F6"/>
    <w:rsid w:val="001D6805"/>
    <w:rsid w:val="001D6950"/>
    <w:rsid w:val="001D7E1F"/>
    <w:rsid w:val="001E1698"/>
    <w:rsid w:val="001E25F3"/>
    <w:rsid w:val="001E3727"/>
    <w:rsid w:val="001E64F2"/>
    <w:rsid w:val="001F066A"/>
    <w:rsid w:val="001F0AA5"/>
    <w:rsid w:val="001F1C12"/>
    <w:rsid w:val="001F1ED6"/>
    <w:rsid w:val="001F2EDE"/>
    <w:rsid w:val="001F5BCF"/>
    <w:rsid w:val="001F66DA"/>
    <w:rsid w:val="00200BC4"/>
    <w:rsid w:val="00202738"/>
    <w:rsid w:val="00204345"/>
    <w:rsid w:val="0020465B"/>
    <w:rsid w:val="0020549A"/>
    <w:rsid w:val="00205A58"/>
    <w:rsid w:val="0021049C"/>
    <w:rsid w:val="00211265"/>
    <w:rsid w:val="00225F02"/>
    <w:rsid w:val="00230425"/>
    <w:rsid w:val="002305F8"/>
    <w:rsid w:val="00231385"/>
    <w:rsid w:val="00233F3F"/>
    <w:rsid w:val="002350CE"/>
    <w:rsid w:val="0023765D"/>
    <w:rsid w:val="00241DF5"/>
    <w:rsid w:val="00243876"/>
    <w:rsid w:val="00244AA7"/>
    <w:rsid w:val="00246E54"/>
    <w:rsid w:val="002472A4"/>
    <w:rsid w:val="002509B7"/>
    <w:rsid w:val="00253F4E"/>
    <w:rsid w:val="002541F1"/>
    <w:rsid w:val="00255AD6"/>
    <w:rsid w:val="00260AE3"/>
    <w:rsid w:val="00260FC4"/>
    <w:rsid w:val="002620D5"/>
    <w:rsid w:val="00263ABC"/>
    <w:rsid w:val="00264285"/>
    <w:rsid w:val="002666EF"/>
    <w:rsid w:val="002746F2"/>
    <w:rsid w:val="00274875"/>
    <w:rsid w:val="002756B0"/>
    <w:rsid w:val="002826F0"/>
    <w:rsid w:val="0028357B"/>
    <w:rsid w:val="002868C6"/>
    <w:rsid w:val="00293610"/>
    <w:rsid w:val="00293B68"/>
    <w:rsid w:val="002956FA"/>
    <w:rsid w:val="00295AA4"/>
    <w:rsid w:val="00295D0F"/>
    <w:rsid w:val="00296833"/>
    <w:rsid w:val="00296CA6"/>
    <w:rsid w:val="002A1A86"/>
    <w:rsid w:val="002A1ABF"/>
    <w:rsid w:val="002A2AA4"/>
    <w:rsid w:val="002A3FB4"/>
    <w:rsid w:val="002A400E"/>
    <w:rsid w:val="002A4AD9"/>
    <w:rsid w:val="002A560F"/>
    <w:rsid w:val="002A63FE"/>
    <w:rsid w:val="002A7F29"/>
    <w:rsid w:val="002B1CD4"/>
    <w:rsid w:val="002B2BB1"/>
    <w:rsid w:val="002B32B5"/>
    <w:rsid w:val="002B32D4"/>
    <w:rsid w:val="002B3919"/>
    <w:rsid w:val="002B3E09"/>
    <w:rsid w:val="002B46D4"/>
    <w:rsid w:val="002B495F"/>
    <w:rsid w:val="002B4A15"/>
    <w:rsid w:val="002C0487"/>
    <w:rsid w:val="002C09D3"/>
    <w:rsid w:val="002C0C74"/>
    <w:rsid w:val="002C16AD"/>
    <w:rsid w:val="002C1ADE"/>
    <w:rsid w:val="002C2F8C"/>
    <w:rsid w:val="002C6474"/>
    <w:rsid w:val="002C6BDF"/>
    <w:rsid w:val="002D0E25"/>
    <w:rsid w:val="002D10EC"/>
    <w:rsid w:val="002D2463"/>
    <w:rsid w:val="002D3291"/>
    <w:rsid w:val="002D497C"/>
    <w:rsid w:val="002D4F01"/>
    <w:rsid w:val="002D5D7C"/>
    <w:rsid w:val="002D6F07"/>
    <w:rsid w:val="002E0187"/>
    <w:rsid w:val="002E0AD3"/>
    <w:rsid w:val="002E2B6A"/>
    <w:rsid w:val="002E6DA5"/>
    <w:rsid w:val="002E745D"/>
    <w:rsid w:val="002E7BD9"/>
    <w:rsid w:val="002F046B"/>
    <w:rsid w:val="002F07A3"/>
    <w:rsid w:val="002F2E76"/>
    <w:rsid w:val="002F3331"/>
    <w:rsid w:val="002F5580"/>
    <w:rsid w:val="002F740A"/>
    <w:rsid w:val="0030336B"/>
    <w:rsid w:val="00304667"/>
    <w:rsid w:val="00304D0B"/>
    <w:rsid w:val="003055DD"/>
    <w:rsid w:val="00307403"/>
    <w:rsid w:val="00312150"/>
    <w:rsid w:val="003129DF"/>
    <w:rsid w:val="003139E5"/>
    <w:rsid w:val="003144B8"/>
    <w:rsid w:val="0031469E"/>
    <w:rsid w:val="0031563E"/>
    <w:rsid w:val="00315DCF"/>
    <w:rsid w:val="00317E06"/>
    <w:rsid w:val="00320F91"/>
    <w:rsid w:val="00321DA1"/>
    <w:rsid w:val="003259BD"/>
    <w:rsid w:val="00330D95"/>
    <w:rsid w:val="00332A2B"/>
    <w:rsid w:val="00332BC2"/>
    <w:rsid w:val="00335287"/>
    <w:rsid w:val="0033546E"/>
    <w:rsid w:val="003357C3"/>
    <w:rsid w:val="00337D35"/>
    <w:rsid w:val="00337E7B"/>
    <w:rsid w:val="00347022"/>
    <w:rsid w:val="00350246"/>
    <w:rsid w:val="0035312A"/>
    <w:rsid w:val="0035333B"/>
    <w:rsid w:val="003560EA"/>
    <w:rsid w:val="00357D98"/>
    <w:rsid w:val="00360932"/>
    <w:rsid w:val="00365FEF"/>
    <w:rsid w:val="003669EA"/>
    <w:rsid w:val="003708E2"/>
    <w:rsid w:val="003710ED"/>
    <w:rsid w:val="003726BC"/>
    <w:rsid w:val="003755D3"/>
    <w:rsid w:val="00377202"/>
    <w:rsid w:val="00377E47"/>
    <w:rsid w:val="0038179E"/>
    <w:rsid w:val="00381CF3"/>
    <w:rsid w:val="00382539"/>
    <w:rsid w:val="003827A7"/>
    <w:rsid w:val="0038303B"/>
    <w:rsid w:val="0038394A"/>
    <w:rsid w:val="003848E8"/>
    <w:rsid w:val="00384EDB"/>
    <w:rsid w:val="003860A7"/>
    <w:rsid w:val="003867FE"/>
    <w:rsid w:val="003915AC"/>
    <w:rsid w:val="00396CC6"/>
    <w:rsid w:val="003A6C75"/>
    <w:rsid w:val="003A6F52"/>
    <w:rsid w:val="003A736A"/>
    <w:rsid w:val="003A7B12"/>
    <w:rsid w:val="003A7ED2"/>
    <w:rsid w:val="003B1913"/>
    <w:rsid w:val="003B4D80"/>
    <w:rsid w:val="003B5B7F"/>
    <w:rsid w:val="003B7B9C"/>
    <w:rsid w:val="003C2E0D"/>
    <w:rsid w:val="003C5412"/>
    <w:rsid w:val="003C62F1"/>
    <w:rsid w:val="003C6970"/>
    <w:rsid w:val="003D146A"/>
    <w:rsid w:val="003D1B8D"/>
    <w:rsid w:val="003D426F"/>
    <w:rsid w:val="003D6365"/>
    <w:rsid w:val="003D7F31"/>
    <w:rsid w:val="003E084D"/>
    <w:rsid w:val="003E089B"/>
    <w:rsid w:val="003E1F07"/>
    <w:rsid w:val="003E3B32"/>
    <w:rsid w:val="003E57EA"/>
    <w:rsid w:val="003E76FA"/>
    <w:rsid w:val="003E7E39"/>
    <w:rsid w:val="003F04DA"/>
    <w:rsid w:val="003F1A5A"/>
    <w:rsid w:val="003F2266"/>
    <w:rsid w:val="003F2E1A"/>
    <w:rsid w:val="003F3085"/>
    <w:rsid w:val="003F32AA"/>
    <w:rsid w:val="003F4B24"/>
    <w:rsid w:val="003F4C1D"/>
    <w:rsid w:val="003F5C46"/>
    <w:rsid w:val="003F6E3F"/>
    <w:rsid w:val="003F6F61"/>
    <w:rsid w:val="003F7975"/>
    <w:rsid w:val="003F7B83"/>
    <w:rsid w:val="00401F27"/>
    <w:rsid w:val="00404C85"/>
    <w:rsid w:val="00405337"/>
    <w:rsid w:val="0041139F"/>
    <w:rsid w:val="00411CA8"/>
    <w:rsid w:val="0041272C"/>
    <w:rsid w:val="00412C9E"/>
    <w:rsid w:val="0041398D"/>
    <w:rsid w:val="0041467F"/>
    <w:rsid w:val="00415FD7"/>
    <w:rsid w:val="0041638B"/>
    <w:rsid w:val="00416823"/>
    <w:rsid w:val="00420F4A"/>
    <w:rsid w:val="00422468"/>
    <w:rsid w:val="00422ABB"/>
    <w:rsid w:val="0042615D"/>
    <w:rsid w:val="0042747A"/>
    <w:rsid w:val="00427C13"/>
    <w:rsid w:val="00430D8B"/>
    <w:rsid w:val="00430E86"/>
    <w:rsid w:val="00431B4C"/>
    <w:rsid w:val="00431D80"/>
    <w:rsid w:val="00434D1B"/>
    <w:rsid w:val="00436CD6"/>
    <w:rsid w:val="0044098E"/>
    <w:rsid w:val="004437CB"/>
    <w:rsid w:val="004457CA"/>
    <w:rsid w:val="004467D4"/>
    <w:rsid w:val="0044688D"/>
    <w:rsid w:val="0045172B"/>
    <w:rsid w:val="00452543"/>
    <w:rsid w:val="00452A56"/>
    <w:rsid w:val="00452D42"/>
    <w:rsid w:val="0045360A"/>
    <w:rsid w:val="00455B72"/>
    <w:rsid w:val="00460796"/>
    <w:rsid w:val="00462626"/>
    <w:rsid w:val="004626EB"/>
    <w:rsid w:val="00463748"/>
    <w:rsid w:val="00464D97"/>
    <w:rsid w:val="00466895"/>
    <w:rsid w:val="00467C02"/>
    <w:rsid w:val="004709B5"/>
    <w:rsid w:val="004709CF"/>
    <w:rsid w:val="004740BB"/>
    <w:rsid w:val="00480E1A"/>
    <w:rsid w:val="00484D21"/>
    <w:rsid w:val="0048515A"/>
    <w:rsid w:val="00486B28"/>
    <w:rsid w:val="004874D1"/>
    <w:rsid w:val="004936E3"/>
    <w:rsid w:val="00495960"/>
    <w:rsid w:val="00497152"/>
    <w:rsid w:val="00497DF4"/>
    <w:rsid w:val="004A05B9"/>
    <w:rsid w:val="004A0C1A"/>
    <w:rsid w:val="004A0DA6"/>
    <w:rsid w:val="004A0F23"/>
    <w:rsid w:val="004A1E05"/>
    <w:rsid w:val="004A2D89"/>
    <w:rsid w:val="004A4181"/>
    <w:rsid w:val="004A4C81"/>
    <w:rsid w:val="004A4FE6"/>
    <w:rsid w:val="004A6CCE"/>
    <w:rsid w:val="004A74AA"/>
    <w:rsid w:val="004A7A02"/>
    <w:rsid w:val="004B1575"/>
    <w:rsid w:val="004B24AB"/>
    <w:rsid w:val="004B56A6"/>
    <w:rsid w:val="004B66CF"/>
    <w:rsid w:val="004B7FA4"/>
    <w:rsid w:val="004C1A5D"/>
    <w:rsid w:val="004C3A50"/>
    <w:rsid w:val="004C458A"/>
    <w:rsid w:val="004C63BD"/>
    <w:rsid w:val="004C7949"/>
    <w:rsid w:val="004C7E64"/>
    <w:rsid w:val="004D0840"/>
    <w:rsid w:val="004D0F90"/>
    <w:rsid w:val="004D7162"/>
    <w:rsid w:val="004E2730"/>
    <w:rsid w:val="004E3A5F"/>
    <w:rsid w:val="004E40DD"/>
    <w:rsid w:val="004E6CF7"/>
    <w:rsid w:val="004E75DE"/>
    <w:rsid w:val="004F3081"/>
    <w:rsid w:val="004F3A72"/>
    <w:rsid w:val="004F5092"/>
    <w:rsid w:val="004F5D7B"/>
    <w:rsid w:val="004F79F8"/>
    <w:rsid w:val="005000F7"/>
    <w:rsid w:val="0050097B"/>
    <w:rsid w:val="00502A01"/>
    <w:rsid w:val="00502D28"/>
    <w:rsid w:val="00502D79"/>
    <w:rsid w:val="00506F19"/>
    <w:rsid w:val="00510AAF"/>
    <w:rsid w:val="0051353A"/>
    <w:rsid w:val="00513CEF"/>
    <w:rsid w:val="00517107"/>
    <w:rsid w:val="00521A58"/>
    <w:rsid w:val="00522E71"/>
    <w:rsid w:val="00525895"/>
    <w:rsid w:val="00526FEC"/>
    <w:rsid w:val="00527F75"/>
    <w:rsid w:val="00534125"/>
    <w:rsid w:val="005345AF"/>
    <w:rsid w:val="00537035"/>
    <w:rsid w:val="005378E5"/>
    <w:rsid w:val="005420D1"/>
    <w:rsid w:val="005423F1"/>
    <w:rsid w:val="00550570"/>
    <w:rsid w:val="00552289"/>
    <w:rsid w:val="00552ABE"/>
    <w:rsid w:val="00554C4E"/>
    <w:rsid w:val="00554D18"/>
    <w:rsid w:val="00555ECF"/>
    <w:rsid w:val="00555F6B"/>
    <w:rsid w:val="00557084"/>
    <w:rsid w:val="00557240"/>
    <w:rsid w:val="00557491"/>
    <w:rsid w:val="00557B9F"/>
    <w:rsid w:val="00557F99"/>
    <w:rsid w:val="00560111"/>
    <w:rsid w:val="00560B28"/>
    <w:rsid w:val="0056135D"/>
    <w:rsid w:val="0056197A"/>
    <w:rsid w:val="00561A69"/>
    <w:rsid w:val="0056740F"/>
    <w:rsid w:val="0056766B"/>
    <w:rsid w:val="00571658"/>
    <w:rsid w:val="00571B23"/>
    <w:rsid w:val="00571D8C"/>
    <w:rsid w:val="00573213"/>
    <w:rsid w:val="0058604C"/>
    <w:rsid w:val="005875FD"/>
    <w:rsid w:val="00593EFB"/>
    <w:rsid w:val="00595E91"/>
    <w:rsid w:val="005972B6"/>
    <w:rsid w:val="005A3A02"/>
    <w:rsid w:val="005A4596"/>
    <w:rsid w:val="005A4715"/>
    <w:rsid w:val="005A50A6"/>
    <w:rsid w:val="005A698D"/>
    <w:rsid w:val="005A7802"/>
    <w:rsid w:val="005A786D"/>
    <w:rsid w:val="005A7A11"/>
    <w:rsid w:val="005B0299"/>
    <w:rsid w:val="005B36DB"/>
    <w:rsid w:val="005B5CBA"/>
    <w:rsid w:val="005B632F"/>
    <w:rsid w:val="005C2152"/>
    <w:rsid w:val="005C2937"/>
    <w:rsid w:val="005C39A5"/>
    <w:rsid w:val="005C559B"/>
    <w:rsid w:val="005C56EA"/>
    <w:rsid w:val="005C6A5B"/>
    <w:rsid w:val="005C74FA"/>
    <w:rsid w:val="005D0A4A"/>
    <w:rsid w:val="005D1EC9"/>
    <w:rsid w:val="005D276E"/>
    <w:rsid w:val="005D3989"/>
    <w:rsid w:val="005D4867"/>
    <w:rsid w:val="005D4BBF"/>
    <w:rsid w:val="005D59A1"/>
    <w:rsid w:val="005E0F8E"/>
    <w:rsid w:val="005E3257"/>
    <w:rsid w:val="005E3BF4"/>
    <w:rsid w:val="005E44B7"/>
    <w:rsid w:val="005E4AF4"/>
    <w:rsid w:val="005E5B71"/>
    <w:rsid w:val="005F2654"/>
    <w:rsid w:val="005F430E"/>
    <w:rsid w:val="005F58FC"/>
    <w:rsid w:val="006008D8"/>
    <w:rsid w:val="00602EF5"/>
    <w:rsid w:val="006035B6"/>
    <w:rsid w:val="00604699"/>
    <w:rsid w:val="00606D99"/>
    <w:rsid w:val="006119BA"/>
    <w:rsid w:val="006126EE"/>
    <w:rsid w:val="00613ECA"/>
    <w:rsid w:val="006174DE"/>
    <w:rsid w:val="00632DC8"/>
    <w:rsid w:val="00634425"/>
    <w:rsid w:val="00634FF4"/>
    <w:rsid w:val="006351B9"/>
    <w:rsid w:val="00635D30"/>
    <w:rsid w:val="00643607"/>
    <w:rsid w:val="00643E2F"/>
    <w:rsid w:val="00644F4F"/>
    <w:rsid w:val="0064630A"/>
    <w:rsid w:val="00646B37"/>
    <w:rsid w:val="006516B0"/>
    <w:rsid w:val="0065203F"/>
    <w:rsid w:val="00653402"/>
    <w:rsid w:val="00653E9D"/>
    <w:rsid w:val="00656876"/>
    <w:rsid w:val="00656AC6"/>
    <w:rsid w:val="00657A18"/>
    <w:rsid w:val="006608FE"/>
    <w:rsid w:val="006610D1"/>
    <w:rsid w:val="006628AB"/>
    <w:rsid w:val="006628C0"/>
    <w:rsid w:val="00663EC2"/>
    <w:rsid w:val="00664BB6"/>
    <w:rsid w:val="00667052"/>
    <w:rsid w:val="00667F04"/>
    <w:rsid w:val="006754CB"/>
    <w:rsid w:val="00675C61"/>
    <w:rsid w:val="00677A55"/>
    <w:rsid w:val="00681E75"/>
    <w:rsid w:val="00682B03"/>
    <w:rsid w:val="00682CEA"/>
    <w:rsid w:val="00682EAB"/>
    <w:rsid w:val="006834E2"/>
    <w:rsid w:val="00685CC9"/>
    <w:rsid w:val="0068665D"/>
    <w:rsid w:val="0069031E"/>
    <w:rsid w:val="006903E8"/>
    <w:rsid w:val="0069477A"/>
    <w:rsid w:val="006955A1"/>
    <w:rsid w:val="00697662"/>
    <w:rsid w:val="00697696"/>
    <w:rsid w:val="006A1340"/>
    <w:rsid w:val="006A3366"/>
    <w:rsid w:val="006A5B72"/>
    <w:rsid w:val="006A6560"/>
    <w:rsid w:val="006A65FC"/>
    <w:rsid w:val="006B05AB"/>
    <w:rsid w:val="006B0A64"/>
    <w:rsid w:val="006B4891"/>
    <w:rsid w:val="006B579F"/>
    <w:rsid w:val="006B638D"/>
    <w:rsid w:val="006B6982"/>
    <w:rsid w:val="006B6D18"/>
    <w:rsid w:val="006B7EFD"/>
    <w:rsid w:val="006C078C"/>
    <w:rsid w:val="006C22D3"/>
    <w:rsid w:val="006C238A"/>
    <w:rsid w:val="006C2B11"/>
    <w:rsid w:val="006C4EE6"/>
    <w:rsid w:val="006C5FD3"/>
    <w:rsid w:val="006D0AAF"/>
    <w:rsid w:val="006D0C72"/>
    <w:rsid w:val="006D2AEB"/>
    <w:rsid w:val="006D2DB8"/>
    <w:rsid w:val="006D35BF"/>
    <w:rsid w:val="006D3885"/>
    <w:rsid w:val="006E0280"/>
    <w:rsid w:val="006E1819"/>
    <w:rsid w:val="006E652B"/>
    <w:rsid w:val="006E6FFA"/>
    <w:rsid w:val="006F0A56"/>
    <w:rsid w:val="006F29CC"/>
    <w:rsid w:val="006F319D"/>
    <w:rsid w:val="006F6638"/>
    <w:rsid w:val="006F6692"/>
    <w:rsid w:val="006F69CF"/>
    <w:rsid w:val="00700012"/>
    <w:rsid w:val="00701A34"/>
    <w:rsid w:val="007020C6"/>
    <w:rsid w:val="007046B7"/>
    <w:rsid w:val="00704C69"/>
    <w:rsid w:val="00705135"/>
    <w:rsid w:val="007103AF"/>
    <w:rsid w:val="00717C1C"/>
    <w:rsid w:val="007214E1"/>
    <w:rsid w:val="007242CB"/>
    <w:rsid w:val="007259E2"/>
    <w:rsid w:val="0073178D"/>
    <w:rsid w:val="00737A7A"/>
    <w:rsid w:val="00740ABD"/>
    <w:rsid w:val="0074212F"/>
    <w:rsid w:val="0075026D"/>
    <w:rsid w:val="0075124A"/>
    <w:rsid w:val="00751A9A"/>
    <w:rsid w:val="00760EA5"/>
    <w:rsid w:val="00760F2E"/>
    <w:rsid w:val="007630ED"/>
    <w:rsid w:val="00763FCC"/>
    <w:rsid w:val="007735AC"/>
    <w:rsid w:val="007736E9"/>
    <w:rsid w:val="007742E6"/>
    <w:rsid w:val="00777FD3"/>
    <w:rsid w:val="0078117F"/>
    <w:rsid w:val="00782026"/>
    <w:rsid w:val="00782694"/>
    <w:rsid w:val="00786822"/>
    <w:rsid w:val="007870B2"/>
    <w:rsid w:val="007872B9"/>
    <w:rsid w:val="00791D3B"/>
    <w:rsid w:val="00792406"/>
    <w:rsid w:val="00796B35"/>
    <w:rsid w:val="0079701D"/>
    <w:rsid w:val="007A0061"/>
    <w:rsid w:val="007A25B5"/>
    <w:rsid w:val="007A2D8E"/>
    <w:rsid w:val="007A414C"/>
    <w:rsid w:val="007A58EB"/>
    <w:rsid w:val="007B136D"/>
    <w:rsid w:val="007B16D3"/>
    <w:rsid w:val="007B441C"/>
    <w:rsid w:val="007B4FF0"/>
    <w:rsid w:val="007B5ABE"/>
    <w:rsid w:val="007B78B8"/>
    <w:rsid w:val="007C03BD"/>
    <w:rsid w:val="007C068D"/>
    <w:rsid w:val="007C2E45"/>
    <w:rsid w:val="007C549F"/>
    <w:rsid w:val="007C6F4D"/>
    <w:rsid w:val="007D10A4"/>
    <w:rsid w:val="007D1368"/>
    <w:rsid w:val="007D3062"/>
    <w:rsid w:val="007D3626"/>
    <w:rsid w:val="007D42B7"/>
    <w:rsid w:val="007D7D0F"/>
    <w:rsid w:val="007E101B"/>
    <w:rsid w:val="007E17CD"/>
    <w:rsid w:val="007E208F"/>
    <w:rsid w:val="007E20D3"/>
    <w:rsid w:val="007E24BF"/>
    <w:rsid w:val="007E44CA"/>
    <w:rsid w:val="007E490E"/>
    <w:rsid w:val="007E5304"/>
    <w:rsid w:val="007E5795"/>
    <w:rsid w:val="007E6FCD"/>
    <w:rsid w:val="00801ECF"/>
    <w:rsid w:val="008040B5"/>
    <w:rsid w:val="0080469C"/>
    <w:rsid w:val="00805197"/>
    <w:rsid w:val="00805BA2"/>
    <w:rsid w:val="00806AF5"/>
    <w:rsid w:val="00807AB2"/>
    <w:rsid w:val="00812E5F"/>
    <w:rsid w:val="00813B5D"/>
    <w:rsid w:val="008146C4"/>
    <w:rsid w:val="00816531"/>
    <w:rsid w:val="00817372"/>
    <w:rsid w:val="00820B83"/>
    <w:rsid w:val="00820C27"/>
    <w:rsid w:val="0082190B"/>
    <w:rsid w:val="008222DE"/>
    <w:rsid w:val="00823E1D"/>
    <w:rsid w:val="008269C5"/>
    <w:rsid w:val="00830E3C"/>
    <w:rsid w:val="00831D06"/>
    <w:rsid w:val="00831EF7"/>
    <w:rsid w:val="00833608"/>
    <w:rsid w:val="00834259"/>
    <w:rsid w:val="00834F35"/>
    <w:rsid w:val="00836D1F"/>
    <w:rsid w:val="00843768"/>
    <w:rsid w:val="00843CA0"/>
    <w:rsid w:val="008457E0"/>
    <w:rsid w:val="00845D2A"/>
    <w:rsid w:val="00850F06"/>
    <w:rsid w:val="00851B5C"/>
    <w:rsid w:val="00854383"/>
    <w:rsid w:val="00856FB3"/>
    <w:rsid w:val="0085750D"/>
    <w:rsid w:val="00862796"/>
    <w:rsid w:val="00863183"/>
    <w:rsid w:val="00864215"/>
    <w:rsid w:val="00865EC2"/>
    <w:rsid w:val="0087214D"/>
    <w:rsid w:val="008747AE"/>
    <w:rsid w:val="008757D7"/>
    <w:rsid w:val="0087603E"/>
    <w:rsid w:val="00876123"/>
    <w:rsid w:val="008766C9"/>
    <w:rsid w:val="00877A13"/>
    <w:rsid w:val="00877FEF"/>
    <w:rsid w:val="00882362"/>
    <w:rsid w:val="00882447"/>
    <w:rsid w:val="00883447"/>
    <w:rsid w:val="00885E80"/>
    <w:rsid w:val="00886040"/>
    <w:rsid w:val="00886DFA"/>
    <w:rsid w:val="00892240"/>
    <w:rsid w:val="008960E4"/>
    <w:rsid w:val="008961A4"/>
    <w:rsid w:val="00896A40"/>
    <w:rsid w:val="008A2947"/>
    <w:rsid w:val="008A2E8D"/>
    <w:rsid w:val="008A3880"/>
    <w:rsid w:val="008B35EE"/>
    <w:rsid w:val="008B37CE"/>
    <w:rsid w:val="008B4846"/>
    <w:rsid w:val="008B615A"/>
    <w:rsid w:val="008B61F0"/>
    <w:rsid w:val="008B7FC0"/>
    <w:rsid w:val="008C443C"/>
    <w:rsid w:val="008C4E59"/>
    <w:rsid w:val="008C7BA1"/>
    <w:rsid w:val="008D0BAF"/>
    <w:rsid w:val="008D10D3"/>
    <w:rsid w:val="008D1F62"/>
    <w:rsid w:val="008D2BEE"/>
    <w:rsid w:val="008D2E0F"/>
    <w:rsid w:val="008D3489"/>
    <w:rsid w:val="008D379F"/>
    <w:rsid w:val="008D3F23"/>
    <w:rsid w:val="008D7AEE"/>
    <w:rsid w:val="008E0086"/>
    <w:rsid w:val="008E2C13"/>
    <w:rsid w:val="008E2DE6"/>
    <w:rsid w:val="008E61E8"/>
    <w:rsid w:val="008E75C9"/>
    <w:rsid w:val="008E7879"/>
    <w:rsid w:val="008F02D1"/>
    <w:rsid w:val="008F116D"/>
    <w:rsid w:val="008F1CE7"/>
    <w:rsid w:val="008F3422"/>
    <w:rsid w:val="008F5A4F"/>
    <w:rsid w:val="008F626C"/>
    <w:rsid w:val="00902035"/>
    <w:rsid w:val="0090211E"/>
    <w:rsid w:val="00903111"/>
    <w:rsid w:val="00906A2C"/>
    <w:rsid w:val="00907479"/>
    <w:rsid w:val="009110C8"/>
    <w:rsid w:val="009116FC"/>
    <w:rsid w:val="00913278"/>
    <w:rsid w:val="00913863"/>
    <w:rsid w:val="00913A10"/>
    <w:rsid w:val="00914EF1"/>
    <w:rsid w:val="00916025"/>
    <w:rsid w:val="0091795B"/>
    <w:rsid w:val="00920386"/>
    <w:rsid w:val="009226A1"/>
    <w:rsid w:val="00931C89"/>
    <w:rsid w:val="00934F09"/>
    <w:rsid w:val="00936412"/>
    <w:rsid w:val="00936BE6"/>
    <w:rsid w:val="0094110E"/>
    <w:rsid w:val="00941E69"/>
    <w:rsid w:val="009424C3"/>
    <w:rsid w:val="009440E9"/>
    <w:rsid w:val="009458A7"/>
    <w:rsid w:val="009546D6"/>
    <w:rsid w:val="00954794"/>
    <w:rsid w:val="009553B0"/>
    <w:rsid w:val="00956CFF"/>
    <w:rsid w:val="0095726D"/>
    <w:rsid w:val="0095746B"/>
    <w:rsid w:val="00957F2F"/>
    <w:rsid w:val="00960122"/>
    <w:rsid w:val="009601BA"/>
    <w:rsid w:val="00962956"/>
    <w:rsid w:val="00962CC5"/>
    <w:rsid w:val="0096515B"/>
    <w:rsid w:val="00965BF4"/>
    <w:rsid w:val="00965F4A"/>
    <w:rsid w:val="009661C7"/>
    <w:rsid w:val="00967966"/>
    <w:rsid w:val="00970E58"/>
    <w:rsid w:val="0097477E"/>
    <w:rsid w:val="0097578B"/>
    <w:rsid w:val="00975983"/>
    <w:rsid w:val="00976CF5"/>
    <w:rsid w:val="00982C20"/>
    <w:rsid w:val="00983A45"/>
    <w:rsid w:val="00987606"/>
    <w:rsid w:val="00990121"/>
    <w:rsid w:val="0099033C"/>
    <w:rsid w:val="009926A1"/>
    <w:rsid w:val="00993A9E"/>
    <w:rsid w:val="009969D9"/>
    <w:rsid w:val="009979DB"/>
    <w:rsid w:val="009A0344"/>
    <w:rsid w:val="009A11C3"/>
    <w:rsid w:val="009A3607"/>
    <w:rsid w:val="009A4A98"/>
    <w:rsid w:val="009A694F"/>
    <w:rsid w:val="009B05E5"/>
    <w:rsid w:val="009B1434"/>
    <w:rsid w:val="009B281D"/>
    <w:rsid w:val="009B3C8B"/>
    <w:rsid w:val="009B476A"/>
    <w:rsid w:val="009B54AB"/>
    <w:rsid w:val="009B65BC"/>
    <w:rsid w:val="009B7186"/>
    <w:rsid w:val="009C0562"/>
    <w:rsid w:val="009C1880"/>
    <w:rsid w:val="009C48DD"/>
    <w:rsid w:val="009C5391"/>
    <w:rsid w:val="009C56C0"/>
    <w:rsid w:val="009C6013"/>
    <w:rsid w:val="009C69A5"/>
    <w:rsid w:val="009C7791"/>
    <w:rsid w:val="009D0345"/>
    <w:rsid w:val="009D108B"/>
    <w:rsid w:val="009D2243"/>
    <w:rsid w:val="009D256B"/>
    <w:rsid w:val="009D4587"/>
    <w:rsid w:val="009D6110"/>
    <w:rsid w:val="009D6350"/>
    <w:rsid w:val="009D6AD4"/>
    <w:rsid w:val="009E1AF0"/>
    <w:rsid w:val="009E1C5C"/>
    <w:rsid w:val="009E2489"/>
    <w:rsid w:val="009E3DA3"/>
    <w:rsid w:val="009E6263"/>
    <w:rsid w:val="009E70C4"/>
    <w:rsid w:val="009E7821"/>
    <w:rsid w:val="009F0913"/>
    <w:rsid w:val="009F0B85"/>
    <w:rsid w:val="009F28E4"/>
    <w:rsid w:val="009F2F23"/>
    <w:rsid w:val="009F3EC5"/>
    <w:rsid w:val="009F65E4"/>
    <w:rsid w:val="009F71FC"/>
    <w:rsid w:val="00A01629"/>
    <w:rsid w:val="00A02207"/>
    <w:rsid w:val="00A036EC"/>
    <w:rsid w:val="00A0419D"/>
    <w:rsid w:val="00A056DA"/>
    <w:rsid w:val="00A10C9B"/>
    <w:rsid w:val="00A11C0A"/>
    <w:rsid w:val="00A129D6"/>
    <w:rsid w:val="00A1308F"/>
    <w:rsid w:val="00A13253"/>
    <w:rsid w:val="00A13AC1"/>
    <w:rsid w:val="00A1452A"/>
    <w:rsid w:val="00A14F5F"/>
    <w:rsid w:val="00A20EB9"/>
    <w:rsid w:val="00A22482"/>
    <w:rsid w:val="00A23B71"/>
    <w:rsid w:val="00A2444E"/>
    <w:rsid w:val="00A24B91"/>
    <w:rsid w:val="00A25A41"/>
    <w:rsid w:val="00A263C9"/>
    <w:rsid w:val="00A27FBB"/>
    <w:rsid w:val="00A31FFC"/>
    <w:rsid w:val="00A33F90"/>
    <w:rsid w:val="00A34F10"/>
    <w:rsid w:val="00A36278"/>
    <w:rsid w:val="00A37B02"/>
    <w:rsid w:val="00A4024F"/>
    <w:rsid w:val="00A43C44"/>
    <w:rsid w:val="00A44764"/>
    <w:rsid w:val="00A4536F"/>
    <w:rsid w:val="00A472D6"/>
    <w:rsid w:val="00A5261C"/>
    <w:rsid w:val="00A56B5A"/>
    <w:rsid w:val="00A62FC0"/>
    <w:rsid w:val="00A632ED"/>
    <w:rsid w:val="00A64EF5"/>
    <w:rsid w:val="00A65B2F"/>
    <w:rsid w:val="00A67B14"/>
    <w:rsid w:val="00A70F25"/>
    <w:rsid w:val="00A71162"/>
    <w:rsid w:val="00A71BDB"/>
    <w:rsid w:val="00A74939"/>
    <w:rsid w:val="00A74B00"/>
    <w:rsid w:val="00A75610"/>
    <w:rsid w:val="00A77409"/>
    <w:rsid w:val="00A863EA"/>
    <w:rsid w:val="00A86797"/>
    <w:rsid w:val="00A87450"/>
    <w:rsid w:val="00A928EA"/>
    <w:rsid w:val="00A935A7"/>
    <w:rsid w:val="00A966DF"/>
    <w:rsid w:val="00A9720C"/>
    <w:rsid w:val="00AA216B"/>
    <w:rsid w:val="00AA4C80"/>
    <w:rsid w:val="00AA5603"/>
    <w:rsid w:val="00AA5C9C"/>
    <w:rsid w:val="00AA5F18"/>
    <w:rsid w:val="00AA79C2"/>
    <w:rsid w:val="00AB1E44"/>
    <w:rsid w:val="00AB2A88"/>
    <w:rsid w:val="00AB3AB2"/>
    <w:rsid w:val="00AB60AD"/>
    <w:rsid w:val="00AB6DBA"/>
    <w:rsid w:val="00AC13F3"/>
    <w:rsid w:val="00AC23E1"/>
    <w:rsid w:val="00AC4959"/>
    <w:rsid w:val="00AC6381"/>
    <w:rsid w:val="00AC6DD3"/>
    <w:rsid w:val="00AD0775"/>
    <w:rsid w:val="00AD2B2C"/>
    <w:rsid w:val="00AD47B8"/>
    <w:rsid w:val="00AD549C"/>
    <w:rsid w:val="00AD5E7A"/>
    <w:rsid w:val="00AD6730"/>
    <w:rsid w:val="00AE1543"/>
    <w:rsid w:val="00AE1AAA"/>
    <w:rsid w:val="00AE1AE8"/>
    <w:rsid w:val="00AE1C50"/>
    <w:rsid w:val="00AE2A6A"/>
    <w:rsid w:val="00AE2CAC"/>
    <w:rsid w:val="00AE374E"/>
    <w:rsid w:val="00AE4259"/>
    <w:rsid w:val="00AE5113"/>
    <w:rsid w:val="00AE6618"/>
    <w:rsid w:val="00AF1566"/>
    <w:rsid w:val="00AF1A5E"/>
    <w:rsid w:val="00AF2A5D"/>
    <w:rsid w:val="00AF2C7F"/>
    <w:rsid w:val="00AF2D37"/>
    <w:rsid w:val="00AF4055"/>
    <w:rsid w:val="00AF5B58"/>
    <w:rsid w:val="00B01387"/>
    <w:rsid w:val="00B01401"/>
    <w:rsid w:val="00B016EE"/>
    <w:rsid w:val="00B02079"/>
    <w:rsid w:val="00B051E9"/>
    <w:rsid w:val="00B10372"/>
    <w:rsid w:val="00B1107E"/>
    <w:rsid w:val="00B11A4D"/>
    <w:rsid w:val="00B127D3"/>
    <w:rsid w:val="00B12FEE"/>
    <w:rsid w:val="00B21915"/>
    <w:rsid w:val="00B224E0"/>
    <w:rsid w:val="00B22CF6"/>
    <w:rsid w:val="00B2365D"/>
    <w:rsid w:val="00B24705"/>
    <w:rsid w:val="00B257BC"/>
    <w:rsid w:val="00B262B7"/>
    <w:rsid w:val="00B2751C"/>
    <w:rsid w:val="00B277DB"/>
    <w:rsid w:val="00B326CC"/>
    <w:rsid w:val="00B3578E"/>
    <w:rsid w:val="00B35C27"/>
    <w:rsid w:val="00B37D00"/>
    <w:rsid w:val="00B41036"/>
    <w:rsid w:val="00B41E05"/>
    <w:rsid w:val="00B438B1"/>
    <w:rsid w:val="00B43DB3"/>
    <w:rsid w:val="00B45919"/>
    <w:rsid w:val="00B508AB"/>
    <w:rsid w:val="00B517C2"/>
    <w:rsid w:val="00B521A0"/>
    <w:rsid w:val="00B5275A"/>
    <w:rsid w:val="00B529DA"/>
    <w:rsid w:val="00B52CAE"/>
    <w:rsid w:val="00B531A9"/>
    <w:rsid w:val="00B5412E"/>
    <w:rsid w:val="00B542F7"/>
    <w:rsid w:val="00B544F4"/>
    <w:rsid w:val="00B55D9B"/>
    <w:rsid w:val="00B56CB0"/>
    <w:rsid w:val="00B57B4C"/>
    <w:rsid w:val="00B621D2"/>
    <w:rsid w:val="00B64545"/>
    <w:rsid w:val="00B64D4F"/>
    <w:rsid w:val="00B64D64"/>
    <w:rsid w:val="00B65B66"/>
    <w:rsid w:val="00B67AF4"/>
    <w:rsid w:val="00B70102"/>
    <w:rsid w:val="00B707D7"/>
    <w:rsid w:val="00B71C90"/>
    <w:rsid w:val="00B731A9"/>
    <w:rsid w:val="00B74967"/>
    <w:rsid w:val="00B758B5"/>
    <w:rsid w:val="00B7648F"/>
    <w:rsid w:val="00B8253B"/>
    <w:rsid w:val="00B826AE"/>
    <w:rsid w:val="00B826ED"/>
    <w:rsid w:val="00B832B7"/>
    <w:rsid w:val="00B83350"/>
    <w:rsid w:val="00B84544"/>
    <w:rsid w:val="00B84631"/>
    <w:rsid w:val="00B865E5"/>
    <w:rsid w:val="00B8699A"/>
    <w:rsid w:val="00B87E17"/>
    <w:rsid w:val="00B91148"/>
    <w:rsid w:val="00B93CA1"/>
    <w:rsid w:val="00B94106"/>
    <w:rsid w:val="00B94C94"/>
    <w:rsid w:val="00B96D42"/>
    <w:rsid w:val="00BA21AC"/>
    <w:rsid w:val="00BA2438"/>
    <w:rsid w:val="00BA2647"/>
    <w:rsid w:val="00BA3822"/>
    <w:rsid w:val="00BA468E"/>
    <w:rsid w:val="00BA6113"/>
    <w:rsid w:val="00BA6CE8"/>
    <w:rsid w:val="00BB3A85"/>
    <w:rsid w:val="00BB7EC9"/>
    <w:rsid w:val="00BC3AE2"/>
    <w:rsid w:val="00BC45EF"/>
    <w:rsid w:val="00BC7BFB"/>
    <w:rsid w:val="00BD491B"/>
    <w:rsid w:val="00BD6576"/>
    <w:rsid w:val="00BE1DFC"/>
    <w:rsid w:val="00BE3F2A"/>
    <w:rsid w:val="00BE4D27"/>
    <w:rsid w:val="00BE5334"/>
    <w:rsid w:val="00BE5AFB"/>
    <w:rsid w:val="00BF04E2"/>
    <w:rsid w:val="00BF0BAF"/>
    <w:rsid w:val="00BF1805"/>
    <w:rsid w:val="00BF3F15"/>
    <w:rsid w:val="00BF57E4"/>
    <w:rsid w:val="00BF6154"/>
    <w:rsid w:val="00C001FC"/>
    <w:rsid w:val="00C007CF"/>
    <w:rsid w:val="00C00B30"/>
    <w:rsid w:val="00C0432A"/>
    <w:rsid w:val="00C0689D"/>
    <w:rsid w:val="00C07EC1"/>
    <w:rsid w:val="00C10E1E"/>
    <w:rsid w:val="00C131BC"/>
    <w:rsid w:val="00C14699"/>
    <w:rsid w:val="00C16584"/>
    <w:rsid w:val="00C1718E"/>
    <w:rsid w:val="00C20A36"/>
    <w:rsid w:val="00C21547"/>
    <w:rsid w:val="00C2376D"/>
    <w:rsid w:val="00C277E3"/>
    <w:rsid w:val="00C27984"/>
    <w:rsid w:val="00C301EC"/>
    <w:rsid w:val="00C31836"/>
    <w:rsid w:val="00C346A1"/>
    <w:rsid w:val="00C3509D"/>
    <w:rsid w:val="00C35840"/>
    <w:rsid w:val="00C3689B"/>
    <w:rsid w:val="00C41647"/>
    <w:rsid w:val="00C42506"/>
    <w:rsid w:val="00C4263B"/>
    <w:rsid w:val="00C43F9D"/>
    <w:rsid w:val="00C44C8A"/>
    <w:rsid w:val="00C44F81"/>
    <w:rsid w:val="00C45FC8"/>
    <w:rsid w:val="00C4642E"/>
    <w:rsid w:val="00C54AA9"/>
    <w:rsid w:val="00C54B5F"/>
    <w:rsid w:val="00C557C7"/>
    <w:rsid w:val="00C56CA2"/>
    <w:rsid w:val="00C57440"/>
    <w:rsid w:val="00C62925"/>
    <w:rsid w:val="00C66D52"/>
    <w:rsid w:val="00C66DEC"/>
    <w:rsid w:val="00C70CCE"/>
    <w:rsid w:val="00C712A4"/>
    <w:rsid w:val="00C716F4"/>
    <w:rsid w:val="00C722B7"/>
    <w:rsid w:val="00C739F0"/>
    <w:rsid w:val="00C74DFA"/>
    <w:rsid w:val="00C75051"/>
    <w:rsid w:val="00C824C3"/>
    <w:rsid w:val="00C83D28"/>
    <w:rsid w:val="00C83F2D"/>
    <w:rsid w:val="00C84344"/>
    <w:rsid w:val="00C906DA"/>
    <w:rsid w:val="00C90A49"/>
    <w:rsid w:val="00C94B32"/>
    <w:rsid w:val="00C96E6A"/>
    <w:rsid w:val="00CA290B"/>
    <w:rsid w:val="00CA32E2"/>
    <w:rsid w:val="00CB082A"/>
    <w:rsid w:val="00CB20A1"/>
    <w:rsid w:val="00CB3E8C"/>
    <w:rsid w:val="00CC140D"/>
    <w:rsid w:val="00CC1627"/>
    <w:rsid w:val="00CC2576"/>
    <w:rsid w:val="00CC6AD0"/>
    <w:rsid w:val="00CC7857"/>
    <w:rsid w:val="00CC7C11"/>
    <w:rsid w:val="00CD01B6"/>
    <w:rsid w:val="00CD37B3"/>
    <w:rsid w:val="00CD3DA7"/>
    <w:rsid w:val="00CD4685"/>
    <w:rsid w:val="00CD5AB6"/>
    <w:rsid w:val="00CD69B4"/>
    <w:rsid w:val="00CD7749"/>
    <w:rsid w:val="00CD7976"/>
    <w:rsid w:val="00CE0517"/>
    <w:rsid w:val="00CE0FEB"/>
    <w:rsid w:val="00CE1566"/>
    <w:rsid w:val="00CE23A7"/>
    <w:rsid w:val="00CE26CE"/>
    <w:rsid w:val="00CF04C9"/>
    <w:rsid w:val="00CF1D37"/>
    <w:rsid w:val="00CF2A6D"/>
    <w:rsid w:val="00CF3C3E"/>
    <w:rsid w:val="00CF3F3B"/>
    <w:rsid w:val="00CF4E37"/>
    <w:rsid w:val="00D009B1"/>
    <w:rsid w:val="00D00E27"/>
    <w:rsid w:val="00D02281"/>
    <w:rsid w:val="00D066E7"/>
    <w:rsid w:val="00D1301C"/>
    <w:rsid w:val="00D13BE9"/>
    <w:rsid w:val="00D1413D"/>
    <w:rsid w:val="00D1452B"/>
    <w:rsid w:val="00D14865"/>
    <w:rsid w:val="00D21324"/>
    <w:rsid w:val="00D213DE"/>
    <w:rsid w:val="00D27DA8"/>
    <w:rsid w:val="00D350B4"/>
    <w:rsid w:val="00D3766E"/>
    <w:rsid w:val="00D37C7F"/>
    <w:rsid w:val="00D40B99"/>
    <w:rsid w:val="00D41D48"/>
    <w:rsid w:val="00D435D0"/>
    <w:rsid w:val="00D435D7"/>
    <w:rsid w:val="00D46D8A"/>
    <w:rsid w:val="00D510A2"/>
    <w:rsid w:val="00D5146E"/>
    <w:rsid w:val="00D529D8"/>
    <w:rsid w:val="00D548A2"/>
    <w:rsid w:val="00D6158B"/>
    <w:rsid w:val="00D64A70"/>
    <w:rsid w:val="00D71A34"/>
    <w:rsid w:val="00D744FD"/>
    <w:rsid w:val="00D75DBC"/>
    <w:rsid w:val="00D77A5B"/>
    <w:rsid w:val="00D77C0D"/>
    <w:rsid w:val="00D82CB2"/>
    <w:rsid w:val="00D84D21"/>
    <w:rsid w:val="00D85A5F"/>
    <w:rsid w:val="00D9277D"/>
    <w:rsid w:val="00D92EFD"/>
    <w:rsid w:val="00D93E8E"/>
    <w:rsid w:val="00D93FBB"/>
    <w:rsid w:val="00D94812"/>
    <w:rsid w:val="00D95B88"/>
    <w:rsid w:val="00D9638E"/>
    <w:rsid w:val="00D977A0"/>
    <w:rsid w:val="00DA1454"/>
    <w:rsid w:val="00DA3B19"/>
    <w:rsid w:val="00DA47CF"/>
    <w:rsid w:val="00DA5C95"/>
    <w:rsid w:val="00DA626E"/>
    <w:rsid w:val="00DA703F"/>
    <w:rsid w:val="00DB07EE"/>
    <w:rsid w:val="00DB2775"/>
    <w:rsid w:val="00DB345E"/>
    <w:rsid w:val="00DB7F1E"/>
    <w:rsid w:val="00DC1664"/>
    <w:rsid w:val="00DC20BA"/>
    <w:rsid w:val="00DC7493"/>
    <w:rsid w:val="00DD0D53"/>
    <w:rsid w:val="00DD54EA"/>
    <w:rsid w:val="00DD5DE9"/>
    <w:rsid w:val="00DD62E4"/>
    <w:rsid w:val="00DD73AC"/>
    <w:rsid w:val="00DE2466"/>
    <w:rsid w:val="00DE6CB7"/>
    <w:rsid w:val="00DE6E6D"/>
    <w:rsid w:val="00DE7C26"/>
    <w:rsid w:val="00DF2CAC"/>
    <w:rsid w:val="00DF56F6"/>
    <w:rsid w:val="00DF7C34"/>
    <w:rsid w:val="00DF7D41"/>
    <w:rsid w:val="00E00952"/>
    <w:rsid w:val="00E0182A"/>
    <w:rsid w:val="00E024FC"/>
    <w:rsid w:val="00E03647"/>
    <w:rsid w:val="00E0794B"/>
    <w:rsid w:val="00E11ABE"/>
    <w:rsid w:val="00E14B78"/>
    <w:rsid w:val="00E1564C"/>
    <w:rsid w:val="00E16AD7"/>
    <w:rsid w:val="00E20EE9"/>
    <w:rsid w:val="00E222E9"/>
    <w:rsid w:val="00E25317"/>
    <w:rsid w:val="00E31EA9"/>
    <w:rsid w:val="00E33B11"/>
    <w:rsid w:val="00E35B18"/>
    <w:rsid w:val="00E35C9A"/>
    <w:rsid w:val="00E368D3"/>
    <w:rsid w:val="00E369AE"/>
    <w:rsid w:val="00E376C2"/>
    <w:rsid w:val="00E4161F"/>
    <w:rsid w:val="00E4249B"/>
    <w:rsid w:val="00E4409A"/>
    <w:rsid w:val="00E455FD"/>
    <w:rsid w:val="00E46595"/>
    <w:rsid w:val="00E465BF"/>
    <w:rsid w:val="00E46A54"/>
    <w:rsid w:val="00E531E0"/>
    <w:rsid w:val="00E538EF"/>
    <w:rsid w:val="00E541E9"/>
    <w:rsid w:val="00E54448"/>
    <w:rsid w:val="00E552A6"/>
    <w:rsid w:val="00E560AE"/>
    <w:rsid w:val="00E60CD8"/>
    <w:rsid w:val="00E61270"/>
    <w:rsid w:val="00E625EB"/>
    <w:rsid w:val="00E63C69"/>
    <w:rsid w:val="00E6426A"/>
    <w:rsid w:val="00E646F7"/>
    <w:rsid w:val="00E6570E"/>
    <w:rsid w:val="00E66D97"/>
    <w:rsid w:val="00E674EE"/>
    <w:rsid w:val="00E6794D"/>
    <w:rsid w:val="00E67E24"/>
    <w:rsid w:val="00E70EAD"/>
    <w:rsid w:val="00E713C6"/>
    <w:rsid w:val="00E71952"/>
    <w:rsid w:val="00E71DDF"/>
    <w:rsid w:val="00E720BE"/>
    <w:rsid w:val="00E7253D"/>
    <w:rsid w:val="00E73446"/>
    <w:rsid w:val="00E75A49"/>
    <w:rsid w:val="00E812E3"/>
    <w:rsid w:val="00E81856"/>
    <w:rsid w:val="00E83539"/>
    <w:rsid w:val="00E85970"/>
    <w:rsid w:val="00E85A18"/>
    <w:rsid w:val="00E92697"/>
    <w:rsid w:val="00E92A27"/>
    <w:rsid w:val="00E93C34"/>
    <w:rsid w:val="00E93C6D"/>
    <w:rsid w:val="00E94014"/>
    <w:rsid w:val="00E944E7"/>
    <w:rsid w:val="00E95052"/>
    <w:rsid w:val="00E95371"/>
    <w:rsid w:val="00E95A65"/>
    <w:rsid w:val="00EA07E3"/>
    <w:rsid w:val="00EA114C"/>
    <w:rsid w:val="00EA1269"/>
    <w:rsid w:val="00EA33E3"/>
    <w:rsid w:val="00EA4209"/>
    <w:rsid w:val="00EA42EB"/>
    <w:rsid w:val="00EA7200"/>
    <w:rsid w:val="00EA7329"/>
    <w:rsid w:val="00EB4A9E"/>
    <w:rsid w:val="00EB5346"/>
    <w:rsid w:val="00EB7B02"/>
    <w:rsid w:val="00EC14F9"/>
    <w:rsid w:val="00EC20AE"/>
    <w:rsid w:val="00EC251B"/>
    <w:rsid w:val="00EC2918"/>
    <w:rsid w:val="00EC4208"/>
    <w:rsid w:val="00EC6346"/>
    <w:rsid w:val="00EC739D"/>
    <w:rsid w:val="00EC7DD7"/>
    <w:rsid w:val="00ED082D"/>
    <w:rsid w:val="00ED2072"/>
    <w:rsid w:val="00ED296D"/>
    <w:rsid w:val="00ED2A3C"/>
    <w:rsid w:val="00ED450A"/>
    <w:rsid w:val="00ED55AD"/>
    <w:rsid w:val="00ED6DA3"/>
    <w:rsid w:val="00ED717E"/>
    <w:rsid w:val="00ED760E"/>
    <w:rsid w:val="00EE062C"/>
    <w:rsid w:val="00EE2589"/>
    <w:rsid w:val="00EE27D9"/>
    <w:rsid w:val="00EE3D6C"/>
    <w:rsid w:val="00EE573C"/>
    <w:rsid w:val="00EE7DC7"/>
    <w:rsid w:val="00EF0BE5"/>
    <w:rsid w:val="00EF12AA"/>
    <w:rsid w:val="00EF2FB1"/>
    <w:rsid w:val="00EF415F"/>
    <w:rsid w:val="00EF5F1F"/>
    <w:rsid w:val="00EF7091"/>
    <w:rsid w:val="00EF7174"/>
    <w:rsid w:val="00EF7822"/>
    <w:rsid w:val="00F01085"/>
    <w:rsid w:val="00F07399"/>
    <w:rsid w:val="00F076C3"/>
    <w:rsid w:val="00F07ADA"/>
    <w:rsid w:val="00F11271"/>
    <w:rsid w:val="00F11899"/>
    <w:rsid w:val="00F138E4"/>
    <w:rsid w:val="00F14D22"/>
    <w:rsid w:val="00F15C9F"/>
    <w:rsid w:val="00F2137E"/>
    <w:rsid w:val="00F25DDC"/>
    <w:rsid w:val="00F270CE"/>
    <w:rsid w:val="00F33A85"/>
    <w:rsid w:val="00F34993"/>
    <w:rsid w:val="00F35FEF"/>
    <w:rsid w:val="00F36B79"/>
    <w:rsid w:val="00F36D68"/>
    <w:rsid w:val="00F40232"/>
    <w:rsid w:val="00F421FC"/>
    <w:rsid w:val="00F42693"/>
    <w:rsid w:val="00F428D8"/>
    <w:rsid w:val="00F42994"/>
    <w:rsid w:val="00F42D4E"/>
    <w:rsid w:val="00F4520F"/>
    <w:rsid w:val="00F4648C"/>
    <w:rsid w:val="00F4795C"/>
    <w:rsid w:val="00F50A9D"/>
    <w:rsid w:val="00F510C0"/>
    <w:rsid w:val="00F52D8E"/>
    <w:rsid w:val="00F53221"/>
    <w:rsid w:val="00F54782"/>
    <w:rsid w:val="00F54AFF"/>
    <w:rsid w:val="00F604FB"/>
    <w:rsid w:val="00F6519D"/>
    <w:rsid w:val="00F65700"/>
    <w:rsid w:val="00F65C2B"/>
    <w:rsid w:val="00F66F94"/>
    <w:rsid w:val="00F701B1"/>
    <w:rsid w:val="00F7031E"/>
    <w:rsid w:val="00F71FA8"/>
    <w:rsid w:val="00F73BD8"/>
    <w:rsid w:val="00F74210"/>
    <w:rsid w:val="00F75CA9"/>
    <w:rsid w:val="00F80330"/>
    <w:rsid w:val="00F81841"/>
    <w:rsid w:val="00F83E06"/>
    <w:rsid w:val="00F84808"/>
    <w:rsid w:val="00F8615B"/>
    <w:rsid w:val="00F8761E"/>
    <w:rsid w:val="00F8776E"/>
    <w:rsid w:val="00F908B5"/>
    <w:rsid w:val="00F92DF2"/>
    <w:rsid w:val="00F93856"/>
    <w:rsid w:val="00F94AE8"/>
    <w:rsid w:val="00F94C96"/>
    <w:rsid w:val="00F970FE"/>
    <w:rsid w:val="00F97523"/>
    <w:rsid w:val="00F979B7"/>
    <w:rsid w:val="00FA0F84"/>
    <w:rsid w:val="00FA339D"/>
    <w:rsid w:val="00FA3A3C"/>
    <w:rsid w:val="00FA519E"/>
    <w:rsid w:val="00FA5DFB"/>
    <w:rsid w:val="00FA65D0"/>
    <w:rsid w:val="00FB3BD7"/>
    <w:rsid w:val="00FB4736"/>
    <w:rsid w:val="00FB6F1F"/>
    <w:rsid w:val="00FC0211"/>
    <w:rsid w:val="00FC168C"/>
    <w:rsid w:val="00FC1D8F"/>
    <w:rsid w:val="00FC722F"/>
    <w:rsid w:val="00FD01EE"/>
    <w:rsid w:val="00FD068D"/>
    <w:rsid w:val="00FD25FF"/>
    <w:rsid w:val="00FD2BF5"/>
    <w:rsid w:val="00FD5313"/>
    <w:rsid w:val="00FD5C12"/>
    <w:rsid w:val="00FD72CC"/>
    <w:rsid w:val="00FE0944"/>
    <w:rsid w:val="00FE0BEC"/>
    <w:rsid w:val="00FE17D1"/>
    <w:rsid w:val="00FE269C"/>
    <w:rsid w:val="00FE28CB"/>
    <w:rsid w:val="00FE332B"/>
    <w:rsid w:val="00FE3773"/>
    <w:rsid w:val="00FE5344"/>
    <w:rsid w:val="00FE5AEF"/>
    <w:rsid w:val="00FE61CA"/>
    <w:rsid w:val="00FF0E40"/>
    <w:rsid w:val="00FF1AB3"/>
    <w:rsid w:val="00FF1D0C"/>
    <w:rsid w:val="00FF5D00"/>
    <w:rsid w:val="00FF6077"/>
    <w:rsid w:val="00FF609B"/>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E834"/>
  <w15:docId w15:val="{AFC6AE7A-64C9-4630-90AB-0B3EEEC8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D6D"/>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101D"/>
    <w:pPr>
      <w:tabs>
        <w:tab w:val="center" w:pos="4819"/>
        <w:tab w:val="right" w:pos="9638"/>
      </w:tabs>
    </w:pPr>
  </w:style>
  <w:style w:type="character" w:styleId="PageNumber">
    <w:name w:val="page number"/>
    <w:basedOn w:val="DefaultParagraphFont"/>
    <w:rsid w:val="0009101D"/>
  </w:style>
  <w:style w:type="paragraph" w:customStyle="1" w:styleId="DiagramaDiagramaDiagrama">
    <w:name w:val="Diagrama Diagrama Diagrama"/>
    <w:basedOn w:val="Normal"/>
    <w:rsid w:val="00A02207"/>
    <w:pPr>
      <w:spacing w:after="160" w:line="240" w:lineRule="exact"/>
    </w:pPr>
    <w:rPr>
      <w:rFonts w:ascii="Tahoma" w:hAnsi="Tahoma"/>
      <w:sz w:val="20"/>
      <w:szCs w:val="20"/>
      <w:lang w:val="en-US" w:eastAsia="en-US"/>
    </w:rPr>
  </w:style>
  <w:style w:type="character" w:styleId="Strong">
    <w:name w:val="Strong"/>
    <w:uiPriority w:val="22"/>
    <w:qFormat/>
    <w:rsid w:val="007C068D"/>
    <w:rPr>
      <w:b/>
      <w:bCs/>
    </w:rPr>
  </w:style>
  <w:style w:type="paragraph" w:customStyle="1" w:styleId="Tekstas">
    <w:name w:val="Tekstas"/>
    <w:basedOn w:val="Normal"/>
    <w:rsid w:val="007C068D"/>
    <w:pPr>
      <w:spacing w:before="40" w:after="40"/>
      <w:ind w:right="40" w:firstLine="1247"/>
      <w:jc w:val="both"/>
    </w:pPr>
    <w:rPr>
      <w:lang w:eastAsia="en-US"/>
    </w:rPr>
  </w:style>
  <w:style w:type="paragraph" w:customStyle="1" w:styleId="Kopija">
    <w:name w:val="Kopija"/>
    <w:basedOn w:val="Normal"/>
    <w:rsid w:val="00DB345E"/>
    <w:pPr>
      <w:ind w:right="3999"/>
    </w:pPr>
    <w:rPr>
      <w:lang w:eastAsia="en-US"/>
    </w:rPr>
  </w:style>
  <w:style w:type="character" w:styleId="Hyperlink">
    <w:name w:val="Hyperlink"/>
    <w:rsid w:val="00557240"/>
    <w:rPr>
      <w:color w:val="0000FF"/>
      <w:u w:val="single"/>
    </w:rPr>
  </w:style>
  <w:style w:type="paragraph" w:styleId="ListParagraph">
    <w:name w:val="List Paragraph"/>
    <w:basedOn w:val="Normal"/>
    <w:uiPriority w:val="99"/>
    <w:qFormat/>
    <w:rsid w:val="00C21547"/>
    <w:pPr>
      <w:ind w:left="720"/>
      <w:contextualSpacing/>
      <w:jc w:val="both"/>
    </w:pPr>
    <w:rPr>
      <w:szCs w:val="20"/>
      <w:lang w:eastAsia="en-US"/>
    </w:rPr>
  </w:style>
  <w:style w:type="paragraph" w:customStyle="1" w:styleId="bodytext">
    <w:name w:val="bodytext"/>
    <w:basedOn w:val="Normal"/>
    <w:rsid w:val="00EA4209"/>
    <w:pPr>
      <w:autoSpaceDE w:val="0"/>
      <w:autoSpaceDN w:val="0"/>
      <w:ind w:firstLine="312"/>
      <w:jc w:val="both"/>
    </w:pPr>
    <w:rPr>
      <w:rFonts w:ascii="TimesLT" w:hAnsi="TimesLT"/>
      <w:sz w:val="20"/>
      <w:szCs w:val="20"/>
      <w:lang w:val="en-US" w:eastAsia="en-US"/>
    </w:rPr>
  </w:style>
  <w:style w:type="paragraph" w:styleId="DocumentMap">
    <w:name w:val="Document Map"/>
    <w:basedOn w:val="Normal"/>
    <w:semiHidden/>
    <w:rsid w:val="003C62F1"/>
    <w:pPr>
      <w:shd w:val="clear" w:color="auto" w:fill="000080"/>
    </w:pPr>
    <w:rPr>
      <w:rFonts w:ascii="Tahoma" w:hAnsi="Tahoma" w:cs="Tahoma"/>
      <w:sz w:val="20"/>
      <w:szCs w:val="20"/>
    </w:rPr>
  </w:style>
  <w:style w:type="character" w:styleId="CommentReference">
    <w:name w:val="annotation reference"/>
    <w:rsid w:val="003D426F"/>
    <w:rPr>
      <w:sz w:val="16"/>
      <w:szCs w:val="16"/>
    </w:rPr>
  </w:style>
  <w:style w:type="paragraph" w:styleId="CommentText">
    <w:name w:val="annotation text"/>
    <w:basedOn w:val="Normal"/>
    <w:link w:val="CommentTextChar"/>
    <w:rsid w:val="003D426F"/>
    <w:rPr>
      <w:sz w:val="20"/>
      <w:szCs w:val="20"/>
    </w:rPr>
  </w:style>
  <w:style w:type="character" w:customStyle="1" w:styleId="CommentTextChar">
    <w:name w:val="Comment Text Char"/>
    <w:basedOn w:val="DefaultParagraphFont"/>
    <w:link w:val="CommentText"/>
    <w:rsid w:val="003D426F"/>
  </w:style>
  <w:style w:type="paragraph" w:styleId="CommentSubject">
    <w:name w:val="annotation subject"/>
    <w:basedOn w:val="CommentText"/>
    <w:next w:val="CommentText"/>
    <w:link w:val="CommentSubjectChar"/>
    <w:rsid w:val="003D426F"/>
    <w:rPr>
      <w:b/>
      <w:bCs/>
    </w:rPr>
  </w:style>
  <w:style w:type="character" w:customStyle="1" w:styleId="CommentSubjectChar">
    <w:name w:val="Comment Subject Char"/>
    <w:link w:val="CommentSubject"/>
    <w:rsid w:val="003D426F"/>
    <w:rPr>
      <w:b/>
      <w:bCs/>
    </w:rPr>
  </w:style>
  <w:style w:type="paragraph" w:styleId="BalloonText">
    <w:name w:val="Balloon Text"/>
    <w:basedOn w:val="Normal"/>
    <w:link w:val="BalloonTextChar"/>
    <w:rsid w:val="003D426F"/>
    <w:rPr>
      <w:rFonts w:ascii="Tahoma" w:hAnsi="Tahoma" w:cs="Tahoma"/>
      <w:sz w:val="16"/>
      <w:szCs w:val="16"/>
    </w:rPr>
  </w:style>
  <w:style w:type="character" w:customStyle="1" w:styleId="BalloonTextChar">
    <w:name w:val="Balloon Text Char"/>
    <w:link w:val="BalloonText"/>
    <w:rsid w:val="003D426F"/>
    <w:rPr>
      <w:rFonts w:ascii="Tahoma" w:hAnsi="Tahoma" w:cs="Tahoma"/>
      <w:sz w:val="16"/>
      <w:szCs w:val="16"/>
    </w:rPr>
  </w:style>
  <w:style w:type="paragraph" w:styleId="BodyText2">
    <w:name w:val="Body Text 2"/>
    <w:basedOn w:val="Normal"/>
    <w:rsid w:val="00DC1664"/>
    <w:pPr>
      <w:spacing w:before="100" w:beforeAutospacing="1" w:after="100" w:afterAutospacing="1"/>
    </w:pPr>
  </w:style>
  <w:style w:type="paragraph" w:customStyle="1" w:styleId="Pavadinimas1">
    <w:name w:val="Pavadinimas1"/>
    <w:basedOn w:val="Normal"/>
    <w:rsid w:val="00B262B7"/>
    <w:pPr>
      <w:spacing w:before="40" w:after="40"/>
      <w:ind w:right="1959"/>
    </w:pPr>
    <w:rPr>
      <w:caps/>
      <w:lang w:eastAsia="en-US"/>
    </w:rPr>
  </w:style>
  <w:style w:type="character" w:customStyle="1" w:styleId="fontstyle51">
    <w:name w:val="fontstyle51"/>
    <w:basedOn w:val="DefaultParagraphFont"/>
    <w:rsid w:val="00634425"/>
  </w:style>
  <w:style w:type="paragraph" w:customStyle="1" w:styleId="msolistparagraph0">
    <w:name w:val="msolistparagraph"/>
    <w:basedOn w:val="Normal"/>
    <w:rsid w:val="00F076C3"/>
    <w:pPr>
      <w:spacing w:before="100" w:beforeAutospacing="1" w:after="100" w:afterAutospacing="1"/>
    </w:pPr>
  </w:style>
  <w:style w:type="paragraph" w:customStyle="1" w:styleId="NoSpacing1">
    <w:name w:val="No Spacing1"/>
    <w:rsid w:val="005E44B7"/>
    <w:rPr>
      <w:rFonts w:ascii="Calibri" w:hAnsi="Calibri"/>
      <w:sz w:val="22"/>
      <w:szCs w:val="22"/>
    </w:rPr>
  </w:style>
  <w:style w:type="paragraph" w:customStyle="1" w:styleId="ListParagraph1">
    <w:name w:val="List Paragraph1"/>
    <w:basedOn w:val="Normal"/>
    <w:rsid w:val="005E44B7"/>
    <w:pPr>
      <w:spacing w:after="200" w:line="276" w:lineRule="auto"/>
      <w:ind w:left="720"/>
      <w:contextualSpacing/>
    </w:pPr>
    <w:rPr>
      <w:rFonts w:ascii="Calibri" w:hAnsi="Calibri"/>
      <w:sz w:val="22"/>
      <w:szCs w:val="22"/>
      <w:lang w:val="en-US" w:eastAsia="en-US"/>
    </w:rPr>
  </w:style>
  <w:style w:type="paragraph" w:customStyle="1" w:styleId="Default">
    <w:name w:val="Default"/>
    <w:rsid w:val="00BF1805"/>
    <w:pPr>
      <w:autoSpaceDE w:val="0"/>
      <w:autoSpaceDN w:val="0"/>
      <w:adjustRightInd w:val="0"/>
    </w:pPr>
    <w:rPr>
      <w:color w:val="000000"/>
      <w:sz w:val="24"/>
      <w:szCs w:val="24"/>
      <w:lang w:val="lt-LT" w:eastAsia="lt-LT"/>
    </w:rPr>
  </w:style>
  <w:style w:type="paragraph" w:customStyle="1" w:styleId="Adresas">
    <w:name w:val="Adresas"/>
    <w:basedOn w:val="Normal"/>
    <w:qFormat/>
    <w:rsid w:val="00552ABE"/>
    <w:pPr>
      <w:suppressAutoHyphens/>
      <w:ind w:right="318"/>
    </w:pPr>
    <w:rPr>
      <w:lang w:eastAsia="ar-SA"/>
    </w:rPr>
  </w:style>
  <w:style w:type="paragraph" w:styleId="NormalWeb">
    <w:name w:val="Normal (Web)"/>
    <w:basedOn w:val="Normal"/>
    <w:uiPriority w:val="99"/>
    <w:semiHidden/>
    <w:unhideWhenUsed/>
    <w:rsid w:val="007A414C"/>
    <w:pPr>
      <w:spacing w:before="100" w:beforeAutospacing="1" w:after="240"/>
    </w:pPr>
    <w:rPr>
      <w:rFonts w:ascii="Arial" w:hAnsi="Arial" w:cs="Arial"/>
      <w:sz w:val="18"/>
      <w:szCs w:val="18"/>
    </w:rPr>
  </w:style>
  <w:style w:type="paragraph" w:styleId="HTMLPreformatted">
    <w:name w:val="HTML Preformatted"/>
    <w:basedOn w:val="Normal"/>
    <w:link w:val="HTMLPreformattedChar"/>
    <w:uiPriority w:val="99"/>
    <w:unhideWhenUsed/>
    <w:rsid w:val="0023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350CE"/>
    <w:rPr>
      <w:rFonts w:ascii="Courier New" w:eastAsiaTheme="minorHAnsi" w:hAnsi="Courier New" w:cs="Courier New"/>
      <w:lang w:val="lt-LT" w:eastAsia="lt-LT"/>
    </w:rPr>
  </w:style>
  <w:style w:type="paragraph" w:customStyle="1" w:styleId="tajtip">
    <w:name w:val="tajtip"/>
    <w:basedOn w:val="Normal"/>
    <w:rsid w:val="00EA7329"/>
    <w:pPr>
      <w:spacing w:after="150"/>
    </w:pPr>
  </w:style>
  <w:style w:type="paragraph" w:customStyle="1" w:styleId="taltipfb">
    <w:name w:val="taltipfb"/>
    <w:basedOn w:val="Normal"/>
    <w:rsid w:val="00AD0775"/>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61159">
      <w:bodyDiv w:val="1"/>
      <w:marLeft w:val="0"/>
      <w:marRight w:val="0"/>
      <w:marTop w:val="0"/>
      <w:marBottom w:val="0"/>
      <w:divBdr>
        <w:top w:val="none" w:sz="0" w:space="0" w:color="auto"/>
        <w:left w:val="none" w:sz="0" w:space="0" w:color="auto"/>
        <w:bottom w:val="none" w:sz="0" w:space="0" w:color="auto"/>
        <w:right w:val="none" w:sz="0" w:space="0" w:color="auto"/>
      </w:divBdr>
    </w:div>
    <w:div w:id="616371345">
      <w:bodyDiv w:val="1"/>
      <w:marLeft w:val="0"/>
      <w:marRight w:val="0"/>
      <w:marTop w:val="0"/>
      <w:marBottom w:val="0"/>
      <w:divBdr>
        <w:top w:val="none" w:sz="0" w:space="0" w:color="auto"/>
        <w:left w:val="none" w:sz="0" w:space="0" w:color="auto"/>
        <w:bottom w:val="none" w:sz="0" w:space="0" w:color="auto"/>
        <w:right w:val="none" w:sz="0" w:space="0" w:color="auto"/>
      </w:divBdr>
      <w:divsChild>
        <w:div w:id="1614747213">
          <w:marLeft w:val="0"/>
          <w:marRight w:val="0"/>
          <w:marTop w:val="100"/>
          <w:marBottom w:val="100"/>
          <w:divBdr>
            <w:top w:val="none" w:sz="0" w:space="0" w:color="auto"/>
            <w:left w:val="none" w:sz="0" w:space="0" w:color="auto"/>
            <w:bottom w:val="none" w:sz="0" w:space="0" w:color="auto"/>
            <w:right w:val="none" w:sz="0" w:space="0" w:color="auto"/>
          </w:divBdr>
          <w:divsChild>
            <w:div w:id="395326420">
              <w:marLeft w:val="0"/>
              <w:marRight w:val="0"/>
              <w:marTop w:val="0"/>
              <w:marBottom w:val="0"/>
              <w:divBdr>
                <w:top w:val="none" w:sz="0" w:space="0" w:color="auto"/>
                <w:left w:val="none" w:sz="0" w:space="0" w:color="auto"/>
                <w:bottom w:val="none" w:sz="0" w:space="0" w:color="auto"/>
                <w:right w:val="none" w:sz="0" w:space="0" w:color="auto"/>
              </w:divBdr>
              <w:divsChild>
                <w:div w:id="1585920058">
                  <w:marLeft w:val="0"/>
                  <w:marRight w:val="0"/>
                  <w:marTop w:val="0"/>
                  <w:marBottom w:val="0"/>
                  <w:divBdr>
                    <w:top w:val="none" w:sz="0" w:space="0" w:color="auto"/>
                    <w:left w:val="none" w:sz="0" w:space="0" w:color="auto"/>
                    <w:bottom w:val="none" w:sz="0" w:space="0" w:color="auto"/>
                    <w:right w:val="none" w:sz="0" w:space="0" w:color="auto"/>
                  </w:divBdr>
                  <w:divsChild>
                    <w:div w:id="2108500907">
                      <w:marLeft w:val="0"/>
                      <w:marRight w:val="0"/>
                      <w:marTop w:val="0"/>
                      <w:marBottom w:val="0"/>
                      <w:divBdr>
                        <w:top w:val="none" w:sz="0" w:space="0" w:color="auto"/>
                        <w:left w:val="none" w:sz="0" w:space="0" w:color="auto"/>
                        <w:bottom w:val="none" w:sz="0" w:space="0" w:color="auto"/>
                        <w:right w:val="none" w:sz="0" w:space="0" w:color="auto"/>
                      </w:divBdr>
                      <w:divsChild>
                        <w:div w:id="887493099">
                          <w:marLeft w:val="0"/>
                          <w:marRight w:val="0"/>
                          <w:marTop w:val="0"/>
                          <w:marBottom w:val="0"/>
                          <w:divBdr>
                            <w:top w:val="none" w:sz="0" w:space="0" w:color="auto"/>
                            <w:left w:val="none" w:sz="0" w:space="0" w:color="auto"/>
                            <w:bottom w:val="none" w:sz="0" w:space="0" w:color="auto"/>
                            <w:right w:val="none" w:sz="0" w:space="0" w:color="auto"/>
                          </w:divBdr>
                          <w:divsChild>
                            <w:div w:id="1656454167">
                              <w:marLeft w:val="0"/>
                              <w:marRight w:val="0"/>
                              <w:marTop w:val="0"/>
                              <w:marBottom w:val="0"/>
                              <w:divBdr>
                                <w:top w:val="none" w:sz="0" w:space="0" w:color="auto"/>
                                <w:left w:val="none" w:sz="0" w:space="0" w:color="auto"/>
                                <w:bottom w:val="none" w:sz="0" w:space="0" w:color="auto"/>
                                <w:right w:val="none" w:sz="0" w:space="0" w:color="auto"/>
                              </w:divBdr>
                              <w:divsChild>
                                <w:div w:id="486095158">
                                  <w:marLeft w:val="0"/>
                                  <w:marRight w:val="0"/>
                                  <w:marTop w:val="0"/>
                                  <w:marBottom w:val="0"/>
                                  <w:divBdr>
                                    <w:top w:val="none" w:sz="0" w:space="0" w:color="auto"/>
                                    <w:left w:val="none" w:sz="0" w:space="0" w:color="auto"/>
                                    <w:bottom w:val="none" w:sz="0" w:space="0" w:color="auto"/>
                                    <w:right w:val="none" w:sz="0" w:space="0" w:color="auto"/>
                                  </w:divBdr>
                                  <w:divsChild>
                                    <w:div w:id="506677994">
                                      <w:marLeft w:val="0"/>
                                      <w:marRight w:val="0"/>
                                      <w:marTop w:val="0"/>
                                      <w:marBottom w:val="0"/>
                                      <w:divBdr>
                                        <w:top w:val="none" w:sz="0" w:space="0" w:color="auto"/>
                                        <w:left w:val="none" w:sz="0" w:space="0" w:color="auto"/>
                                        <w:bottom w:val="none" w:sz="0" w:space="0" w:color="auto"/>
                                        <w:right w:val="none" w:sz="0" w:space="0" w:color="auto"/>
                                      </w:divBdr>
                                      <w:divsChild>
                                        <w:div w:id="463353093">
                                          <w:marLeft w:val="0"/>
                                          <w:marRight w:val="0"/>
                                          <w:marTop w:val="0"/>
                                          <w:marBottom w:val="0"/>
                                          <w:divBdr>
                                            <w:top w:val="none" w:sz="0" w:space="0" w:color="auto"/>
                                            <w:left w:val="none" w:sz="0" w:space="0" w:color="auto"/>
                                            <w:bottom w:val="none" w:sz="0" w:space="0" w:color="auto"/>
                                            <w:right w:val="none" w:sz="0" w:space="0" w:color="auto"/>
                                          </w:divBdr>
                                          <w:divsChild>
                                            <w:div w:id="781194699">
                                              <w:marLeft w:val="0"/>
                                              <w:marRight w:val="0"/>
                                              <w:marTop w:val="0"/>
                                              <w:marBottom w:val="0"/>
                                              <w:divBdr>
                                                <w:top w:val="none" w:sz="0" w:space="0" w:color="auto"/>
                                                <w:left w:val="none" w:sz="0" w:space="0" w:color="auto"/>
                                                <w:bottom w:val="none" w:sz="0" w:space="0" w:color="auto"/>
                                                <w:right w:val="none" w:sz="0" w:space="0" w:color="auto"/>
                                              </w:divBdr>
                                              <w:divsChild>
                                                <w:div w:id="501893940">
                                                  <w:marLeft w:val="0"/>
                                                  <w:marRight w:val="0"/>
                                                  <w:marTop w:val="0"/>
                                                  <w:marBottom w:val="0"/>
                                                  <w:divBdr>
                                                    <w:top w:val="none" w:sz="0" w:space="0" w:color="auto"/>
                                                    <w:left w:val="none" w:sz="0" w:space="0" w:color="auto"/>
                                                    <w:bottom w:val="none" w:sz="0" w:space="0" w:color="auto"/>
                                                    <w:right w:val="none" w:sz="0" w:space="0" w:color="auto"/>
                                                  </w:divBdr>
                                                  <w:divsChild>
                                                    <w:div w:id="1134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491060">
      <w:bodyDiv w:val="1"/>
      <w:marLeft w:val="0"/>
      <w:marRight w:val="0"/>
      <w:marTop w:val="0"/>
      <w:marBottom w:val="0"/>
      <w:divBdr>
        <w:top w:val="none" w:sz="0" w:space="0" w:color="auto"/>
        <w:left w:val="none" w:sz="0" w:space="0" w:color="auto"/>
        <w:bottom w:val="none" w:sz="0" w:space="0" w:color="auto"/>
        <w:right w:val="none" w:sz="0" w:space="0" w:color="auto"/>
      </w:divBdr>
    </w:div>
    <w:div w:id="864059295">
      <w:bodyDiv w:val="1"/>
      <w:marLeft w:val="0"/>
      <w:marRight w:val="0"/>
      <w:marTop w:val="0"/>
      <w:marBottom w:val="0"/>
      <w:divBdr>
        <w:top w:val="none" w:sz="0" w:space="0" w:color="auto"/>
        <w:left w:val="none" w:sz="0" w:space="0" w:color="auto"/>
        <w:bottom w:val="none" w:sz="0" w:space="0" w:color="auto"/>
        <w:right w:val="none" w:sz="0" w:space="0" w:color="auto"/>
      </w:divBdr>
    </w:div>
    <w:div w:id="874585193">
      <w:bodyDiv w:val="1"/>
      <w:marLeft w:val="208"/>
      <w:marRight w:val="208"/>
      <w:marTop w:val="0"/>
      <w:marBottom w:val="0"/>
      <w:divBdr>
        <w:top w:val="none" w:sz="0" w:space="0" w:color="auto"/>
        <w:left w:val="none" w:sz="0" w:space="0" w:color="auto"/>
        <w:bottom w:val="none" w:sz="0" w:space="0" w:color="auto"/>
        <w:right w:val="none" w:sz="0" w:space="0" w:color="auto"/>
      </w:divBdr>
      <w:divsChild>
        <w:div w:id="307519416">
          <w:marLeft w:val="0"/>
          <w:marRight w:val="0"/>
          <w:marTop w:val="0"/>
          <w:marBottom w:val="0"/>
          <w:divBdr>
            <w:top w:val="none" w:sz="0" w:space="0" w:color="auto"/>
            <w:left w:val="none" w:sz="0" w:space="0" w:color="auto"/>
            <w:bottom w:val="none" w:sz="0" w:space="0" w:color="auto"/>
            <w:right w:val="none" w:sz="0" w:space="0" w:color="auto"/>
          </w:divBdr>
        </w:div>
      </w:divsChild>
    </w:div>
    <w:div w:id="933703040">
      <w:bodyDiv w:val="1"/>
      <w:marLeft w:val="0"/>
      <w:marRight w:val="0"/>
      <w:marTop w:val="0"/>
      <w:marBottom w:val="0"/>
      <w:divBdr>
        <w:top w:val="none" w:sz="0" w:space="0" w:color="auto"/>
        <w:left w:val="none" w:sz="0" w:space="0" w:color="auto"/>
        <w:bottom w:val="none" w:sz="0" w:space="0" w:color="auto"/>
        <w:right w:val="none" w:sz="0" w:space="0" w:color="auto"/>
      </w:divBdr>
    </w:div>
    <w:div w:id="1384713105">
      <w:bodyDiv w:val="1"/>
      <w:marLeft w:val="0"/>
      <w:marRight w:val="0"/>
      <w:marTop w:val="0"/>
      <w:marBottom w:val="0"/>
      <w:divBdr>
        <w:top w:val="none" w:sz="0" w:space="0" w:color="auto"/>
        <w:left w:val="none" w:sz="0" w:space="0" w:color="auto"/>
        <w:bottom w:val="none" w:sz="0" w:space="0" w:color="auto"/>
        <w:right w:val="none" w:sz="0" w:space="0" w:color="auto"/>
      </w:divBdr>
    </w:div>
    <w:div w:id="1398935008">
      <w:bodyDiv w:val="1"/>
      <w:marLeft w:val="0"/>
      <w:marRight w:val="0"/>
      <w:marTop w:val="0"/>
      <w:marBottom w:val="0"/>
      <w:divBdr>
        <w:top w:val="none" w:sz="0" w:space="0" w:color="auto"/>
        <w:left w:val="none" w:sz="0" w:space="0" w:color="auto"/>
        <w:bottom w:val="none" w:sz="0" w:space="0" w:color="auto"/>
        <w:right w:val="none" w:sz="0" w:space="0" w:color="auto"/>
      </w:divBdr>
    </w:div>
    <w:div w:id="1544512743">
      <w:bodyDiv w:val="1"/>
      <w:marLeft w:val="0"/>
      <w:marRight w:val="0"/>
      <w:marTop w:val="0"/>
      <w:marBottom w:val="0"/>
      <w:divBdr>
        <w:top w:val="none" w:sz="0" w:space="0" w:color="auto"/>
        <w:left w:val="none" w:sz="0" w:space="0" w:color="auto"/>
        <w:bottom w:val="none" w:sz="0" w:space="0" w:color="auto"/>
        <w:right w:val="none" w:sz="0" w:space="0" w:color="auto"/>
      </w:divBdr>
    </w:div>
    <w:div w:id="1571962318">
      <w:bodyDiv w:val="1"/>
      <w:marLeft w:val="0"/>
      <w:marRight w:val="0"/>
      <w:marTop w:val="0"/>
      <w:marBottom w:val="0"/>
      <w:divBdr>
        <w:top w:val="none" w:sz="0" w:space="0" w:color="auto"/>
        <w:left w:val="none" w:sz="0" w:space="0" w:color="auto"/>
        <w:bottom w:val="none" w:sz="0" w:space="0" w:color="auto"/>
        <w:right w:val="none" w:sz="0" w:space="0" w:color="auto"/>
      </w:divBdr>
    </w:div>
    <w:div w:id="1633243184">
      <w:bodyDiv w:val="1"/>
      <w:marLeft w:val="0"/>
      <w:marRight w:val="0"/>
      <w:marTop w:val="0"/>
      <w:marBottom w:val="0"/>
      <w:divBdr>
        <w:top w:val="none" w:sz="0" w:space="0" w:color="auto"/>
        <w:left w:val="none" w:sz="0" w:space="0" w:color="auto"/>
        <w:bottom w:val="none" w:sz="0" w:space="0" w:color="auto"/>
        <w:right w:val="none" w:sz="0" w:space="0" w:color="auto"/>
      </w:divBdr>
    </w:div>
    <w:div w:id="1635326913">
      <w:bodyDiv w:val="1"/>
      <w:marLeft w:val="208"/>
      <w:marRight w:val="208"/>
      <w:marTop w:val="0"/>
      <w:marBottom w:val="0"/>
      <w:divBdr>
        <w:top w:val="none" w:sz="0" w:space="0" w:color="auto"/>
        <w:left w:val="none" w:sz="0" w:space="0" w:color="auto"/>
        <w:bottom w:val="none" w:sz="0" w:space="0" w:color="auto"/>
        <w:right w:val="none" w:sz="0" w:space="0" w:color="auto"/>
      </w:divBdr>
      <w:divsChild>
        <w:div w:id="1913656951">
          <w:marLeft w:val="0"/>
          <w:marRight w:val="0"/>
          <w:marTop w:val="0"/>
          <w:marBottom w:val="0"/>
          <w:divBdr>
            <w:top w:val="none" w:sz="0" w:space="0" w:color="auto"/>
            <w:left w:val="none" w:sz="0" w:space="0" w:color="auto"/>
            <w:bottom w:val="none" w:sz="0" w:space="0" w:color="auto"/>
            <w:right w:val="none" w:sz="0" w:space="0" w:color="auto"/>
          </w:divBdr>
        </w:div>
      </w:divsChild>
    </w:div>
    <w:div w:id="1798598414">
      <w:bodyDiv w:val="1"/>
      <w:marLeft w:val="208"/>
      <w:marRight w:val="208"/>
      <w:marTop w:val="0"/>
      <w:marBottom w:val="0"/>
      <w:divBdr>
        <w:top w:val="none" w:sz="0" w:space="0" w:color="auto"/>
        <w:left w:val="none" w:sz="0" w:space="0" w:color="auto"/>
        <w:bottom w:val="none" w:sz="0" w:space="0" w:color="auto"/>
        <w:right w:val="none" w:sz="0" w:space="0" w:color="auto"/>
      </w:divBdr>
      <w:divsChild>
        <w:div w:id="623655122">
          <w:marLeft w:val="0"/>
          <w:marRight w:val="0"/>
          <w:marTop w:val="0"/>
          <w:marBottom w:val="0"/>
          <w:divBdr>
            <w:top w:val="none" w:sz="0" w:space="0" w:color="auto"/>
            <w:left w:val="none" w:sz="0" w:space="0" w:color="auto"/>
            <w:bottom w:val="none" w:sz="0" w:space="0" w:color="auto"/>
            <w:right w:val="none" w:sz="0" w:space="0" w:color="auto"/>
          </w:divBdr>
        </w:div>
      </w:divsChild>
    </w:div>
    <w:div w:id="1884562499">
      <w:bodyDiv w:val="1"/>
      <w:marLeft w:val="0"/>
      <w:marRight w:val="0"/>
      <w:marTop w:val="0"/>
      <w:marBottom w:val="0"/>
      <w:divBdr>
        <w:top w:val="none" w:sz="0" w:space="0" w:color="auto"/>
        <w:left w:val="none" w:sz="0" w:space="0" w:color="auto"/>
        <w:bottom w:val="none" w:sz="0" w:space="0" w:color="auto"/>
        <w:right w:val="none" w:sz="0" w:space="0" w:color="auto"/>
      </w:divBdr>
      <w:divsChild>
        <w:div w:id="1719429177">
          <w:marLeft w:val="0"/>
          <w:marRight w:val="0"/>
          <w:marTop w:val="0"/>
          <w:marBottom w:val="0"/>
          <w:divBdr>
            <w:top w:val="none" w:sz="0" w:space="0" w:color="auto"/>
            <w:left w:val="none" w:sz="0" w:space="0" w:color="auto"/>
            <w:bottom w:val="none" w:sz="0" w:space="0" w:color="auto"/>
            <w:right w:val="none" w:sz="0" w:space="0" w:color="auto"/>
          </w:divBdr>
          <w:divsChild>
            <w:div w:id="1296175354">
              <w:marLeft w:val="0"/>
              <w:marRight w:val="0"/>
              <w:marTop w:val="0"/>
              <w:marBottom w:val="0"/>
              <w:divBdr>
                <w:top w:val="none" w:sz="0" w:space="0" w:color="auto"/>
                <w:left w:val="none" w:sz="0" w:space="0" w:color="auto"/>
                <w:bottom w:val="none" w:sz="0" w:space="0" w:color="auto"/>
                <w:right w:val="none" w:sz="0" w:space="0" w:color="auto"/>
              </w:divBdr>
              <w:divsChild>
                <w:div w:id="419912489">
                  <w:marLeft w:val="0"/>
                  <w:marRight w:val="0"/>
                  <w:marTop w:val="0"/>
                  <w:marBottom w:val="0"/>
                  <w:divBdr>
                    <w:top w:val="none" w:sz="0" w:space="0" w:color="auto"/>
                    <w:left w:val="none" w:sz="0" w:space="0" w:color="auto"/>
                    <w:bottom w:val="none" w:sz="0" w:space="0" w:color="auto"/>
                    <w:right w:val="none" w:sz="0" w:space="0" w:color="auto"/>
                  </w:divBdr>
                  <w:divsChild>
                    <w:div w:id="1776169140">
                      <w:marLeft w:val="0"/>
                      <w:marRight w:val="0"/>
                      <w:marTop w:val="0"/>
                      <w:marBottom w:val="0"/>
                      <w:divBdr>
                        <w:top w:val="none" w:sz="0" w:space="0" w:color="auto"/>
                        <w:left w:val="none" w:sz="0" w:space="0" w:color="auto"/>
                        <w:bottom w:val="none" w:sz="0" w:space="0" w:color="auto"/>
                        <w:right w:val="none" w:sz="0" w:space="0" w:color="auto"/>
                      </w:divBdr>
                      <w:divsChild>
                        <w:div w:id="1223058555">
                          <w:marLeft w:val="0"/>
                          <w:marRight w:val="0"/>
                          <w:marTop w:val="0"/>
                          <w:marBottom w:val="0"/>
                          <w:divBdr>
                            <w:top w:val="none" w:sz="0" w:space="0" w:color="auto"/>
                            <w:left w:val="none" w:sz="0" w:space="0" w:color="auto"/>
                            <w:bottom w:val="none" w:sz="0" w:space="0" w:color="auto"/>
                            <w:right w:val="none" w:sz="0" w:space="0" w:color="auto"/>
                          </w:divBdr>
                          <w:divsChild>
                            <w:div w:id="1671103714">
                              <w:marLeft w:val="0"/>
                              <w:marRight w:val="0"/>
                              <w:marTop w:val="0"/>
                              <w:marBottom w:val="0"/>
                              <w:divBdr>
                                <w:top w:val="none" w:sz="0" w:space="0" w:color="auto"/>
                                <w:left w:val="none" w:sz="0" w:space="0" w:color="auto"/>
                                <w:bottom w:val="none" w:sz="0" w:space="0" w:color="auto"/>
                                <w:right w:val="none" w:sz="0" w:space="0" w:color="auto"/>
                              </w:divBdr>
                              <w:divsChild>
                                <w:div w:id="1558470038">
                                  <w:marLeft w:val="0"/>
                                  <w:marRight w:val="0"/>
                                  <w:marTop w:val="0"/>
                                  <w:marBottom w:val="0"/>
                                  <w:divBdr>
                                    <w:top w:val="none" w:sz="0" w:space="0" w:color="auto"/>
                                    <w:left w:val="none" w:sz="0" w:space="0" w:color="auto"/>
                                    <w:bottom w:val="none" w:sz="0" w:space="0" w:color="auto"/>
                                    <w:right w:val="none" w:sz="0" w:space="0" w:color="auto"/>
                                  </w:divBdr>
                                  <w:divsChild>
                                    <w:div w:id="751661480">
                                      <w:marLeft w:val="0"/>
                                      <w:marRight w:val="0"/>
                                      <w:marTop w:val="0"/>
                                      <w:marBottom w:val="0"/>
                                      <w:divBdr>
                                        <w:top w:val="none" w:sz="0" w:space="0" w:color="auto"/>
                                        <w:left w:val="none" w:sz="0" w:space="0" w:color="auto"/>
                                        <w:bottom w:val="none" w:sz="0" w:space="0" w:color="auto"/>
                                        <w:right w:val="none" w:sz="0" w:space="0" w:color="auto"/>
                                      </w:divBdr>
                                      <w:divsChild>
                                        <w:div w:id="20576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73116">
      <w:bodyDiv w:val="1"/>
      <w:marLeft w:val="0"/>
      <w:marRight w:val="0"/>
      <w:marTop w:val="0"/>
      <w:marBottom w:val="0"/>
      <w:divBdr>
        <w:top w:val="none" w:sz="0" w:space="0" w:color="auto"/>
        <w:left w:val="none" w:sz="0" w:space="0" w:color="auto"/>
        <w:bottom w:val="none" w:sz="0" w:space="0" w:color="auto"/>
        <w:right w:val="none" w:sz="0" w:space="0" w:color="auto"/>
      </w:divBdr>
      <w:divsChild>
        <w:div w:id="912088207">
          <w:marLeft w:val="0"/>
          <w:marRight w:val="0"/>
          <w:marTop w:val="0"/>
          <w:marBottom w:val="0"/>
          <w:divBdr>
            <w:top w:val="none" w:sz="0" w:space="0" w:color="auto"/>
            <w:left w:val="none" w:sz="0" w:space="0" w:color="auto"/>
            <w:bottom w:val="none" w:sz="0" w:space="0" w:color="auto"/>
            <w:right w:val="none" w:sz="0" w:space="0" w:color="auto"/>
          </w:divBdr>
          <w:divsChild>
            <w:div w:id="1154492627">
              <w:marLeft w:val="0"/>
              <w:marRight w:val="0"/>
              <w:marTop w:val="0"/>
              <w:marBottom w:val="0"/>
              <w:divBdr>
                <w:top w:val="none" w:sz="0" w:space="0" w:color="auto"/>
                <w:left w:val="none" w:sz="0" w:space="0" w:color="auto"/>
                <w:bottom w:val="none" w:sz="0" w:space="0" w:color="auto"/>
                <w:right w:val="none" w:sz="0" w:space="0" w:color="auto"/>
              </w:divBdr>
              <w:divsChild>
                <w:div w:id="1690915440">
                  <w:marLeft w:val="0"/>
                  <w:marRight w:val="0"/>
                  <w:marTop w:val="0"/>
                  <w:marBottom w:val="0"/>
                  <w:divBdr>
                    <w:top w:val="none" w:sz="0" w:space="0" w:color="auto"/>
                    <w:left w:val="none" w:sz="0" w:space="0" w:color="auto"/>
                    <w:bottom w:val="none" w:sz="0" w:space="0" w:color="auto"/>
                    <w:right w:val="none" w:sz="0" w:space="0" w:color="auto"/>
                  </w:divBdr>
                  <w:divsChild>
                    <w:div w:id="1771774430">
                      <w:marLeft w:val="0"/>
                      <w:marRight w:val="0"/>
                      <w:marTop w:val="0"/>
                      <w:marBottom w:val="0"/>
                      <w:divBdr>
                        <w:top w:val="none" w:sz="0" w:space="0" w:color="auto"/>
                        <w:left w:val="none" w:sz="0" w:space="0" w:color="auto"/>
                        <w:bottom w:val="none" w:sz="0" w:space="0" w:color="auto"/>
                        <w:right w:val="none" w:sz="0" w:space="0" w:color="auto"/>
                      </w:divBdr>
                      <w:divsChild>
                        <w:div w:id="6425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2910">
      <w:bodyDiv w:val="1"/>
      <w:marLeft w:val="0"/>
      <w:marRight w:val="0"/>
      <w:marTop w:val="0"/>
      <w:marBottom w:val="0"/>
      <w:divBdr>
        <w:top w:val="none" w:sz="0" w:space="0" w:color="auto"/>
        <w:left w:val="none" w:sz="0" w:space="0" w:color="auto"/>
        <w:bottom w:val="none" w:sz="0" w:space="0" w:color="auto"/>
        <w:right w:val="none" w:sz="0" w:space="0" w:color="auto"/>
      </w:divBdr>
      <w:divsChild>
        <w:div w:id="1188061434">
          <w:marLeft w:val="0"/>
          <w:marRight w:val="0"/>
          <w:marTop w:val="0"/>
          <w:marBottom w:val="0"/>
          <w:divBdr>
            <w:top w:val="none" w:sz="0" w:space="0" w:color="auto"/>
            <w:left w:val="none" w:sz="0" w:space="0" w:color="auto"/>
            <w:bottom w:val="none" w:sz="0" w:space="0" w:color="auto"/>
            <w:right w:val="none" w:sz="0" w:space="0" w:color="auto"/>
          </w:divBdr>
          <w:divsChild>
            <w:div w:id="2146846059">
              <w:marLeft w:val="0"/>
              <w:marRight w:val="0"/>
              <w:marTop w:val="0"/>
              <w:marBottom w:val="0"/>
              <w:divBdr>
                <w:top w:val="none" w:sz="0" w:space="0" w:color="auto"/>
                <w:left w:val="none" w:sz="0" w:space="0" w:color="auto"/>
                <w:bottom w:val="none" w:sz="0" w:space="0" w:color="auto"/>
                <w:right w:val="none" w:sz="0" w:space="0" w:color="auto"/>
              </w:divBdr>
              <w:divsChild>
                <w:div w:id="1302227982">
                  <w:marLeft w:val="0"/>
                  <w:marRight w:val="0"/>
                  <w:marTop w:val="0"/>
                  <w:marBottom w:val="0"/>
                  <w:divBdr>
                    <w:top w:val="none" w:sz="0" w:space="0" w:color="auto"/>
                    <w:left w:val="none" w:sz="0" w:space="0" w:color="auto"/>
                    <w:bottom w:val="none" w:sz="0" w:space="0" w:color="auto"/>
                    <w:right w:val="none" w:sz="0" w:space="0" w:color="auto"/>
                  </w:divBdr>
                  <w:divsChild>
                    <w:div w:id="1573198638">
                      <w:marLeft w:val="0"/>
                      <w:marRight w:val="0"/>
                      <w:marTop w:val="0"/>
                      <w:marBottom w:val="0"/>
                      <w:divBdr>
                        <w:top w:val="none" w:sz="0" w:space="0" w:color="auto"/>
                        <w:left w:val="none" w:sz="0" w:space="0" w:color="auto"/>
                        <w:bottom w:val="none" w:sz="0" w:space="0" w:color="auto"/>
                        <w:right w:val="none" w:sz="0" w:space="0" w:color="auto"/>
                      </w:divBdr>
                      <w:divsChild>
                        <w:div w:id="1498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899</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PAŠTO ĮSTATYMO PAKEITIMO ĮSTATYMO PROJEKTO</vt:lpstr>
      <vt:lpstr>LIETUVOS RESPUBLIKOS PAŠTO ĮSTATYMO PAKEITIMO ĮSTATYMO PROJEKTO</vt:lpstr>
    </vt:vector>
  </TitlesOfParts>
  <Company>sm</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PAŠTO ĮSTATYMO PAKEITIMO ĮSTATYMO PROJEKTO</dc:title>
  <dc:creator>SM</dc:creator>
  <cp:lastModifiedBy>Romanas Judinas</cp:lastModifiedBy>
  <cp:revision>15</cp:revision>
  <cp:lastPrinted>2019-03-13T09:59:00Z</cp:lastPrinted>
  <dcterms:created xsi:type="dcterms:W3CDTF">2020-06-19T08:31:00Z</dcterms:created>
  <dcterms:modified xsi:type="dcterms:W3CDTF">2020-08-21T06:57:00Z</dcterms:modified>
</cp:coreProperties>
</file>