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033F22" w:rsidP="00E75D83">
            <w:pPr>
              <w:framePr w:hSpace="180" w:wrap="around" w:vAnchor="text" w:hAnchor="page" w:x="7286" w:y="12"/>
              <w:ind w:right="24"/>
            </w:pPr>
            <w:r>
              <w:t>20</w:t>
            </w:r>
            <w:r w:rsidR="00935287">
              <w:t>1</w:t>
            </w:r>
            <w:r w:rsidR="00AD37E3">
              <w:t>9</w:t>
            </w:r>
            <w:r w:rsidR="008D1283">
              <w:t xml:space="preserve">-    </w:t>
            </w:r>
            <w:r>
              <w:t>-</w:t>
            </w:r>
            <w:r w:rsidR="008D1283">
              <w:t xml:space="preserve">    </w:t>
            </w:r>
            <w:r w:rsidR="00E75D83">
              <w:t xml:space="preserve"> </w:t>
            </w:r>
            <w:r>
              <w:t xml:space="preserve">Nr. </w:t>
            </w:r>
          </w:p>
        </w:tc>
      </w:tr>
      <w:tr w:rsidR="00033F22" w:rsidTr="00D22A39">
        <w:trPr>
          <w:gridAfter w:val="1"/>
          <w:wAfter w:w="16" w:type="dxa"/>
          <w:cantSplit/>
          <w:trHeight w:val="340"/>
        </w:trPr>
        <w:tc>
          <w:tcPr>
            <w:tcW w:w="4068" w:type="dxa"/>
          </w:tcPr>
          <w:p w:rsidR="00033F22" w:rsidRDefault="00AD37E3" w:rsidP="008D1283">
            <w:pPr>
              <w:framePr w:hSpace="180" w:wrap="around" w:vAnchor="text" w:hAnchor="page" w:x="7286" w:y="12"/>
              <w:ind w:right="24"/>
            </w:pPr>
            <w:r>
              <w:t>Į 2019</w:t>
            </w:r>
            <w:r w:rsidR="00E75D83">
              <w:t>-</w:t>
            </w:r>
            <w:r w:rsidR="008D1283">
              <w:t>04</w:t>
            </w:r>
            <w:r w:rsidR="00E75D83">
              <w:t>-</w:t>
            </w:r>
            <w:r w:rsidR="008D1283">
              <w:t>29</w:t>
            </w:r>
            <w:r w:rsidR="00E75D83">
              <w:t xml:space="preserve"> Nr.</w:t>
            </w:r>
            <w:r w:rsidR="008D1283">
              <w:t xml:space="preserve"> 2-3315</w:t>
            </w:r>
          </w:p>
        </w:tc>
      </w:tr>
    </w:tbl>
    <w:p w:rsidR="00E75D83" w:rsidRDefault="008D1283" w:rsidP="00E75D83">
      <w:pPr>
        <w:pStyle w:val="Adresas"/>
      </w:pPr>
      <w:r>
        <w:t>Lietuvos Respublikos susisiekimo ministerijai</w:t>
      </w:r>
    </w:p>
    <w:p w:rsidR="00E75D83" w:rsidRDefault="00E75D83" w:rsidP="00E75D83">
      <w:pPr>
        <w:pStyle w:val="Adresas"/>
      </w:pPr>
    </w:p>
    <w:p w:rsidR="00E75D83" w:rsidRDefault="00E75D83" w:rsidP="00E75D83">
      <w:pPr>
        <w:pStyle w:val="Adresas"/>
      </w:pPr>
    </w:p>
    <w:p w:rsidR="00E75D83" w:rsidRPr="00CA1F17" w:rsidRDefault="00E75D83" w:rsidP="00E75D83">
      <w:pPr>
        <w:pStyle w:val="Kopija"/>
        <w:ind w:right="279"/>
      </w:pPr>
      <w:r w:rsidRPr="00CA1F17">
        <w:t xml:space="preserve"> </w:t>
      </w:r>
    </w:p>
    <w:p w:rsidR="00E75D83" w:rsidRPr="00CA1F17" w:rsidRDefault="008D1283" w:rsidP="00E75D83">
      <w:pPr>
        <w:pStyle w:val="Pavadinimas1"/>
        <w:ind w:right="-1"/>
        <w:jc w:val="both"/>
      </w:pPr>
      <w:r>
        <w:rPr>
          <w:b/>
        </w:rPr>
        <w:t>Dėl įstatymo projekto derinimo</w:t>
      </w:r>
      <w:r w:rsidR="00E75D83" w:rsidRPr="00CA1F17">
        <w:rPr>
          <w:caps w:val="0"/>
        </w:rPr>
        <w:t xml:space="preserve"> </w:t>
      </w:r>
    </w:p>
    <w:p w:rsidR="00E75D83" w:rsidRDefault="00E75D83" w:rsidP="00E75D83"/>
    <w:p w:rsidR="00E75D83" w:rsidRDefault="00E75D83" w:rsidP="00E75D83">
      <w:pPr>
        <w:ind w:firstLine="1276"/>
        <w:jc w:val="both"/>
      </w:pPr>
    </w:p>
    <w:p w:rsidR="00E75D83" w:rsidRPr="00CA1F17" w:rsidRDefault="008D1283" w:rsidP="00E75D83">
      <w:pPr>
        <w:ind w:firstLine="1276"/>
        <w:jc w:val="both"/>
      </w:pPr>
      <w:r>
        <w:t xml:space="preserve">Teisingumo ministerija, pagal kompetenciją įvertinusi derinimui pateiktą </w:t>
      </w:r>
      <w:hyperlink r:id="rId8" w:history="1">
        <w:r w:rsidRPr="001744D7">
          <w:rPr>
            <w:rStyle w:val="Hyperlink"/>
          </w:rPr>
          <w:t>Lietuvos Respublikos saugios laivybos įstatymo Nr.VIII-1897 1, 2, 3, 8, 13, 16, 19, 21, 26, 33, 37, 39, 40, 40</w:t>
        </w:r>
        <w:r w:rsidRPr="001744D7">
          <w:rPr>
            <w:rStyle w:val="Hyperlink"/>
            <w:vertAlign w:val="superscript"/>
          </w:rPr>
          <w:t>1</w:t>
        </w:r>
        <w:r w:rsidRPr="001744D7">
          <w:rPr>
            <w:rStyle w:val="Hyperlink"/>
          </w:rPr>
          <w:t>, 48 ir 49 straipsnių pakeitimo įstatymo projektą</w:t>
        </w:r>
      </w:hyperlink>
      <w:r w:rsidRPr="008D1283">
        <w:t xml:space="preserve"> (toliau – Įstatymo projektas)</w:t>
      </w:r>
      <w:r>
        <w:t>, teikia šias pastabas ir pasiūlymus:</w:t>
      </w:r>
    </w:p>
    <w:p w:rsidR="0039731A" w:rsidRDefault="0039731A" w:rsidP="00433976">
      <w:pPr>
        <w:pStyle w:val="ListParagraph"/>
        <w:numPr>
          <w:ilvl w:val="0"/>
          <w:numId w:val="12"/>
        </w:numPr>
        <w:tabs>
          <w:tab w:val="left" w:pos="1418"/>
        </w:tabs>
        <w:ind w:left="0" w:firstLine="993"/>
        <w:jc w:val="both"/>
      </w:pPr>
      <w:r>
        <w:t xml:space="preserve">Vertinant siūlomas Saugios laivybos įstatymo 2 str. 6 d. 7 p. ir 10 d. nuostatas lieka neaiškus šiose nuostatose vartojamų konstrukcijų </w:t>
      </w:r>
      <w:r w:rsidR="000B5AC8">
        <w:t>„didelis aplinkos užteršimas“ ir „buvo labai  užteršta aplinka“ santykis. Be to, įvertinant 2 str. 30 d. 2 p. nuostatas (buvo užteršta aplinka (nepriklausomai nuo kiekio), abejotinas didelio užteršimo išskyrimas 2 str. 6 d. 7 p. Saugios laivybos įstatymo 2 str. 10 d. vartojamą konstrukciją „</w:t>
      </w:r>
      <w:r w:rsidR="00433976">
        <w:t xml:space="preserve">buvo labai </w:t>
      </w:r>
      <w:r w:rsidR="000B5AC8" w:rsidRPr="000B5AC8">
        <w:t>užteršta aplinka</w:t>
      </w:r>
      <w:r w:rsidR="000B5AC8">
        <w:t>“</w:t>
      </w:r>
      <w:r w:rsidR="00433976">
        <w:t xml:space="preserve"> </w:t>
      </w:r>
      <w:r w:rsidR="000B5AC8">
        <w:t>siūlytina sukonkretinti, įstatyme apibrėžiant ir kriterijus, kuriais vadovaujan</w:t>
      </w:r>
      <w:r w:rsidR="00433976">
        <w:t>tis priimamas sprendimas dėl už</w:t>
      </w:r>
      <w:r w:rsidR="001744D7">
        <w:t>teršimo ma</w:t>
      </w:r>
      <w:r w:rsidR="000B5AC8">
        <w:t>sto</w:t>
      </w:r>
      <w:r w:rsidR="001744D7">
        <w:t>,</w:t>
      </w:r>
      <w:r w:rsidR="000B5AC8">
        <w:t xml:space="preserve"> ar suteikiant įgaliojimus m</w:t>
      </w:r>
      <w:r w:rsidR="001744D7">
        <w:t>a</w:t>
      </w:r>
      <w:r w:rsidR="000B5AC8">
        <w:t>sto nustatymą reglamentuoti įgyvendinamuoju teisės aktu. Tuo atveju, jei šie klausimai vertinami ir sprendžiami kitų įstatymų nustatyta tvarka, tikslinga nuoroda į šiuos įstatymus.</w:t>
      </w:r>
    </w:p>
    <w:p w:rsidR="00433976" w:rsidRDefault="00433976" w:rsidP="00433976">
      <w:pPr>
        <w:pStyle w:val="ListParagraph"/>
        <w:numPr>
          <w:ilvl w:val="0"/>
          <w:numId w:val="12"/>
        </w:numPr>
        <w:tabs>
          <w:tab w:val="left" w:pos="1418"/>
        </w:tabs>
        <w:ind w:left="0" w:firstLine="993"/>
        <w:jc w:val="both"/>
      </w:pPr>
      <w:r>
        <w:t>Saugios laivybos įstatymo 8 str. 4 d. turėtų būti apibrėžtas toliau šiame straipsnyje vartojamas sutrumpinimas „sutartis“.</w:t>
      </w:r>
    </w:p>
    <w:p w:rsidR="00433976" w:rsidRDefault="00433976" w:rsidP="00433976">
      <w:pPr>
        <w:pStyle w:val="ListParagraph"/>
        <w:numPr>
          <w:ilvl w:val="0"/>
          <w:numId w:val="12"/>
        </w:numPr>
        <w:tabs>
          <w:tab w:val="left" w:pos="1418"/>
        </w:tabs>
        <w:ind w:left="0" w:firstLine="993"/>
        <w:jc w:val="both"/>
      </w:pPr>
      <w:r>
        <w:t>Saugios laivybos įstatymo 8 str. 8 d. turėtų būti apibrėžtas 10 darbo dienų termino atskaitos momentas.</w:t>
      </w:r>
    </w:p>
    <w:p w:rsidR="00433976" w:rsidRDefault="00433976" w:rsidP="001744D7">
      <w:pPr>
        <w:pStyle w:val="ListParagraph"/>
        <w:numPr>
          <w:ilvl w:val="0"/>
          <w:numId w:val="12"/>
        </w:numPr>
        <w:tabs>
          <w:tab w:val="left" w:pos="1418"/>
        </w:tabs>
        <w:ind w:left="0" w:firstLine="993"/>
        <w:jc w:val="both"/>
      </w:pPr>
      <w:r>
        <w:t xml:space="preserve">Saugios laivybos įstatymo </w:t>
      </w:r>
      <w:r w:rsidR="00C37DED">
        <w:t>8 str. 3, 7 ir 10 d. turėtų būti koreguojamas straipsnio dalių punktų žymėjimas</w:t>
      </w:r>
      <w:r w:rsidR="001744D7">
        <w:t xml:space="preserve"> (Teisės aktų projektų rengimo rekomendacijų, patvirtintų teisingumo ministro </w:t>
      </w:r>
      <w:r w:rsidR="001744D7" w:rsidRPr="001744D7">
        <w:t xml:space="preserve">2013 m. gruodžio 23 d. </w:t>
      </w:r>
      <w:r w:rsidR="001744D7">
        <w:t xml:space="preserve">įsakymu </w:t>
      </w:r>
      <w:r w:rsidR="001744D7" w:rsidRPr="001744D7">
        <w:t>Nr. 1R-298</w:t>
      </w:r>
      <w:r w:rsidR="00461B2E">
        <w:t>, 35.4 p.)</w:t>
      </w:r>
      <w:r w:rsidR="00C37DED">
        <w:t>.</w:t>
      </w:r>
    </w:p>
    <w:p w:rsidR="00433976" w:rsidRDefault="00C37DED" w:rsidP="00433976">
      <w:pPr>
        <w:pStyle w:val="ListParagraph"/>
        <w:numPr>
          <w:ilvl w:val="0"/>
          <w:numId w:val="12"/>
        </w:numPr>
        <w:tabs>
          <w:tab w:val="left" w:pos="1418"/>
        </w:tabs>
        <w:ind w:left="0" w:firstLine="993"/>
        <w:jc w:val="both"/>
      </w:pPr>
      <w:r>
        <w:t xml:space="preserve">Vertinant Saugios laivybos įstatymo 8 str. 10 d. 4 p. nuostatas, pastebėtina, kad teisės vykdyti veiklą netekimo sąlygos turėtų būti įstatymo, o ne </w:t>
      </w:r>
      <w:r w:rsidR="00E60512">
        <w:t xml:space="preserve">įgyvendinamųjų teisės aktų ar, juo labiau, </w:t>
      </w:r>
      <w:r>
        <w:t>sutarčių reguliavimo dalykas</w:t>
      </w:r>
      <w:r w:rsidR="00E60512">
        <w:t>. Šios sąlygos turėtų būti vienodos visiems atitinkamą veiklą siekiantiems vykdyti ar vykdantiems subjektams, o ne priklausyti nuo atitinkamą sutartį pasirašančių šalių valios.</w:t>
      </w:r>
    </w:p>
    <w:p w:rsidR="00E60512" w:rsidRDefault="00E60512" w:rsidP="00433976">
      <w:pPr>
        <w:pStyle w:val="ListParagraph"/>
        <w:numPr>
          <w:ilvl w:val="0"/>
          <w:numId w:val="12"/>
        </w:numPr>
        <w:tabs>
          <w:tab w:val="left" w:pos="1418"/>
        </w:tabs>
        <w:ind w:left="0" w:firstLine="993"/>
        <w:jc w:val="both"/>
      </w:pPr>
      <w:r>
        <w:t>Saugios laivybos įstatymo</w:t>
      </w:r>
      <w:r w:rsidR="00DF1DAD">
        <w:t xml:space="preserve"> </w:t>
      </w:r>
      <w:r w:rsidR="00FE2690">
        <w:t>13 str. 5 d. vartojama konstrukcija „ir (arba)“ sudaro prielaidas situacijai, kai tuos pačius santykius reguliuotų kelių institucijų priimti teisės aktai (kurie konkuruotų tarpusavyje). Siekiant išvengti tokio neapibrėžtumo, siūlome Saugios laivybos įstatyme aiškiai apibrėžti, kokia apimti</w:t>
      </w:r>
      <w:r w:rsidR="001744D7">
        <w:t>mi</w:t>
      </w:r>
      <w:r w:rsidR="00FE2690">
        <w:t xml:space="preserve"> kelios institucijos galėtų nustatyti reguliavimą, arba atsisakyti jungtuko „ir“ vartojimo. </w:t>
      </w:r>
    </w:p>
    <w:p w:rsidR="00433976" w:rsidRDefault="00FE2690" w:rsidP="00433976">
      <w:pPr>
        <w:pStyle w:val="ListParagraph"/>
        <w:numPr>
          <w:ilvl w:val="0"/>
          <w:numId w:val="12"/>
        </w:numPr>
        <w:tabs>
          <w:tab w:val="left" w:pos="1418"/>
        </w:tabs>
        <w:ind w:left="0" w:firstLine="993"/>
        <w:jc w:val="both"/>
      </w:pPr>
      <w:r>
        <w:t xml:space="preserve">Siūlome tikslinti Saugios laivybos įstatymo 19 str. nuostatas egzamino laikymo aspektu. Atsižvelgiant į tai, kad siekiama įtvirtinti reguliavimą, pagal kurį locmano liudijimas būtų išduodamas tik išlaikius egzaminą (kuris būtų </w:t>
      </w:r>
      <w:r w:rsidR="00995EFA">
        <w:t xml:space="preserve">aktualus tik konkretaus locmano liudijimo išdavimui), pareiga būti išlaikius egzaminą neturėtų būti nustatoma kaip bendrasis teisės vykdyti veiklą reikalavimas, neribojamas termino, o kaip </w:t>
      </w:r>
      <w:r w:rsidR="00B150E0">
        <w:t>locmano liudijimo išdavimo procedūros privalomas elementas. Kaip reikalavimas turėtų būti nustatomas privalomas žinių, reikalingų veiklai, turėjimas (kuris ir būtų patikrinamas locmano liudijimo išdavimo metu). Priešingu atveju asmuo, bent kartą gyvenime išlaikęs locmano egzaminą</w:t>
      </w:r>
      <w:r w:rsidR="00AD06F1">
        <w:t>,</w:t>
      </w:r>
      <w:r w:rsidR="00B150E0">
        <w:t xml:space="preserve">  būtų atitinkantis Saugios laivybos įstatymo 19 str. 1 d. nustatytą reikalavimą. Kitas galimas reguliavimo variantas</w:t>
      </w:r>
      <w:r w:rsidR="00DF1DAD">
        <w:t xml:space="preserve"> –</w:t>
      </w:r>
      <w:r w:rsidR="00B150E0">
        <w:t xml:space="preserve"> atsieti locmano egzaminą nuo locmano liudijimo išdavimo procedūros, ir nustatyti </w:t>
      </w:r>
      <w:r w:rsidR="00AD06F1">
        <w:t>sąlygą</w:t>
      </w:r>
      <w:r w:rsidR="00B150E0">
        <w:t xml:space="preserve"> būti išlaikiusiam locmano egzaminą  ne seniau kaip nustatytą laikotarpį iki naujo locmano liudijimo išdavimo.</w:t>
      </w:r>
    </w:p>
    <w:p w:rsidR="00AD06F1" w:rsidRDefault="00544B5D" w:rsidP="001C0599">
      <w:pPr>
        <w:pStyle w:val="ListParagraph"/>
        <w:numPr>
          <w:ilvl w:val="0"/>
          <w:numId w:val="12"/>
        </w:numPr>
        <w:tabs>
          <w:tab w:val="left" w:pos="1418"/>
        </w:tabs>
        <w:ind w:left="0" w:firstLine="993"/>
        <w:jc w:val="both"/>
      </w:pPr>
      <w:r>
        <w:t>Siūlytina tikslinti Saugios laivybos įstatymo 19 str. 7 d. nuostatas, įvertinant tai,  kad atsisakoma išduoti locmano liudijimą gali būti ir ne dėl egzamino neišlaikymo. Siūlome įvertinti, ar egzamino laikymas tais atvejais, kai iš pateiktų dokumentų būtų matomi locmano liudijimo neišdavimo pagrindai, būtų pagristas, kaip ir pagrįstas termino neigiamam sprendimui priimti susiejimas tik su egzamino laikymu.</w:t>
      </w:r>
      <w:r w:rsidR="003E4E11">
        <w:t xml:space="preserve"> </w:t>
      </w:r>
    </w:p>
    <w:p w:rsidR="00544B5D" w:rsidRDefault="003E4E11" w:rsidP="001C0599">
      <w:pPr>
        <w:pStyle w:val="ListParagraph"/>
        <w:numPr>
          <w:ilvl w:val="0"/>
          <w:numId w:val="12"/>
        </w:numPr>
        <w:tabs>
          <w:tab w:val="left" w:pos="1418"/>
        </w:tabs>
        <w:ind w:left="0" w:firstLine="993"/>
        <w:jc w:val="both"/>
      </w:pPr>
      <w:r>
        <w:t>Įstatymo projekto 8 str. keičiant  Saugios laivybos įstatymo 21 str. pavadinimą, turėtų būti dėstomas ir straipsnio numeris.</w:t>
      </w:r>
    </w:p>
    <w:p w:rsidR="007C3474" w:rsidRDefault="007C3474" w:rsidP="00433976">
      <w:pPr>
        <w:pStyle w:val="ListParagraph"/>
        <w:numPr>
          <w:ilvl w:val="0"/>
          <w:numId w:val="12"/>
        </w:numPr>
        <w:tabs>
          <w:tab w:val="left" w:pos="1418"/>
        </w:tabs>
        <w:ind w:left="0" w:firstLine="993"/>
        <w:jc w:val="both"/>
      </w:pPr>
      <w:r>
        <w:t>Saugios laivybos įstatymo 26 str. turėtų būti apibrėžti esminiai laivybos inspektoriams taikomi reikalavimai (pvz., atestavimas).</w:t>
      </w:r>
    </w:p>
    <w:p w:rsidR="003E4E11" w:rsidRDefault="009648D1" w:rsidP="00433976">
      <w:pPr>
        <w:pStyle w:val="ListParagraph"/>
        <w:numPr>
          <w:ilvl w:val="0"/>
          <w:numId w:val="12"/>
        </w:numPr>
        <w:tabs>
          <w:tab w:val="left" w:pos="1418"/>
        </w:tabs>
        <w:ind w:left="0" w:firstLine="993"/>
        <w:jc w:val="both"/>
      </w:pPr>
      <w:r>
        <w:t>Saugios laivybos įstatymo 39 str. 8 d. 6 p. ir 39 str. 9 d. 4 p. suteikiami įgaliojimai susisiekimo ministrui nustatyti reikalavimus įmonėms</w:t>
      </w:r>
      <w:r w:rsidR="00AD06F1">
        <w:t>,</w:t>
      </w:r>
      <w:r>
        <w:t xml:space="preserve"> siekiančioms vykdyti atitinkamą veiklą. Pastebime, kad esminiai reikalavimai turėtų būti nustatyti įstatymo lygmeniu, įgyvendinamuosiuose teisės aktuose šie reikalavimai galėtų būti tik detalizuojami, sprendžiami techniniai klausimai, bet ne nustatomi kokybiškai savarankiški reikalavimai. Atsižvelgiant į tai, </w:t>
      </w:r>
      <w:r w:rsidRPr="009648D1">
        <w:t>Saugios laivybos įstatymo 39 str. 8 d. 6 p. ir 39 str. 9 d. 4 p.</w:t>
      </w:r>
      <w:r>
        <w:t xml:space="preserve"> turėtų būti apibrėžti konkretūs reikalavimai, susisiekimo ministrui paliekant tik šių reikalavimų detalizavimą,</w:t>
      </w:r>
    </w:p>
    <w:p w:rsidR="009648D1" w:rsidRDefault="009648D1" w:rsidP="00433976">
      <w:pPr>
        <w:pStyle w:val="ListParagraph"/>
        <w:numPr>
          <w:ilvl w:val="0"/>
          <w:numId w:val="12"/>
        </w:numPr>
        <w:tabs>
          <w:tab w:val="left" w:pos="1418"/>
        </w:tabs>
        <w:ind w:left="0" w:firstLine="993"/>
        <w:jc w:val="both"/>
      </w:pPr>
      <w:r>
        <w:t xml:space="preserve">Saugios laivybos įstatymo 39 str. 13 d. 2 p. nustatant privalomą bendrosios civilinės atsakomybės draudimo reikalavimą, turėtų būti apibrėžta ir šio draudimo </w:t>
      </w:r>
      <w:r w:rsidR="00AD06F1">
        <w:t>suma</w:t>
      </w:r>
      <w:r>
        <w:t xml:space="preserve"> (draudžiamos žalos atlyginimo dydis).</w:t>
      </w:r>
    </w:p>
    <w:p w:rsidR="00E75D83" w:rsidRDefault="009648D1" w:rsidP="007F3892">
      <w:pPr>
        <w:pStyle w:val="ListParagraph"/>
        <w:numPr>
          <w:ilvl w:val="0"/>
          <w:numId w:val="12"/>
        </w:numPr>
        <w:tabs>
          <w:tab w:val="left" w:pos="1418"/>
        </w:tabs>
        <w:ind w:left="0" w:firstLine="993"/>
        <w:jc w:val="both"/>
      </w:pPr>
      <w:r>
        <w:t xml:space="preserve">Atkreipiame dėmesį į tai, kad </w:t>
      </w:r>
      <w:r w:rsidR="007F3892">
        <w:t>Saugios laivybos įstatymo 40 str. 4</w:t>
      </w:r>
      <w:r w:rsidR="007F3892" w:rsidRPr="007F3892">
        <w:rPr>
          <w:vertAlign w:val="superscript"/>
        </w:rPr>
        <w:t>1</w:t>
      </w:r>
      <w:r w:rsidR="007F3892">
        <w:t xml:space="preserve"> d. vartojamos savo esme tapačios konstrukcijos „panaikinus įmonės veiklos ar jos dalies atestacijos galiojimą“ ir </w:t>
      </w:r>
      <w:r w:rsidR="00AD06F1">
        <w:t>„</w:t>
      </w:r>
      <w:r w:rsidR="007F3892">
        <w:t>panaikinus atestacijos galiojimą“</w:t>
      </w:r>
      <w:r w:rsidR="00AD06F1">
        <w:t>, todėl abejotinas nuostatos pildymo tikslingumas.</w:t>
      </w:r>
    </w:p>
    <w:p w:rsidR="007F3892" w:rsidRDefault="007F3892" w:rsidP="007F3892">
      <w:pPr>
        <w:pStyle w:val="ListParagraph"/>
        <w:numPr>
          <w:ilvl w:val="0"/>
          <w:numId w:val="12"/>
        </w:numPr>
        <w:tabs>
          <w:tab w:val="left" w:pos="1418"/>
        </w:tabs>
        <w:ind w:left="0" w:firstLine="993"/>
        <w:jc w:val="both"/>
      </w:pPr>
      <w:r>
        <w:t>Saugios laivybos įstatymo 40</w:t>
      </w:r>
      <w:r w:rsidRPr="007F3892">
        <w:rPr>
          <w:vertAlign w:val="superscript"/>
        </w:rPr>
        <w:t>1</w:t>
      </w:r>
      <w:r>
        <w:t xml:space="preserve"> str. 6 d. visais atvejais turėtų būti numatomas sprendimo priėmimas, kadangi turėtų būti išsprendžiamas prašymas dėl </w:t>
      </w:r>
      <w:r w:rsidR="00913761">
        <w:t>draudimo panaikinimo iš esmės, ir dėl jo priimamas sprendimas</w:t>
      </w:r>
      <w:r w:rsidR="00AD06F1">
        <w:t>, kurio  esmė – atsisakyti panaikinti draudimą.</w:t>
      </w:r>
    </w:p>
    <w:p w:rsidR="00913761" w:rsidRDefault="00913761" w:rsidP="007F3892">
      <w:pPr>
        <w:pStyle w:val="ListParagraph"/>
        <w:numPr>
          <w:ilvl w:val="0"/>
          <w:numId w:val="12"/>
        </w:numPr>
        <w:tabs>
          <w:tab w:val="left" w:pos="1418"/>
        </w:tabs>
        <w:ind w:left="0" w:firstLine="993"/>
        <w:jc w:val="both"/>
      </w:pPr>
      <w:r>
        <w:t>Saugios laivybos įstatymo 48 str. 1 d. turėtų būti apibrėžta, kam teikiami pasiūlymai. Taip pat siūlome įvertinti šioje dalyje vartojamos konstrukcijos „netrukdo ir nevilkina“ pridėtinę vertę ir tikslingumą. Be to, formuluotė „netrukdo“</w:t>
      </w:r>
      <w:r w:rsidR="00DF1DAD">
        <w:t xml:space="preserve"> sakinio kontekste</w:t>
      </w:r>
      <w:r>
        <w:t xml:space="preserve"> gali būti suprantama ir aiškinama nevienareikšmiškai. Taip pat atkreiptinas dėmesys į tai, kad vartojama neapibrėžta konstrukcija  „kriminalinis tyrimas“, kuri keistina į „ikiteisminis tyrimas“.</w:t>
      </w:r>
    </w:p>
    <w:p w:rsidR="00913761" w:rsidRDefault="00913761" w:rsidP="007F3892">
      <w:pPr>
        <w:pStyle w:val="ListParagraph"/>
        <w:numPr>
          <w:ilvl w:val="0"/>
          <w:numId w:val="12"/>
        </w:numPr>
        <w:tabs>
          <w:tab w:val="left" w:pos="1418"/>
        </w:tabs>
        <w:ind w:left="0" w:firstLine="993"/>
        <w:jc w:val="both"/>
      </w:pPr>
      <w:r>
        <w:t>Saugios laivybos įstatymo 48 str. 2 d. siūlome aiškiai apibrėžti, ar turi būti tenkinama bent viena sąlyga, ar visos sąlygos kartu.</w:t>
      </w:r>
    </w:p>
    <w:p w:rsidR="00DB2AB0" w:rsidRDefault="00DB2AB0" w:rsidP="007F3892">
      <w:pPr>
        <w:pStyle w:val="ListParagraph"/>
        <w:numPr>
          <w:ilvl w:val="0"/>
          <w:numId w:val="12"/>
        </w:numPr>
        <w:tabs>
          <w:tab w:val="left" w:pos="1418"/>
        </w:tabs>
        <w:ind w:left="0" w:firstLine="993"/>
        <w:jc w:val="both"/>
      </w:pPr>
      <w:r>
        <w:t>Saugios laivybos įstatymo 48 str. 8 d. turėtų būti numatytos ir tarptautinės sutartys (ne tik susitarimai).</w:t>
      </w:r>
    </w:p>
    <w:p w:rsidR="00DB2AB0" w:rsidRDefault="00DB2AB0" w:rsidP="00DB2AB0">
      <w:pPr>
        <w:pStyle w:val="ListParagraph"/>
        <w:numPr>
          <w:ilvl w:val="0"/>
          <w:numId w:val="12"/>
        </w:numPr>
        <w:tabs>
          <w:tab w:val="left" w:pos="1418"/>
        </w:tabs>
        <w:ind w:left="0" w:firstLine="993"/>
        <w:jc w:val="both"/>
      </w:pPr>
      <w:r>
        <w:t xml:space="preserve">Siūlome konkretizuoti, kokiomis priemonėmis turėtų būti realizuojama Saugios laivybos įstatymo 48 str. 11 d. 2 p. nuostata „užtikrinti“. Ar turimos omenyje teisės aktų numatytos užtikrinimo priemonės, ar tyrimo vadovo teisė </w:t>
      </w:r>
      <w:r w:rsidR="00174CF1">
        <w:t xml:space="preserve">(ir tuo pačiu pareiga) </w:t>
      </w:r>
      <w:r>
        <w:t>imtis pagal kitus teisės aktus teisiškai įmanomų priemonių.</w:t>
      </w:r>
      <w:r w:rsidR="00054F9B">
        <w:t xml:space="preserve"> Pastebėtina, kad pareiga turėtų būti dėstoma atskirai nuo teisių.</w:t>
      </w:r>
    </w:p>
    <w:p w:rsidR="00DB2AB0" w:rsidRDefault="00DB2AB0" w:rsidP="00DB2AB0">
      <w:pPr>
        <w:pStyle w:val="ListParagraph"/>
        <w:numPr>
          <w:ilvl w:val="0"/>
          <w:numId w:val="12"/>
        </w:numPr>
        <w:tabs>
          <w:tab w:val="left" w:pos="1418"/>
        </w:tabs>
        <w:ind w:left="0" w:firstLine="993"/>
        <w:jc w:val="both"/>
      </w:pPr>
      <w:r>
        <w:t xml:space="preserve">Saugios laivybos įstatymo 48 str. 11 d. 11 p. siūlome sukonkretinti, </w:t>
      </w:r>
      <w:r w:rsidR="00DF1DAD">
        <w:t>kam</w:t>
      </w:r>
      <w:r>
        <w:t xml:space="preserve"> gali būti teikiamos rekomendacijos.</w:t>
      </w:r>
    </w:p>
    <w:p w:rsidR="005C6543" w:rsidRDefault="00DB2AB0" w:rsidP="00DB2AB0">
      <w:pPr>
        <w:pStyle w:val="ListParagraph"/>
        <w:numPr>
          <w:ilvl w:val="0"/>
          <w:numId w:val="12"/>
        </w:numPr>
        <w:tabs>
          <w:tab w:val="left" w:pos="1418"/>
        </w:tabs>
        <w:ind w:left="0" w:firstLine="993"/>
        <w:jc w:val="both"/>
      </w:pPr>
      <w:r>
        <w:t>Tuo pačiu siūlome įvertinti, ar  neturėtų būti Saugios laivybos įstatymas pildomas nuostatomis, užtikrinančiomis tinkamą asmens duomenų rinkimą, tvarkymą ir naudojimą ir 2016 m. balandžio 27 d. Europos Parlamento ir Tarybos reglamento</w:t>
      </w:r>
      <w:r w:rsidRPr="00DB2AB0">
        <w:t xml:space="preserve"> (ES) 2016/679 dėl fizinių asmenų apsaugos tvarkant asmens duomenis ir dėl laisvo tokių duomenų judėjimo ir kuriuo panaikinama Direktyva 95/46/EB (Bendrasis duomenų apsaugos reglamentas)</w:t>
      </w:r>
      <w:r>
        <w:t xml:space="preserve"> įgyvendinimą.</w:t>
      </w:r>
    </w:p>
    <w:p w:rsidR="007C3474" w:rsidRDefault="005C6543" w:rsidP="007C3474">
      <w:pPr>
        <w:pStyle w:val="ListParagraph"/>
        <w:numPr>
          <w:ilvl w:val="0"/>
          <w:numId w:val="12"/>
        </w:numPr>
        <w:tabs>
          <w:tab w:val="left" w:pos="1418"/>
        </w:tabs>
        <w:ind w:left="0" w:firstLine="993"/>
        <w:jc w:val="both"/>
      </w:pPr>
      <w:r>
        <w:t>Įstatymo projektas pildytinas baigiamosiomis nuostatomis</w:t>
      </w:r>
      <w:r w:rsidR="00AD06F1">
        <w:t>,</w:t>
      </w:r>
      <w:r>
        <w:t xml:space="preserve"> išsprendžiančiomis procedūrų, pradėtų iki pakeitimų įsigaliojimo, vykdymo klausimą. </w:t>
      </w:r>
    </w:p>
    <w:p w:rsidR="007C3474" w:rsidRDefault="005C6543" w:rsidP="007C3474">
      <w:pPr>
        <w:pStyle w:val="ListParagraph"/>
        <w:tabs>
          <w:tab w:val="left" w:pos="1418"/>
        </w:tabs>
        <w:ind w:left="0" w:firstLine="993"/>
        <w:jc w:val="both"/>
      </w:pPr>
      <w:r>
        <w:t>Taip pat turėtų būti išspręstas ir įgaliojimų, suteiktų laivų klasifikavimo bendrovėms</w:t>
      </w:r>
      <w:r w:rsidR="00EB461E">
        <w:t xml:space="preserve"> iki pakeitimų įsigaliojimo</w:t>
      </w:r>
      <w:r>
        <w:t>, galiojimo bei suteikiamų teisių apimti</w:t>
      </w:r>
      <w:r w:rsidR="00AD06F1">
        <w:t>e</w:t>
      </w:r>
      <w:r>
        <w:t xml:space="preserve">s </w:t>
      </w:r>
      <w:r w:rsidR="00AD06F1">
        <w:t xml:space="preserve">klausimas </w:t>
      </w:r>
      <w:r>
        <w:t>(pvz., išduoti elektroninius liudijimus)</w:t>
      </w:r>
      <w:r w:rsidR="00EB461E">
        <w:t>.</w:t>
      </w:r>
    </w:p>
    <w:p w:rsidR="007C3474" w:rsidRDefault="005C6543" w:rsidP="007C3474">
      <w:pPr>
        <w:pStyle w:val="ListParagraph"/>
        <w:tabs>
          <w:tab w:val="left" w:pos="1418"/>
        </w:tabs>
        <w:ind w:left="0" w:firstLine="993"/>
        <w:jc w:val="both"/>
      </w:pPr>
      <w:r>
        <w:t xml:space="preserve">Analogiškai ir dėl su šiomis bendrovėmis sudaromų sutarčių galiojimo, jų nuostatų peržiūrėjimo ir keitimo, suderinant su nauju reguliavimu. </w:t>
      </w:r>
    </w:p>
    <w:p w:rsidR="007C3474" w:rsidRDefault="005C6543" w:rsidP="007C3474">
      <w:pPr>
        <w:pStyle w:val="ListParagraph"/>
        <w:tabs>
          <w:tab w:val="left" w:pos="1418"/>
        </w:tabs>
        <w:ind w:left="0" w:firstLine="993"/>
        <w:jc w:val="both"/>
      </w:pPr>
      <w:r>
        <w:t xml:space="preserve">Išplėtus Jūrininkų registro objektų ratą, spręstinas klausimas dėl šio registro duomenų pakankamumo ir reikiamų duomenų surinkimo (jei tų duomenų šiuo metu šiame registre nėra). </w:t>
      </w:r>
    </w:p>
    <w:p w:rsidR="00DB2AB0" w:rsidRDefault="005C6543" w:rsidP="007C3474">
      <w:pPr>
        <w:pStyle w:val="ListParagraph"/>
        <w:tabs>
          <w:tab w:val="left" w:pos="1418"/>
        </w:tabs>
        <w:ind w:left="0" w:firstLine="993"/>
        <w:jc w:val="both"/>
      </w:pPr>
      <w:r>
        <w:t>Taip pat turėtų  būti apibrėžtas ir locmano liudijimų, išduotų iki pakeitimų įsigaliojimo, galiojimo (taip pat ir galiojimo termino, jei jie buvo išduoti neterminuotai) klausimas.</w:t>
      </w:r>
    </w:p>
    <w:p w:rsidR="002D69C4" w:rsidRDefault="002D69C4" w:rsidP="00DB2AB0">
      <w:pPr>
        <w:pStyle w:val="ListParagraph"/>
        <w:numPr>
          <w:ilvl w:val="0"/>
          <w:numId w:val="12"/>
        </w:numPr>
        <w:tabs>
          <w:tab w:val="left" w:pos="1418"/>
        </w:tabs>
        <w:ind w:left="0" w:firstLine="993"/>
        <w:jc w:val="both"/>
      </w:pPr>
      <w:r>
        <w:t>Dėstant saugios laivybos įstatymo 2 str. 6 ir 7 d., turėtų būti nurodomas ir dalies numeris.</w:t>
      </w:r>
    </w:p>
    <w:p w:rsidR="002D69C4" w:rsidRDefault="002D69C4" w:rsidP="00DB2AB0">
      <w:pPr>
        <w:pStyle w:val="ListParagraph"/>
        <w:numPr>
          <w:ilvl w:val="0"/>
          <w:numId w:val="12"/>
        </w:numPr>
        <w:tabs>
          <w:tab w:val="left" w:pos="1418"/>
        </w:tabs>
        <w:ind w:left="0" w:firstLine="993"/>
        <w:jc w:val="both"/>
      </w:pPr>
      <w:r>
        <w:t>Įstatymo projekto 15 str. nurodant keitimo esmę, perteklinis pavadinimo keitimo nurodymas.</w:t>
      </w:r>
    </w:p>
    <w:p w:rsidR="00DB2AB0" w:rsidRDefault="007C3474" w:rsidP="00DB2AB0">
      <w:pPr>
        <w:pStyle w:val="ListParagraph"/>
        <w:numPr>
          <w:ilvl w:val="0"/>
          <w:numId w:val="12"/>
        </w:numPr>
        <w:tabs>
          <w:tab w:val="left" w:pos="1418"/>
        </w:tabs>
        <w:ind w:left="0" w:firstLine="993"/>
        <w:jc w:val="both"/>
      </w:pPr>
      <w:r>
        <w:t>Projekto aiškinamajame rašte siūlytina pagrįsti, kodėl nėra taikomos Teisėkūros pagrindų įstatymo 20 str. 4 d. nuostatos dėl įsigaliojimo termino.</w:t>
      </w:r>
    </w:p>
    <w:p w:rsidR="00DF1DAD" w:rsidRDefault="00DF1DAD" w:rsidP="00DF1DAD">
      <w:pPr>
        <w:pStyle w:val="ListParagraph"/>
        <w:numPr>
          <w:ilvl w:val="0"/>
          <w:numId w:val="12"/>
        </w:numPr>
        <w:tabs>
          <w:tab w:val="left" w:pos="1418"/>
        </w:tabs>
        <w:ind w:left="0" w:firstLine="993"/>
        <w:jc w:val="both"/>
      </w:pPr>
      <w:r>
        <w:t>Įvertinant aiškinamajame rašte teikiamą informaciją apie Saugios laivybos įstatymo nuostatų derinimą su Europos Sąjungos  teisės aktais, kartu su Įstatymo projekt</w:t>
      </w:r>
      <w:r w:rsidR="00AD06F1">
        <w:t>u turėtų būti teikiama</w:t>
      </w:r>
      <w:r>
        <w:t xml:space="preserve"> ir atitikties lentelė. </w:t>
      </w:r>
    </w:p>
    <w:p w:rsidR="00DF1DAD" w:rsidRDefault="00DF1DAD" w:rsidP="00DF1DAD">
      <w:pPr>
        <w:pStyle w:val="ListParagraph"/>
        <w:numPr>
          <w:ilvl w:val="0"/>
          <w:numId w:val="12"/>
        </w:numPr>
        <w:tabs>
          <w:tab w:val="left" w:pos="1418"/>
        </w:tabs>
        <w:ind w:left="0" w:firstLine="993"/>
        <w:jc w:val="both"/>
      </w:pPr>
      <w:r>
        <w:t>Taip pat atkreipiame dėmesį į tai, kad Įstatymo projektas turėtų būti teikiamas Vyriausybei tik Terminų banko įstatymo nustatyta tvarka suderinus jame apibrėžiamas sąvokas.</w:t>
      </w:r>
    </w:p>
    <w:p w:rsidR="002D69C4" w:rsidRDefault="002D69C4" w:rsidP="00DF1DAD">
      <w:pPr>
        <w:pStyle w:val="ListParagraph"/>
        <w:numPr>
          <w:ilvl w:val="0"/>
          <w:numId w:val="12"/>
        </w:numPr>
        <w:tabs>
          <w:tab w:val="left" w:pos="1418"/>
        </w:tabs>
        <w:ind w:left="0" w:firstLine="993"/>
        <w:jc w:val="both"/>
      </w:pPr>
      <w:r>
        <w:t>Projekto lyginamajame variante dėstant straipsnių pavadinimus, paryškintai turėtų būti vaizduojami tik naujai įrašomi žodžiai (pvz., vaizduojant Saugios laivybos įstatymo 26 str. pavadinimo keitimą).</w:t>
      </w:r>
    </w:p>
    <w:p w:rsidR="00DF1DAD" w:rsidRDefault="00DF1DAD" w:rsidP="00DF1DAD">
      <w:pPr>
        <w:pStyle w:val="ListParagraph"/>
        <w:numPr>
          <w:ilvl w:val="0"/>
          <w:numId w:val="12"/>
        </w:numPr>
        <w:tabs>
          <w:tab w:val="left" w:pos="1418"/>
        </w:tabs>
        <w:ind w:left="0" w:firstLine="993"/>
        <w:jc w:val="both"/>
      </w:pPr>
      <w:r>
        <w:t xml:space="preserve">Atkreiptinas dėmesys į tai, kad </w:t>
      </w:r>
      <w:r w:rsidR="00174CF1">
        <w:t xml:space="preserve">projekto lyginamajame variante </w:t>
      </w:r>
      <w:r>
        <w:t>48 str. 2 kartus išdėstytos  straipsnio 5-7 dalys</w:t>
      </w:r>
      <w:r w:rsidR="00174CF1">
        <w:t>, o jų turinys skiriasi</w:t>
      </w:r>
      <w:r>
        <w:t>.</w:t>
      </w:r>
    </w:p>
    <w:p w:rsidR="007F3892" w:rsidRDefault="007F3892" w:rsidP="007F3892">
      <w:pPr>
        <w:tabs>
          <w:tab w:val="left" w:pos="1418"/>
        </w:tabs>
        <w:jc w:val="both"/>
      </w:pPr>
    </w:p>
    <w:p w:rsidR="007F3892" w:rsidRPr="00CA1F17" w:rsidRDefault="007F3892" w:rsidP="007F3892">
      <w:pPr>
        <w:tabs>
          <w:tab w:val="left" w:pos="1418"/>
        </w:tabs>
        <w:jc w:val="both"/>
      </w:pPr>
    </w:p>
    <w:p w:rsidR="00E75D83" w:rsidRPr="00CA1F17" w:rsidRDefault="0039731A" w:rsidP="00E75D83">
      <w:pPr>
        <w:tabs>
          <w:tab w:val="right" w:pos="9638"/>
        </w:tabs>
      </w:pPr>
      <w:r>
        <w:t>Teisingumo ministras</w:t>
      </w:r>
      <w:r w:rsidR="00E75D83">
        <w:tab/>
      </w:r>
      <w:r>
        <w:t>Elvinas Jankevičius</w:t>
      </w:r>
    </w:p>
    <w:p w:rsidR="00E75D83" w:rsidRPr="00CA1F17" w:rsidRDefault="00E75D83" w:rsidP="00E75D83">
      <w:pPr>
        <w:rPr>
          <w:sz w:val="20"/>
        </w:rPr>
      </w:pPr>
    </w:p>
    <w:p w:rsidR="00E75D83" w:rsidRPr="00CA1F17" w:rsidRDefault="00E75D83" w:rsidP="00E75D83">
      <w:pPr>
        <w:rPr>
          <w:sz w:val="20"/>
        </w:rPr>
      </w:pPr>
    </w:p>
    <w:p w:rsidR="00E75D83" w:rsidRPr="00CA1F17" w:rsidRDefault="00E75D83" w:rsidP="00E75D83">
      <w:pPr>
        <w:rPr>
          <w:sz w:val="20"/>
        </w:rPr>
      </w:pPr>
    </w:p>
    <w:p w:rsidR="00E75D83" w:rsidRDefault="00E75D83" w:rsidP="00E75D83">
      <w:pPr>
        <w:rPr>
          <w:sz w:val="20"/>
        </w:rPr>
      </w:pPr>
    </w:p>
    <w:p w:rsidR="00E75D83" w:rsidRDefault="00E75D83" w:rsidP="00E75D83">
      <w:pPr>
        <w:rPr>
          <w:sz w:val="20"/>
        </w:rPr>
      </w:pPr>
    </w:p>
    <w:p w:rsidR="00EB461E" w:rsidRDefault="00EB461E" w:rsidP="00E75D83">
      <w:pPr>
        <w:rPr>
          <w:sz w:val="20"/>
        </w:rPr>
      </w:pPr>
    </w:p>
    <w:p w:rsidR="00EB461E" w:rsidRDefault="00EB461E" w:rsidP="00E75D83">
      <w:pPr>
        <w:rPr>
          <w:sz w:val="20"/>
        </w:rPr>
      </w:pPr>
    </w:p>
    <w:p w:rsidR="00EB461E" w:rsidRDefault="00EB461E" w:rsidP="00E75D83">
      <w:pPr>
        <w:rPr>
          <w:sz w:val="20"/>
        </w:rPr>
      </w:pPr>
    </w:p>
    <w:p w:rsidR="00EB461E" w:rsidRDefault="00EB461E" w:rsidP="00E75D83">
      <w:pPr>
        <w:rPr>
          <w:sz w:val="20"/>
        </w:rPr>
      </w:pPr>
    </w:p>
    <w:p w:rsidR="00EB461E" w:rsidRDefault="00EB461E" w:rsidP="00E75D83">
      <w:pPr>
        <w:rPr>
          <w:sz w:val="20"/>
        </w:rPr>
      </w:pPr>
    </w:p>
    <w:p w:rsidR="00EB461E" w:rsidRDefault="00EB461E" w:rsidP="00E75D83">
      <w:pPr>
        <w:rPr>
          <w:sz w:val="20"/>
        </w:rPr>
      </w:pPr>
    </w:p>
    <w:p w:rsidR="00EB461E" w:rsidRDefault="00EB461E" w:rsidP="00E75D83">
      <w:pPr>
        <w:rPr>
          <w:sz w:val="20"/>
        </w:rPr>
      </w:pPr>
    </w:p>
    <w:p w:rsidR="00E75D83" w:rsidRDefault="00E75D83" w:rsidP="00E75D83">
      <w:pPr>
        <w:rPr>
          <w:sz w:val="20"/>
        </w:rPr>
      </w:pPr>
    </w:p>
    <w:p w:rsidR="00921A20" w:rsidRDefault="00921A20" w:rsidP="00E75D83">
      <w:pPr>
        <w:rPr>
          <w:sz w:val="20"/>
        </w:rPr>
      </w:pPr>
    </w:p>
    <w:p w:rsidR="00E75D83" w:rsidRDefault="00E75D83" w:rsidP="00E75D83">
      <w:pPr>
        <w:rPr>
          <w:sz w:val="20"/>
        </w:rPr>
      </w:pPr>
    </w:p>
    <w:p w:rsidR="00E75D83" w:rsidRPr="00CA1F17" w:rsidRDefault="00E75D83" w:rsidP="00E75D83">
      <w:pPr>
        <w:rPr>
          <w:sz w:val="20"/>
        </w:rPr>
      </w:pPr>
    </w:p>
    <w:p w:rsidR="00E75D83" w:rsidRPr="00CA1F17" w:rsidRDefault="00E75D83" w:rsidP="00E75D83">
      <w:pPr>
        <w:rPr>
          <w:sz w:val="20"/>
        </w:rPr>
      </w:pPr>
    </w:p>
    <w:p w:rsidR="0039731A" w:rsidRDefault="0039731A" w:rsidP="0039731A">
      <w:pPr>
        <w:rPr>
          <w:color w:val="000000" w:themeColor="text1"/>
        </w:rPr>
      </w:pPr>
    </w:p>
    <w:p w:rsidR="0039731A" w:rsidRPr="00F10E6D" w:rsidRDefault="0039731A" w:rsidP="0039731A">
      <w:pPr>
        <w:rPr>
          <w:sz w:val="20"/>
          <w:szCs w:val="20"/>
        </w:rPr>
      </w:pPr>
      <w:r>
        <w:rPr>
          <w:sz w:val="20"/>
          <w:szCs w:val="20"/>
        </w:rPr>
        <w:t xml:space="preserve">Darius Trinkūnas, (8 5) 266 2912, el. p. </w:t>
      </w:r>
      <w:hyperlink r:id="rId9" w:history="1">
        <w:r w:rsidRPr="00183660">
          <w:rPr>
            <w:rStyle w:val="Hyperlink"/>
            <w:sz w:val="20"/>
            <w:szCs w:val="20"/>
          </w:rPr>
          <w:t>darius.trinkunas@tm.lt</w:t>
        </w:r>
      </w:hyperlink>
      <w:r>
        <w:rPr>
          <w:sz w:val="20"/>
          <w:szCs w:val="20"/>
        </w:rPr>
        <w:t xml:space="preserve"> </w:t>
      </w:r>
    </w:p>
    <w:sectPr w:rsidR="0039731A" w:rsidRPr="00F10E6D" w:rsidSect="007B4A13">
      <w:headerReference w:type="default" r:id="rId10"/>
      <w:headerReference w:type="first" r:id="rId11"/>
      <w:footerReference w:type="first" r:id="rId12"/>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B1" w:rsidRDefault="00247EB1">
      <w:r>
        <w:separator/>
      </w:r>
    </w:p>
  </w:endnote>
  <w:endnote w:type="continuationSeparator" w:id="0">
    <w:p w:rsidR="00247EB1" w:rsidRDefault="0024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Footer"/>
      <w:jc w:val="center"/>
    </w:pPr>
  </w:p>
  <w:p w:rsidR="001F4940" w:rsidRDefault="007B3C8C" w:rsidP="007B3C8C">
    <w:pPr>
      <w:pStyle w:val="Footer"/>
      <w:tabs>
        <w:tab w:val="clear" w:pos="8306"/>
        <w:tab w:val="left" w:pos="8080"/>
        <w:tab w:val="right" w:pos="9356"/>
      </w:tabs>
      <w:jc w:val="left"/>
    </w:pPr>
    <w:r>
      <w:t xml:space="preserve">    </w:t>
    </w:r>
    <w:r w:rsidR="000B0D10">
      <w:tab/>
    </w:r>
  </w:p>
  <w:p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B1" w:rsidRDefault="00247EB1">
      <w:r>
        <w:separator/>
      </w:r>
    </w:p>
  </w:footnote>
  <w:footnote w:type="continuationSeparator" w:id="0">
    <w:p w:rsidR="00247EB1" w:rsidRDefault="0024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880019"/>
      <w:docPartObj>
        <w:docPartGallery w:val="Page Numbers (Top of Page)"/>
        <w:docPartUnique/>
      </w:docPartObj>
    </w:sdtPr>
    <w:sdtEndPr/>
    <w:sdtContent>
      <w:p w:rsidR="009D081A" w:rsidRDefault="009D081A">
        <w:pPr>
          <w:pStyle w:val="Header"/>
          <w:jc w:val="center"/>
        </w:pPr>
        <w:r>
          <w:fldChar w:fldCharType="begin"/>
        </w:r>
        <w:r>
          <w:instrText>PAGE   \* MERGEFORMAT</w:instrText>
        </w:r>
        <w:r>
          <w:fldChar w:fldCharType="separate"/>
        </w:r>
        <w:r w:rsidR="00A157A8">
          <w:rPr>
            <w:noProof/>
          </w:rPr>
          <w:t>3</w:t>
        </w:r>
        <w:r>
          <w:fldChar w:fldCharType="end"/>
        </w:r>
      </w:p>
    </w:sdtContent>
  </w:sdt>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EE6432D" wp14:editId="5D53A472">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tel. (8 5) 266 2984, faks. (8 5) 262 5940, el. p. rastine@tm.lt,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Luminor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BD55EA4"/>
    <w:multiLevelType w:val="hybridMultilevel"/>
    <w:tmpl w:val="63F8BAB0"/>
    <w:lvl w:ilvl="0" w:tplc="CB9CA8B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9t/I8BU++90oFu42/78ZE5GVcPk+KiKnbFwy7/hVQavkwofbiTC6oXAsEc9qZmO3sQzCAqMosJB1Gwk7hzHog==" w:salt="q0YnJDE8h9cTy6hAiSL79A=="/>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405D"/>
    <w:rsid w:val="00045F11"/>
    <w:rsid w:val="00054F9B"/>
    <w:rsid w:val="0006186E"/>
    <w:rsid w:val="00072919"/>
    <w:rsid w:val="000756A8"/>
    <w:rsid w:val="0008440D"/>
    <w:rsid w:val="00093791"/>
    <w:rsid w:val="00095F50"/>
    <w:rsid w:val="000B0D10"/>
    <w:rsid w:val="000B1ECA"/>
    <w:rsid w:val="000B5AC8"/>
    <w:rsid w:val="000D0B1C"/>
    <w:rsid w:val="000D3171"/>
    <w:rsid w:val="000E34D4"/>
    <w:rsid w:val="000E6E4F"/>
    <w:rsid w:val="000E7556"/>
    <w:rsid w:val="00106269"/>
    <w:rsid w:val="00110A05"/>
    <w:rsid w:val="00133358"/>
    <w:rsid w:val="001744D7"/>
    <w:rsid w:val="00174CF1"/>
    <w:rsid w:val="00190B04"/>
    <w:rsid w:val="001A2BEB"/>
    <w:rsid w:val="001B28DE"/>
    <w:rsid w:val="001C1840"/>
    <w:rsid w:val="001E0731"/>
    <w:rsid w:val="001E192A"/>
    <w:rsid w:val="001E213B"/>
    <w:rsid w:val="001F4940"/>
    <w:rsid w:val="00216724"/>
    <w:rsid w:val="00224C7E"/>
    <w:rsid w:val="00225009"/>
    <w:rsid w:val="00247655"/>
    <w:rsid w:val="00247EB1"/>
    <w:rsid w:val="0026438D"/>
    <w:rsid w:val="00271BCA"/>
    <w:rsid w:val="0027526A"/>
    <w:rsid w:val="002C0406"/>
    <w:rsid w:val="002D24DA"/>
    <w:rsid w:val="002D69C4"/>
    <w:rsid w:val="002F357E"/>
    <w:rsid w:val="00314884"/>
    <w:rsid w:val="0031547F"/>
    <w:rsid w:val="00335E75"/>
    <w:rsid w:val="0033799C"/>
    <w:rsid w:val="00345C41"/>
    <w:rsid w:val="00350171"/>
    <w:rsid w:val="0035263F"/>
    <w:rsid w:val="00357B11"/>
    <w:rsid w:val="00374572"/>
    <w:rsid w:val="00392BAA"/>
    <w:rsid w:val="0039731A"/>
    <w:rsid w:val="003A0D57"/>
    <w:rsid w:val="003A403B"/>
    <w:rsid w:val="003A6CAA"/>
    <w:rsid w:val="003C1BC9"/>
    <w:rsid w:val="003C76FB"/>
    <w:rsid w:val="003E4E11"/>
    <w:rsid w:val="00422F55"/>
    <w:rsid w:val="00433976"/>
    <w:rsid w:val="004400C5"/>
    <w:rsid w:val="00444D3C"/>
    <w:rsid w:val="004473FF"/>
    <w:rsid w:val="00461B2E"/>
    <w:rsid w:val="004C157C"/>
    <w:rsid w:val="004E0354"/>
    <w:rsid w:val="004E4C97"/>
    <w:rsid w:val="004F7E5E"/>
    <w:rsid w:val="00503401"/>
    <w:rsid w:val="0051548F"/>
    <w:rsid w:val="00526983"/>
    <w:rsid w:val="00544B5D"/>
    <w:rsid w:val="005468FA"/>
    <w:rsid w:val="005934F7"/>
    <w:rsid w:val="005A2039"/>
    <w:rsid w:val="005A32E3"/>
    <w:rsid w:val="005B22EF"/>
    <w:rsid w:val="005B71DB"/>
    <w:rsid w:val="005C6543"/>
    <w:rsid w:val="005E7F01"/>
    <w:rsid w:val="005F6849"/>
    <w:rsid w:val="005F70CA"/>
    <w:rsid w:val="006202AA"/>
    <w:rsid w:val="00631354"/>
    <w:rsid w:val="00632C30"/>
    <w:rsid w:val="00674F0A"/>
    <w:rsid w:val="00685024"/>
    <w:rsid w:val="00692B0B"/>
    <w:rsid w:val="006A0169"/>
    <w:rsid w:val="006A3AEE"/>
    <w:rsid w:val="006B21B9"/>
    <w:rsid w:val="006E2FF8"/>
    <w:rsid w:val="0070100A"/>
    <w:rsid w:val="007155A1"/>
    <w:rsid w:val="00735C7F"/>
    <w:rsid w:val="0074745C"/>
    <w:rsid w:val="00755247"/>
    <w:rsid w:val="0075689A"/>
    <w:rsid w:val="00775BDF"/>
    <w:rsid w:val="007B1F82"/>
    <w:rsid w:val="007B3C8C"/>
    <w:rsid w:val="007B4A13"/>
    <w:rsid w:val="007C3474"/>
    <w:rsid w:val="007F3892"/>
    <w:rsid w:val="007F7B9B"/>
    <w:rsid w:val="008309E8"/>
    <w:rsid w:val="008A5254"/>
    <w:rsid w:val="008C162A"/>
    <w:rsid w:val="008D1283"/>
    <w:rsid w:val="00913761"/>
    <w:rsid w:val="00921A20"/>
    <w:rsid w:val="00935287"/>
    <w:rsid w:val="009648D1"/>
    <w:rsid w:val="00967916"/>
    <w:rsid w:val="00977F51"/>
    <w:rsid w:val="00995EFA"/>
    <w:rsid w:val="009A11A6"/>
    <w:rsid w:val="009B0944"/>
    <w:rsid w:val="009D081A"/>
    <w:rsid w:val="009D5D3E"/>
    <w:rsid w:val="009E11EE"/>
    <w:rsid w:val="009E135C"/>
    <w:rsid w:val="00A157A8"/>
    <w:rsid w:val="00A17E41"/>
    <w:rsid w:val="00A36467"/>
    <w:rsid w:val="00A40CD2"/>
    <w:rsid w:val="00A43DDD"/>
    <w:rsid w:val="00A45A83"/>
    <w:rsid w:val="00A500C7"/>
    <w:rsid w:val="00A5068D"/>
    <w:rsid w:val="00A51241"/>
    <w:rsid w:val="00A93BEB"/>
    <w:rsid w:val="00A94549"/>
    <w:rsid w:val="00AC27D6"/>
    <w:rsid w:val="00AD06F1"/>
    <w:rsid w:val="00AD37E3"/>
    <w:rsid w:val="00AE0614"/>
    <w:rsid w:val="00AE3511"/>
    <w:rsid w:val="00B150E0"/>
    <w:rsid w:val="00B40D2F"/>
    <w:rsid w:val="00B7339D"/>
    <w:rsid w:val="00B942CE"/>
    <w:rsid w:val="00BA60D3"/>
    <w:rsid w:val="00BB1BC1"/>
    <w:rsid w:val="00BD01B6"/>
    <w:rsid w:val="00BD62CA"/>
    <w:rsid w:val="00BF4400"/>
    <w:rsid w:val="00C2360C"/>
    <w:rsid w:val="00C26D5D"/>
    <w:rsid w:val="00C37DED"/>
    <w:rsid w:val="00C43A57"/>
    <w:rsid w:val="00C52D99"/>
    <w:rsid w:val="00C843F3"/>
    <w:rsid w:val="00CB1D28"/>
    <w:rsid w:val="00CB7CF7"/>
    <w:rsid w:val="00CC742A"/>
    <w:rsid w:val="00CD660D"/>
    <w:rsid w:val="00D2173F"/>
    <w:rsid w:val="00D22358"/>
    <w:rsid w:val="00D22A39"/>
    <w:rsid w:val="00D519E9"/>
    <w:rsid w:val="00D553A0"/>
    <w:rsid w:val="00D6461F"/>
    <w:rsid w:val="00D9324E"/>
    <w:rsid w:val="00DA10E1"/>
    <w:rsid w:val="00DA16FD"/>
    <w:rsid w:val="00DB2AB0"/>
    <w:rsid w:val="00DF1DAD"/>
    <w:rsid w:val="00E03B24"/>
    <w:rsid w:val="00E04931"/>
    <w:rsid w:val="00E214C4"/>
    <w:rsid w:val="00E32D88"/>
    <w:rsid w:val="00E35543"/>
    <w:rsid w:val="00E36636"/>
    <w:rsid w:val="00E60512"/>
    <w:rsid w:val="00E63465"/>
    <w:rsid w:val="00E75D83"/>
    <w:rsid w:val="00E81F28"/>
    <w:rsid w:val="00E843B1"/>
    <w:rsid w:val="00E96B50"/>
    <w:rsid w:val="00EA3009"/>
    <w:rsid w:val="00EB461E"/>
    <w:rsid w:val="00ED73D6"/>
    <w:rsid w:val="00EE5859"/>
    <w:rsid w:val="00EF07A0"/>
    <w:rsid w:val="00EF5630"/>
    <w:rsid w:val="00F05FB4"/>
    <w:rsid w:val="00F24327"/>
    <w:rsid w:val="00F6147E"/>
    <w:rsid w:val="00F62B9E"/>
    <w:rsid w:val="00F73A02"/>
    <w:rsid w:val="00F85A80"/>
    <w:rsid w:val="00F947AC"/>
    <w:rsid w:val="00FB183B"/>
    <w:rsid w:val="00FB295F"/>
    <w:rsid w:val="00FB41D3"/>
    <w:rsid w:val="00FB5D01"/>
    <w:rsid w:val="00FC0237"/>
    <w:rsid w:val="00FC0E93"/>
    <w:rsid w:val="00FD2FDD"/>
    <w:rsid w:val="00FE2690"/>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39731A"/>
    <w:pPr>
      <w:ind w:left="720"/>
      <w:contextualSpacing/>
    </w:pPr>
  </w:style>
  <w:style w:type="character" w:customStyle="1" w:styleId="HeaderChar">
    <w:name w:val="Header Char"/>
    <w:basedOn w:val="DefaultParagraphFont"/>
    <w:link w:val="Header"/>
    <w:uiPriority w:val="99"/>
    <w:rsid w:val="009D081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28427">
      <w:bodyDiv w:val="1"/>
      <w:marLeft w:val="0"/>
      <w:marRight w:val="0"/>
      <w:marTop w:val="0"/>
      <w:marBottom w:val="0"/>
      <w:divBdr>
        <w:top w:val="none" w:sz="0" w:space="0" w:color="auto"/>
        <w:left w:val="none" w:sz="0" w:space="0" w:color="auto"/>
        <w:bottom w:val="none" w:sz="0" w:space="0" w:color="auto"/>
        <w:right w:val="none" w:sz="0" w:space="0" w:color="auto"/>
      </w:divBdr>
      <w:divsChild>
        <w:div w:id="2904624">
          <w:marLeft w:val="0"/>
          <w:marRight w:val="0"/>
          <w:marTop w:val="0"/>
          <w:marBottom w:val="0"/>
          <w:divBdr>
            <w:top w:val="none" w:sz="0" w:space="0" w:color="auto"/>
            <w:left w:val="none" w:sz="0" w:space="0" w:color="auto"/>
            <w:bottom w:val="none" w:sz="0" w:space="0" w:color="auto"/>
            <w:right w:val="none" w:sz="0" w:space="0" w:color="auto"/>
          </w:divBdr>
        </w:div>
      </w:divsChild>
    </w:div>
    <w:div w:id="638460682">
      <w:bodyDiv w:val="1"/>
      <w:marLeft w:val="0"/>
      <w:marRight w:val="0"/>
      <w:marTop w:val="0"/>
      <w:marBottom w:val="0"/>
      <w:divBdr>
        <w:top w:val="none" w:sz="0" w:space="0" w:color="auto"/>
        <w:left w:val="none" w:sz="0" w:space="0" w:color="auto"/>
        <w:bottom w:val="none" w:sz="0" w:space="0" w:color="auto"/>
        <w:right w:val="none" w:sz="0" w:space="0" w:color="auto"/>
      </w:divBdr>
      <w:divsChild>
        <w:div w:id="339236354">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6d56a7116a8911e99684a7f33a9827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ius.trinkunas@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BD5FA-FC09-4CF7-BBC9-37F8C3F7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5924</Words>
  <Characters>3378</Characters>
  <Application>Microsoft Office Word</Application>
  <DocSecurity>8</DocSecurity>
  <Lines>28</Lines>
  <Paragraphs>18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1</cp:revision>
  <cp:lastPrinted>2019-05-14T07:04:00Z</cp:lastPrinted>
  <dcterms:created xsi:type="dcterms:W3CDTF">2019-09-19T12:00:00Z</dcterms:created>
  <dcterms:modified xsi:type="dcterms:W3CDTF">2019-09-19T12:00:00Z</dcterms:modified>
</cp:coreProperties>
</file>