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E9A" w:rsidRDefault="00425E9A" w:rsidP="00384348">
      <w:pPr>
        <w:jc w:val="center"/>
        <w:rPr>
          <w:b/>
          <w:caps/>
        </w:rPr>
      </w:pPr>
      <w:r w:rsidRPr="00425E9A">
        <w:rPr>
          <w:b/>
        </w:rPr>
        <w:t>2008 M. VASARIO 20 D. EUROPOS PARLAMENTO IR TARYBOS REGLAMENTO (EB) NR. 216/2008 DĖL BENDRŲJŲ TAISYKLIŲ CIVILINĖS AVIACIJOS SRITYJE IR ĮSTEIGIANČIO EUROPOS AVIACIJOS SAUGOS AGENTŪRĄ, PANAIKINANČIO TARYBOS DIREKTYVĄ 91/670/EEB, REGLAMENTĄ (EB) NR. 1592/2002 IR DIREKTYVĄ 2004/36/EB,</w:t>
      </w:r>
      <w:r w:rsidRPr="00272BE1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 xml:space="preserve">LIETUVOS RESPUBLIKOS AVIACIJOS ĮSTATYMO </w:t>
      </w:r>
    </w:p>
    <w:p w:rsidR="007C278B" w:rsidRPr="008B66AC" w:rsidRDefault="008B66AC" w:rsidP="00384348">
      <w:pPr>
        <w:jc w:val="center"/>
        <w:rPr>
          <w:b/>
        </w:rPr>
      </w:pPr>
      <w:r w:rsidRPr="008B66AC">
        <w:rPr>
          <w:b/>
          <w:caps/>
        </w:rPr>
        <w:t>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425E9A" w:rsidRPr="00425E9A" w:rsidRDefault="00425E9A" w:rsidP="008C36DA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08 m"/>
              </w:smartTagPr>
              <w:r w:rsidRPr="00425E9A">
                <w:rPr>
                  <w:b/>
                </w:rPr>
                <w:t>2008 m</w:t>
              </w:r>
            </w:smartTag>
            <w:r w:rsidRPr="00425E9A">
              <w:rPr>
                <w:b/>
              </w:rPr>
              <w:t>. vasario 20 d. Europos Parlamento ir Tarybos reglamentas (EB) Nr. 216/2008 dėl bendrųjų taisyklių civilinės aviacijos srityje ir įsteigiantis Europos aviacijos saugos agentūrą, panaikinantis Tarybos direktyvą 91/670/EEB, Reglamentą (EB) Nr. 1592/2002 ir Direktyvą 2004/36/EB</w:t>
            </w: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i/>
                <w:iCs/>
                <w:color w:val="000000"/>
              </w:rPr>
              <w:t xml:space="preserve">4 straipsnis </w:t>
            </w:r>
          </w:p>
          <w:p w:rsidR="007A6634" w:rsidRDefault="007A6634" w:rsidP="007A6634">
            <w:pPr>
              <w:pStyle w:val="CM4"/>
              <w:rPr>
                <w:b/>
                <w:bCs/>
                <w:color w:val="000000"/>
              </w:rPr>
            </w:pPr>
            <w:r w:rsidRPr="007A6634">
              <w:rPr>
                <w:b/>
                <w:bCs/>
                <w:color w:val="000000"/>
              </w:rPr>
              <w:t xml:space="preserve">Pagrindiniai principai ir taikymas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1. Orlaivis, įskaitant visus jame sumontuotus produktus, dalis ir prietaisus, kurie yra: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a) suprojektuoti ar pagaminti organizacijos, kurios saugos priežiūrą užtikrina Agentūra ar valstybė narė; arba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b) registruoti valstybėje narėje, išskyrus atvejus, kai jų kontrolinė saugos priežiūra buvo perduota trečiajai šaliai ir Bendrijos orlaivio naudotojas jų nenaudoja; arba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c) registruoti trečiojoje šalyje ir naudojami naudotojo, kurio veiklos priežiūrą užtikrina valstybė narė, arba naudojami Bendrijoje įsisteigusio ar nuolat gyvenančio naudotojo orlaiviui atskrendant į Bendrijos teritoriją, skrendant per ją ar iš jos išskrendant; arba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d) registruoti trečiojoje šalyje arba valstybėje narėje, kuri jų kontrolinę saugos priežiūrą perdavė trečiajai šaliai, ir naudojami trečiosios šalies orlaivio naudotojo jam atskrendant į Bendrijos teritoriją, per ją skrendant ar iš jos išskrendant;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atitinka šio reglamento reikalavimus. 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>&lt;...&gt;</w:t>
            </w:r>
          </w:p>
          <w:p w:rsidR="007A6634" w:rsidRPr="007A6634" w:rsidRDefault="007A6634" w:rsidP="007A6634">
            <w:pPr>
              <w:pStyle w:val="CM4"/>
              <w:rPr>
                <w:color w:val="000000"/>
              </w:rPr>
            </w:pPr>
            <w:r w:rsidRPr="007A6634">
              <w:rPr>
                <w:color w:val="000000"/>
              </w:rPr>
              <w:t xml:space="preserve">4. 1 dalis netaikoma II priede nurodytiems orlaiviams. </w:t>
            </w:r>
          </w:p>
          <w:p w:rsidR="00425E9A" w:rsidRPr="00E731E9" w:rsidRDefault="007A6634" w:rsidP="007A6634">
            <w:pPr>
              <w:pStyle w:val="CM4"/>
            </w:pPr>
            <w:r w:rsidRPr="007A6634">
              <w:rPr>
                <w:color w:val="000000"/>
              </w:rPr>
              <w:t>&lt;...&gt;.</w:t>
            </w:r>
          </w:p>
        </w:tc>
        <w:tc>
          <w:tcPr>
            <w:tcW w:w="3780" w:type="dxa"/>
          </w:tcPr>
          <w:p w:rsidR="00CF099A" w:rsidRPr="00DA720D" w:rsidRDefault="00CF099A" w:rsidP="00CF099A">
            <w:pPr>
              <w:rPr>
                <w:b/>
              </w:rPr>
            </w:pPr>
            <w:r w:rsidRPr="00DA720D">
              <w:rPr>
                <w:b/>
              </w:rPr>
              <w:t>2 straipsnis. Pagrindinės šio įstatymo sąvoko</w:t>
            </w:r>
            <w:r w:rsidR="00EB39AB">
              <w:rPr>
                <w:b/>
              </w:rPr>
              <w:t>s</w:t>
            </w:r>
          </w:p>
          <w:p w:rsidR="00CF099A" w:rsidRDefault="00CF099A" w:rsidP="00CF099A">
            <w:r>
              <w:t>&lt;...&gt;</w:t>
            </w:r>
          </w:p>
          <w:p w:rsidR="00236424" w:rsidRPr="00D34BCE" w:rsidRDefault="00A134A2" w:rsidP="008B472C">
            <w:r>
              <w:t>1</w:t>
            </w:r>
            <w:r w:rsidR="00CE34FD">
              <w:t>2</w:t>
            </w:r>
            <w:r w:rsidR="00236424" w:rsidRPr="00D34BCE">
              <w:t xml:space="preserve">. </w:t>
            </w:r>
            <w:r w:rsidR="00236424" w:rsidRPr="00D34BCE">
              <w:rPr>
                <w:b/>
              </w:rPr>
              <w:t>Eksperimentinės kategorijos orlaiviai</w:t>
            </w:r>
            <w:r w:rsidR="00236424" w:rsidRPr="00D34BCE">
              <w:t xml:space="preserve"> – orlaiviai, išvardyti Reglamento (EB)</w:t>
            </w:r>
            <w:r w:rsidR="00236424">
              <w:t xml:space="preserve"> </w:t>
            </w:r>
            <w:r w:rsidR="00236424" w:rsidRPr="00D34BCE">
              <w:t>Nr. 216/2008 II priede.</w:t>
            </w:r>
          </w:p>
          <w:p w:rsidR="00CF099A" w:rsidRDefault="00CF099A" w:rsidP="00CF099A">
            <w:r>
              <w:t>&lt;...&gt;.</w:t>
            </w:r>
          </w:p>
          <w:p w:rsidR="008C36DA" w:rsidRPr="00D34BCE" w:rsidRDefault="008C36DA" w:rsidP="008C36DA">
            <w:pPr>
              <w:rPr>
                <w:b/>
              </w:rPr>
            </w:pPr>
            <w:r w:rsidRPr="00D34BCE">
              <w:rPr>
                <w:b/>
              </w:rPr>
              <w:t xml:space="preserve">3 straipsnis. Įstatymo </w:t>
            </w:r>
            <w:r>
              <w:rPr>
                <w:b/>
              </w:rPr>
              <w:t>ir kitų</w:t>
            </w:r>
            <w:r w:rsidRPr="00D34BCE">
              <w:t xml:space="preserve"> </w:t>
            </w:r>
            <w:r w:rsidRPr="0078077C">
              <w:rPr>
                <w:b/>
              </w:rPr>
              <w:t>teisės aktų, susijusių su aviacijos veikla,</w:t>
            </w:r>
            <w:r w:rsidRPr="00D34BCE">
              <w:t xml:space="preserve"> </w:t>
            </w:r>
            <w:r w:rsidRPr="00D34BCE">
              <w:rPr>
                <w:b/>
              </w:rPr>
              <w:t>taikymas</w:t>
            </w:r>
          </w:p>
          <w:p w:rsidR="00CF099A" w:rsidRDefault="00CF099A" w:rsidP="00CF099A">
            <w:pPr>
              <w:ind w:firstLine="9"/>
            </w:pPr>
            <w:r>
              <w:t>&lt;...&gt;</w:t>
            </w:r>
          </w:p>
          <w:p w:rsidR="007C4D3D" w:rsidRDefault="00996478" w:rsidP="00926EE9">
            <w:bookmarkStart w:id="0" w:name="_GoBack"/>
            <w:bookmarkEnd w:id="0"/>
            <w:r w:rsidRPr="002745E1">
              <w:t xml:space="preserve">5. </w:t>
            </w:r>
            <w:r w:rsidR="00CE34FD" w:rsidRPr="002745E1">
              <w:t>Šio įstatymo III skyriaus pirmojo</w:t>
            </w:r>
            <w:r w:rsidR="00CE34FD">
              <w:t>,</w:t>
            </w:r>
            <w:r w:rsidR="00CE34FD" w:rsidRPr="002745E1">
              <w:t xml:space="preserve"> antrojo </w:t>
            </w:r>
            <w:r w:rsidR="00CE34FD">
              <w:t xml:space="preserve">ir ketvirtojo </w:t>
            </w:r>
            <w:r w:rsidR="00CE34FD" w:rsidRPr="002745E1">
              <w:t xml:space="preserve">skirsnių nuostatos netaikomos eksperimentinės kategorijos orlaiviams. Eksperimentinės kategorijos orlaivių, išskyrus </w:t>
            </w:r>
            <w:r w:rsidR="00CE34FD">
              <w:t>paprastuosius</w:t>
            </w:r>
            <w:r w:rsidR="00CE34FD" w:rsidRPr="002745E1">
              <w:t xml:space="preserve"> orlaivius, projektavimo, gamybos, registravimo, techninės priežiūros, tinkamumo skraidyti, naudojimo ir pilotavimo reikalavimus nustato CAA, atsižvelgdama į skrydžių saugos užtikrinimą. </w:t>
            </w:r>
            <w:r w:rsidR="00CE34FD">
              <w:t>Paprastųjų</w:t>
            </w:r>
            <w:r w:rsidR="00CE34FD" w:rsidRPr="002745E1">
              <w:t xml:space="preserve"> orlaivių, </w:t>
            </w:r>
            <w:r w:rsidR="00CE34FD">
              <w:t>išskyrus vaikų aviaciniam švietimui naudojamus orlaivius,</w:t>
            </w:r>
            <w:r w:rsidR="00CE34FD" w:rsidRPr="002745E1">
              <w:t xml:space="preserve"> apskaitos, ženklinimo ir tinkamumo skraidyti reikalavimus nustato CAA arba jos nustatyta tvarka atrinkta ir įgaliota atitinkama įstaiga ar asociacija.</w:t>
            </w:r>
            <w:r w:rsidR="00CE34FD" w:rsidRPr="002A4A3E">
              <w:t xml:space="preserve"> </w:t>
            </w:r>
            <w:bookmarkStart w:id="1" w:name="_Hlk499105715"/>
            <w:r w:rsidR="00CE34FD">
              <w:t>Vaikų aviaciniam švietimui naudojamų orlaivių</w:t>
            </w:r>
            <w:bookmarkEnd w:id="1"/>
            <w:r w:rsidR="00CE34FD">
              <w:t xml:space="preserve"> naudojimo tvarką nustato ir jos vykdymą kontroliuoja Lietuvos </w:t>
            </w:r>
            <w:r w:rsidR="00CE34FD">
              <w:lastRenderedPageBreak/>
              <w:t>Respublikos švietimo ir mokslo ministerija.</w:t>
            </w:r>
          </w:p>
          <w:p w:rsidR="004D7C63" w:rsidRPr="004D7C63" w:rsidRDefault="00CF099A" w:rsidP="007C4D3D">
            <w:pPr>
              <w:ind w:firstLine="9"/>
            </w:pPr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Visiškas. </w:t>
            </w:r>
          </w:p>
        </w:tc>
      </w:tr>
    </w:tbl>
    <w:p w:rsidR="00A96D93" w:rsidRDefault="00A96D93" w:rsidP="007A6634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5E4" w:rsidRDefault="00FF65E4" w:rsidP="00044E05">
      <w:r>
        <w:separator/>
      </w:r>
    </w:p>
  </w:endnote>
  <w:endnote w:type="continuationSeparator" w:id="0">
    <w:p w:rsidR="00FF65E4" w:rsidRDefault="00FF65E4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5E4" w:rsidRDefault="00FF65E4" w:rsidP="00044E05">
      <w:r>
        <w:separator/>
      </w:r>
    </w:p>
  </w:footnote>
  <w:footnote w:type="continuationSeparator" w:id="0">
    <w:p w:rsidR="00FF65E4" w:rsidRDefault="00FF65E4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134A2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B38C1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1D6D50"/>
    <w:rsid w:val="001F1678"/>
    <w:rsid w:val="00203BD9"/>
    <w:rsid w:val="00210654"/>
    <w:rsid w:val="00231FEC"/>
    <w:rsid w:val="00236424"/>
    <w:rsid w:val="002368F2"/>
    <w:rsid w:val="00245F74"/>
    <w:rsid w:val="00256EAE"/>
    <w:rsid w:val="00260D29"/>
    <w:rsid w:val="00272BE1"/>
    <w:rsid w:val="00280F04"/>
    <w:rsid w:val="0029139F"/>
    <w:rsid w:val="00292677"/>
    <w:rsid w:val="002B022D"/>
    <w:rsid w:val="002B0481"/>
    <w:rsid w:val="002B7E4C"/>
    <w:rsid w:val="002C0276"/>
    <w:rsid w:val="002C4F81"/>
    <w:rsid w:val="002C697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2E5E"/>
    <w:rsid w:val="00384348"/>
    <w:rsid w:val="003A113C"/>
    <w:rsid w:val="003A4536"/>
    <w:rsid w:val="003C2C77"/>
    <w:rsid w:val="003C3F3D"/>
    <w:rsid w:val="004160BF"/>
    <w:rsid w:val="0042372F"/>
    <w:rsid w:val="00425E9A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32C83"/>
    <w:rsid w:val="00567968"/>
    <w:rsid w:val="00574994"/>
    <w:rsid w:val="0057538C"/>
    <w:rsid w:val="00593410"/>
    <w:rsid w:val="00595339"/>
    <w:rsid w:val="005A1598"/>
    <w:rsid w:val="005B481D"/>
    <w:rsid w:val="005C2E96"/>
    <w:rsid w:val="005C44C3"/>
    <w:rsid w:val="005D016A"/>
    <w:rsid w:val="005F229F"/>
    <w:rsid w:val="005F2E1D"/>
    <w:rsid w:val="00636AF7"/>
    <w:rsid w:val="00650F24"/>
    <w:rsid w:val="00653548"/>
    <w:rsid w:val="006618C5"/>
    <w:rsid w:val="00696EBF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A6634"/>
    <w:rsid w:val="007C278B"/>
    <w:rsid w:val="007C4D3D"/>
    <w:rsid w:val="007C5E17"/>
    <w:rsid w:val="007D443F"/>
    <w:rsid w:val="00830FAF"/>
    <w:rsid w:val="008B472C"/>
    <w:rsid w:val="008B66AC"/>
    <w:rsid w:val="008C2C31"/>
    <w:rsid w:val="008C328F"/>
    <w:rsid w:val="008C36DA"/>
    <w:rsid w:val="008C732B"/>
    <w:rsid w:val="008E48B1"/>
    <w:rsid w:val="00926EE9"/>
    <w:rsid w:val="009426ED"/>
    <w:rsid w:val="00947358"/>
    <w:rsid w:val="009648F6"/>
    <w:rsid w:val="00970094"/>
    <w:rsid w:val="00983025"/>
    <w:rsid w:val="00992D53"/>
    <w:rsid w:val="00996478"/>
    <w:rsid w:val="009973D3"/>
    <w:rsid w:val="009C5E5C"/>
    <w:rsid w:val="009D3BB7"/>
    <w:rsid w:val="009D6D35"/>
    <w:rsid w:val="00A00310"/>
    <w:rsid w:val="00A12B3D"/>
    <w:rsid w:val="00A134A2"/>
    <w:rsid w:val="00A247F2"/>
    <w:rsid w:val="00A27BD4"/>
    <w:rsid w:val="00A90D83"/>
    <w:rsid w:val="00A96D93"/>
    <w:rsid w:val="00AA0C68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C431F7"/>
    <w:rsid w:val="00C502A4"/>
    <w:rsid w:val="00C76BF7"/>
    <w:rsid w:val="00C80733"/>
    <w:rsid w:val="00CC6E33"/>
    <w:rsid w:val="00CD1F9A"/>
    <w:rsid w:val="00CE34FD"/>
    <w:rsid w:val="00CF099A"/>
    <w:rsid w:val="00CF4CD8"/>
    <w:rsid w:val="00D137C1"/>
    <w:rsid w:val="00D250E7"/>
    <w:rsid w:val="00D5528F"/>
    <w:rsid w:val="00D7206D"/>
    <w:rsid w:val="00D90A77"/>
    <w:rsid w:val="00D97AE4"/>
    <w:rsid w:val="00DC22FD"/>
    <w:rsid w:val="00DD4DF4"/>
    <w:rsid w:val="00DD6F0E"/>
    <w:rsid w:val="00DF5753"/>
    <w:rsid w:val="00DF5D8B"/>
    <w:rsid w:val="00DF70D3"/>
    <w:rsid w:val="00E131B0"/>
    <w:rsid w:val="00E137BA"/>
    <w:rsid w:val="00E16876"/>
    <w:rsid w:val="00E32B99"/>
    <w:rsid w:val="00E36716"/>
    <w:rsid w:val="00E37FA3"/>
    <w:rsid w:val="00E43A15"/>
    <w:rsid w:val="00E5067E"/>
    <w:rsid w:val="00E64EDA"/>
    <w:rsid w:val="00E66E8E"/>
    <w:rsid w:val="00E673D4"/>
    <w:rsid w:val="00E731E9"/>
    <w:rsid w:val="00E814B8"/>
    <w:rsid w:val="00E8172C"/>
    <w:rsid w:val="00E82A60"/>
    <w:rsid w:val="00E93EDD"/>
    <w:rsid w:val="00E94421"/>
    <w:rsid w:val="00EB39AB"/>
    <w:rsid w:val="00EC2242"/>
    <w:rsid w:val="00EF29C2"/>
    <w:rsid w:val="00EF6A6F"/>
    <w:rsid w:val="00F00148"/>
    <w:rsid w:val="00F417F3"/>
    <w:rsid w:val="00F43491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C37CDD"/>
  <w15:chartTrackingRefBased/>
  <w15:docId w15:val="{FC923EB7-068F-4F8B-82D0-3D94A7AE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2683-3257-4ECA-8002-FC7ECFBB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2017-10-11T08:18:00Z</dcterms:created>
  <dc:creator>SM</dc:creator>
  <cp:lastModifiedBy>Vlada Zeguniene</cp:lastModifiedBy>
  <cp:lastPrinted>2009-05-26T09:45:00Z</cp:lastPrinted>
  <dcterms:modified xsi:type="dcterms:W3CDTF">2018-06-12T14:07:00Z</dcterms:modified>
  <cp:revision>9</cp:revision>
  <dc:title>ES TEISĖS AKTO IR LIETUVOS RESPUBLIKOS</dc:title>
</cp:coreProperties>
</file>