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ECCA" w14:textId="77777777" w:rsidR="00C3313E" w:rsidRPr="005126CF" w:rsidRDefault="00C3313E" w:rsidP="00FC2D5B">
      <w:pPr>
        <w:pStyle w:val="Pagrindinistekstas"/>
        <w:spacing w:after="0"/>
        <w:jc w:val="center"/>
        <w:outlineLvl w:val="0"/>
        <w:rPr>
          <w:b/>
        </w:rPr>
      </w:pPr>
      <w:r w:rsidRPr="005126CF">
        <w:rPr>
          <w:b/>
        </w:rPr>
        <w:t xml:space="preserve">LIETUVOS RESPUBLIKOS VYRIAUSYBĖS NUTARIMO „DĖL LIETUVOS RESPUBLIKOS VYRIAUSYBĖS 1994 M. RUGPJŪČIO 11 D. NUTARIMO NR. 728 „DĖL LIETUVOS RESPUBLIKOS VYRIAUSYBĖS DARBO REGLAMENTO PATVIRTINIMO“ PAKEITIMO“ PROJEKTO </w:t>
      </w:r>
    </w:p>
    <w:p w14:paraId="45ADD35B" w14:textId="77777777" w:rsidR="00A36596" w:rsidRPr="005126CF" w:rsidRDefault="00A36596" w:rsidP="00FC2D5B">
      <w:pPr>
        <w:pStyle w:val="Pagrindinistekstas"/>
        <w:spacing w:after="0"/>
        <w:jc w:val="center"/>
        <w:outlineLvl w:val="0"/>
        <w:rPr>
          <w:b/>
        </w:rPr>
      </w:pPr>
      <w:r w:rsidRPr="005126CF">
        <w:rPr>
          <w:b/>
        </w:rPr>
        <w:t>DERINIMO PAŽYMA</w:t>
      </w:r>
    </w:p>
    <w:p w14:paraId="389218F5" w14:textId="77777777" w:rsidR="00A85F8D" w:rsidRPr="005126CF" w:rsidRDefault="00A85F8D" w:rsidP="00FC2D5B">
      <w:pPr>
        <w:jc w:val="center"/>
        <w:rPr>
          <w:b/>
        </w:rPr>
      </w:pPr>
    </w:p>
    <w:tbl>
      <w:tblPr>
        <w:tblW w:w="15168"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080"/>
        <w:gridCol w:w="5386"/>
      </w:tblGrid>
      <w:tr w:rsidR="003E5136" w:rsidRPr="005126CF" w14:paraId="541A5399" w14:textId="77777777" w:rsidTr="00D40A59">
        <w:trPr>
          <w:trHeight w:val="423"/>
        </w:trPr>
        <w:tc>
          <w:tcPr>
            <w:tcW w:w="1702" w:type="dxa"/>
            <w:shd w:val="clear" w:color="auto" w:fill="auto"/>
          </w:tcPr>
          <w:p w14:paraId="57D4531B" w14:textId="77777777" w:rsidR="00A85F8D" w:rsidRPr="005126CF" w:rsidRDefault="00A85F8D" w:rsidP="00FC2D5B">
            <w:pPr>
              <w:jc w:val="center"/>
              <w:rPr>
                <w:b/>
              </w:rPr>
            </w:pPr>
            <w:r w:rsidRPr="005126CF">
              <w:rPr>
                <w:b/>
              </w:rPr>
              <w:t>Institucijos pavadinimas, rašto data ir numeris</w:t>
            </w:r>
          </w:p>
        </w:tc>
        <w:tc>
          <w:tcPr>
            <w:tcW w:w="8080" w:type="dxa"/>
            <w:shd w:val="clear" w:color="auto" w:fill="auto"/>
          </w:tcPr>
          <w:p w14:paraId="0785266D" w14:textId="77777777" w:rsidR="00A85F8D" w:rsidRPr="005126CF" w:rsidRDefault="00A85F8D" w:rsidP="00FC2D5B">
            <w:pPr>
              <w:jc w:val="center"/>
              <w:rPr>
                <w:b/>
                <w:iCs/>
              </w:rPr>
            </w:pPr>
            <w:r w:rsidRPr="005126CF">
              <w:rPr>
                <w:b/>
                <w:iCs/>
              </w:rPr>
              <w:t>Pastabos ir pasiūlymai</w:t>
            </w:r>
          </w:p>
        </w:tc>
        <w:tc>
          <w:tcPr>
            <w:tcW w:w="5386" w:type="dxa"/>
            <w:shd w:val="clear" w:color="auto" w:fill="auto"/>
          </w:tcPr>
          <w:p w14:paraId="1A1FE17E" w14:textId="77777777" w:rsidR="00A85F8D" w:rsidRPr="005126CF" w:rsidRDefault="00A85F8D" w:rsidP="00FC2D5B">
            <w:pPr>
              <w:jc w:val="center"/>
              <w:rPr>
                <w:b/>
                <w:iCs/>
              </w:rPr>
            </w:pPr>
            <w:r w:rsidRPr="005126CF">
              <w:rPr>
                <w:b/>
                <w:iCs/>
              </w:rPr>
              <w:t xml:space="preserve">Žyma apie nepriimtas </w:t>
            </w:r>
            <w:r w:rsidR="00104567" w:rsidRPr="005126CF">
              <w:rPr>
                <w:b/>
                <w:iCs/>
              </w:rPr>
              <w:t xml:space="preserve">arba iš dalies priimtas </w:t>
            </w:r>
            <w:r w:rsidRPr="005126CF">
              <w:rPr>
                <w:b/>
                <w:iCs/>
              </w:rPr>
              <w:t>(nurodyti motyvus) pastabas ir pasiūlymus</w:t>
            </w:r>
          </w:p>
        </w:tc>
      </w:tr>
      <w:tr w:rsidR="004261F0" w:rsidRPr="005126CF" w14:paraId="0ED250C4" w14:textId="77777777" w:rsidTr="00D40A59">
        <w:trPr>
          <w:trHeight w:val="423"/>
        </w:trPr>
        <w:tc>
          <w:tcPr>
            <w:tcW w:w="1702" w:type="dxa"/>
            <w:vMerge w:val="restart"/>
            <w:shd w:val="clear" w:color="auto" w:fill="auto"/>
          </w:tcPr>
          <w:p w14:paraId="47AF35AF" w14:textId="77777777" w:rsidR="003D39AF" w:rsidRPr="005126CF" w:rsidRDefault="003D39AF" w:rsidP="003D39AF">
            <w:r w:rsidRPr="005126CF">
              <w:t>Socialinės apsaugos ir darbo ministerijos 2019-03-18</w:t>
            </w:r>
          </w:p>
          <w:p w14:paraId="5B530329" w14:textId="27AB5145" w:rsidR="004261F0" w:rsidRPr="005126CF" w:rsidRDefault="003D39AF" w:rsidP="003D39AF">
            <w:pPr>
              <w:jc w:val="both"/>
            </w:pPr>
            <w:r w:rsidRPr="005126CF">
              <w:t>išvada Nr. (10.2 E-43)SD-1417</w:t>
            </w:r>
          </w:p>
        </w:tc>
        <w:tc>
          <w:tcPr>
            <w:tcW w:w="8080" w:type="dxa"/>
            <w:shd w:val="clear" w:color="auto" w:fill="auto"/>
          </w:tcPr>
          <w:p w14:paraId="1AAD1C68" w14:textId="77777777" w:rsidR="004261F0" w:rsidRPr="005126CF" w:rsidRDefault="004261F0" w:rsidP="00FC2D5B">
            <w:pPr>
              <w:jc w:val="both"/>
              <w:rPr>
                <w:lang w:val="en-US"/>
              </w:rPr>
            </w:pPr>
            <w:r w:rsidRPr="005126CF">
              <w:t xml:space="preserve">3. Atsižvelgiant į Lietuvos Respublikos Vyriausybės projektų valdymo standartą, Socialinės apsaugos ir darbo ministerijoje diegiamas projektinis valdymas. Jis diegiamas, atsižvelgiant į Lietuvos Respublikos Vyriausybės projektų valdymo standartą bei ministerijos veiklos ypatumus: Lietuvos Respublikos socialinės apsaugos ir darbo ministro 2019 m. sausio </w:t>
            </w:r>
            <w:r w:rsidRPr="005126CF">
              <w:br/>
              <w:t>24 d. įsakymu Nr. A1-45 „Dėl Lietuvos Respublikos socialinės apsaugos ir darbo ministerijos veiklos projektų portfelio patvirtinimo“ yra patvirtintas Socialinės apsaugos ir darbo ministerijos veiklos projektų portfelis, kuris prieš tvirtinant buvo teikiamas Socialinės apsaugos ir darbo ministerijos kolegijos pritarimui. Projektinio valdymo proceso koordinavimas pavestas Socialinės apsaugos ir darbo ministerijos Strateginių sprendimų paramos grupei.</w:t>
            </w:r>
          </w:p>
          <w:p w14:paraId="7E277375" w14:textId="77777777" w:rsidR="004261F0" w:rsidRPr="005126CF" w:rsidRDefault="004261F0" w:rsidP="00FC2D5B">
            <w:pPr>
              <w:jc w:val="both"/>
              <w:rPr>
                <w:lang w:val="en-US"/>
              </w:rPr>
            </w:pPr>
            <w:r w:rsidRPr="005126CF">
              <w:t>Atsižvelgiant į tai, siūlytina Reglamento 10</w:t>
            </w:r>
            <w:r w:rsidRPr="005126CF">
              <w:rPr>
                <w:vertAlign w:val="superscript"/>
              </w:rPr>
              <w:t>2</w:t>
            </w:r>
            <w:r w:rsidRPr="005126CF">
              <w:t xml:space="preserve"> punktą tobulinti, numatant lankstesnes jo nuostatas, kad projektų portfelio sudarymo, tvirtinimo ir priežiūros uždavinius galėtų vykdyti ne tik institucijos projektų portfelio komisija, kad ministras turėtų teisę atskiras projektų portfelio sudarymo, tvirtinimo ir priežiūros uždavinių vykdymo funkcijas pavesti ir kitiems, jas tinkamai galintiems atlikti subjektams (pvz., ministerijos kolegijai, darbo grupei ar konkrečiam  ministerijos administracijos padaliniui), atsižvelgdamas į  ministro nustatytą projektų valdymo institucijoje sistemą, tvarką ir procesą. </w:t>
            </w:r>
          </w:p>
          <w:p w14:paraId="4A8539C0" w14:textId="77777777" w:rsidR="004261F0" w:rsidRPr="005126CF" w:rsidRDefault="004261F0" w:rsidP="00FC2D5B">
            <w:pPr>
              <w:jc w:val="both"/>
            </w:pPr>
            <w:r w:rsidRPr="005126CF">
              <w:t>Atsižvelgiant į tai, kad Reglamento 10</w:t>
            </w:r>
            <w:r w:rsidRPr="005126CF">
              <w:rPr>
                <w:vertAlign w:val="superscript"/>
              </w:rPr>
              <w:t>2</w:t>
            </w:r>
            <w:r w:rsidRPr="005126CF">
              <w:t xml:space="preserve"> punkto nuostatoms įgyvendinti reikės priimti įgyvendinamuosius ministerijos lygmens teisės aktus bei į tai, kad 2019 m. veiklos projektų portfelis ministerijoje jau yra patvirtintas bei siekiant nesukurti ministerijai papildomos su 2019 m. projektų portfelio tvirtinimu iš naujo susijusios administracinės naštos, siūlytina nustatyti Reglamento nuostatų 10</w:t>
            </w:r>
            <w:r w:rsidRPr="005126CF">
              <w:rPr>
                <w:vertAlign w:val="superscript"/>
              </w:rPr>
              <w:t>2</w:t>
            </w:r>
            <w:r w:rsidRPr="005126CF">
              <w:t xml:space="preserve"> punkto nuostatų įsigaliojimo terminą 2020 m. sausio 1 d.</w:t>
            </w:r>
          </w:p>
        </w:tc>
        <w:tc>
          <w:tcPr>
            <w:tcW w:w="5386" w:type="dxa"/>
            <w:shd w:val="clear" w:color="auto" w:fill="auto"/>
          </w:tcPr>
          <w:p w14:paraId="1CF4F7E9" w14:textId="791D4ADF" w:rsidR="004261F0" w:rsidRPr="005126CF" w:rsidRDefault="00F7110E" w:rsidP="00FC2D5B">
            <w:pPr>
              <w:pStyle w:val="Paprastasistekstas"/>
              <w:jc w:val="both"/>
              <w:rPr>
                <w:rFonts w:ascii="Times New Roman" w:hAnsi="Times New Roman"/>
                <w:b/>
                <w:sz w:val="24"/>
                <w:szCs w:val="24"/>
              </w:rPr>
            </w:pPr>
            <w:r w:rsidRPr="005126CF">
              <w:rPr>
                <w:rFonts w:ascii="Times New Roman" w:hAnsi="Times New Roman"/>
                <w:b/>
                <w:sz w:val="24"/>
                <w:szCs w:val="24"/>
              </w:rPr>
              <w:t>Atsižvelgta iš dalies</w:t>
            </w:r>
          </w:p>
          <w:p w14:paraId="7F86FD30" w14:textId="27570F94" w:rsidR="004A1B45" w:rsidRPr="005126CF" w:rsidRDefault="003D39AF" w:rsidP="004A1B45">
            <w:pPr>
              <w:spacing w:line="320" w:lineRule="atLeast"/>
            </w:pPr>
            <w:r w:rsidRPr="005126CF">
              <w:t xml:space="preserve">Patikslinta </w:t>
            </w:r>
            <w:r w:rsidR="004C4A2D" w:rsidRPr="005126CF">
              <w:t xml:space="preserve">Projektu keičiamo Lietuvos Respublikos Vyriausybės darbo reglamento, patvirtinto Lietuvos Respublikos Vyriausybės 1994 m. rugpjūčio 11 d. nutarimu Nr. 728 (toliau – Reglamentas), </w:t>
            </w:r>
            <w:r w:rsidRPr="005126CF">
              <w:t>redakcija</w:t>
            </w:r>
            <w:r w:rsidR="004C4A2D" w:rsidRPr="005126CF">
              <w:t xml:space="preserve"> (Reglamento 10</w:t>
            </w:r>
            <w:r w:rsidR="004C4A2D" w:rsidRPr="005126CF">
              <w:rPr>
                <w:vertAlign w:val="superscript"/>
              </w:rPr>
              <w:t>1</w:t>
            </w:r>
            <w:r w:rsidR="004C4A2D" w:rsidRPr="005126CF">
              <w:t>-10</w:t>
            </w:r>
            <w:r w:rsidR="004C4A2D" w:rsidRPr="005126CF">
              <w:rPr>
                <w:vertAlign w:val="superscript"/>
              </w:rPr>
              <w:t>3</w:t>
            </w:r>
            <w:r w:rsidR="004C4A2D" w:rsidRPr="005126CF">
              <w:t xml:space="preserve"> p.)</w:t>
            </w:r>
            <w:r w:rsidR="00F7110E" w:rsidRPr="005126CF">
              <w:t>.</w:t>
            </w:r>
          </w:p>
          <w:p w14:paraId="2C7DE6F7" w14:textId="30782576" w:rsidR="003D39AF" w:rsidRPr="005126CF" w:rsidRDefault="00F7110E" w:rsidP="003D39AF">
            <w:pPr>
              <w:jc w:val="both"/>
              <w:rPr>
                <w:color w:val="C00000"/>
              </w:rPr>
            </w:pPr>
            <w:r w:rsidRPr="005126CF">
              <w:t>Vyriausybės kanceliarijoje rengiamas</w:t>
            </w:r>
            <w:r w:rsidR="004A1B45" w:rsidRPr="005126CF">
              <w:t xml:space="preserve"> </w:t>
            </w:r>
            <w:r w:rsidRPr="005126CF">
              <w:t xml:space="preserve">kitas Vyriausybės </w:t>
            </w:r>
            <w:r w:rsidR="004A1B45" w:rsidRPr="005126CF">
              <w:t xml:space="preserve">nutarimas, </w:t>
            </w:r>
            <w:r w:rsidRPr="005126CF">
              <w:t>nustatantis detalesnį šių santykių reguliavimą, kurį</w:t>
            </w:r>
            <w:r w:rsidR="004A1B45" w:rsidRPr="005126CF">
              <w:t xml:space="preserve"> </w:t>
            </w:r>
            <w:r w:rsidRPr="005126CF">
              <w:t>planuojama</w:t>
            </w:r>
            <w:r w:rsidR="004A1B45" w:rsidRPr="005126CF">
              <w:t xml:space="preserve"> patvirtinti iki 2019 m. rugsėjo 1 d.</w:t>
            </w:r>
            <w:r w:rsidRPr="005126CF">
              <w:t xml:space="preserve"> (nukeliamas </w:t>
            </w:r>
            <w:r w:rsidR="004C4A2D" w:rsidRPr="005126CF">
              <w:t>Reglamento 10</w:t>
            </w:r>
            <w:r w:rsidR="004C4A2D" w:rsidRPr="005126CF">
              <w:rPr>
                <w:vertAlign w:val="superscript"/>
              </w:rPr>
              <w:t>1</w:t>
            </w:r>
            <w:r w:rsidR="004C4A2D" w:rsidRPr="005126CF">
              <w:t>-10</w:t>
            </w:r>
            <w:r w:rsidR="004C4A2D" w:rsidRPr="005126CF">
              <w:rPr>
                <w:vertAlign w:val="superscript"/>
              </w:rPr>
              <w:t>3</w:t>
            </w:r>
            <w:r w:rsidR="004C4A2D" w:rsidRPr="005126CF">
              <w:t xml:space="preserve"> p.</w:t>
            </w:r>
            <w:r w:rsidRPr="005126CF">
              <w:t xml:space="preserve"> nuostatų įsigaliojimo terminas).</w:t>
            </w:r>
            <w:r w:rsidR="003D39AF" w:rsidRPr="005126CF">
              <w:t xml:space="preserve"> </w:t>
            </w:r>
          </w:p>
          <w:p w14:paraId="74056A77" w14:textId="7F5D3610" w:rsidR="0037070D" w:rsidRPr="005126CF" w:rsidRDefault="0037070D" w:rsidP="003D39AF">
            <w:pPr>
              <w:pStyle w:val="Paprastasistekstas"/>
              <w:jc w:val="both"/>
              <w:rPr>
                <w:rFonts w:ascii="Times New Roman" w:hAnsi="Times New Roman"/>
                <w:color w:val="C00000"/>
                <w:sz w:val="24"/>
                <w:szCs w:val="24"/>
              </w:rPr>
            </w:pPr>
          </w:p>
        </w:tc>
      </w:tr>
      <w:tr w:rsidR="004261F0" w:rsidRPr="005126CF" w14:paraId="1411A32A" w14:textId="77777777" w:rsidTr="00D40A59">
        <w:trPr>
          <w:trHeight w:val="423"/>
        </w:trPr>
        <w:tc>
          <w:tcPr>
            <w:tcW w:w="1702" w:type="dxa"/>
            <w:vMerge/>
            <w:shd w:val="clear" w:color="auto" w:fill="auto"/>
          </w:tcPr>
          <w:p w14:paraId="35713AA8" w14:textId="77777777" w:rsidR="004261F0" w:rsidRPr="005126CF" w:rsidRDefault="004261F0" w:rsidP="00FC2D5B">
            <w:pPr>
              <w:jc w:val="both"/>
            </w:pPr>
          </w:p>
        </w:tc>
        <w:tc>
          <w:tcPr>
            <w:tcW w:w="8080" w:type="dxa"/>
            <w:shd w:val="clear" w:color="auto" w:fill="auto"/>
          </w:tcPr>
          <w:p w14:paraId="53E4157F" w14:textId="77777777" w:rsidR="004261F0" w:rsidRPr="005126CF" w:rsidRDefault="004261F0" w:rsidP="00FC2D5B">
            <w:pPr>
              <w:jc w:val="both"/>
              <w:rPr>
                <w:lang w:val="en-US"/>
              </w:rPr>
            </w:pPr>
            <w:r w:rsidRPr="005126CF">
              <w:t>4.  Siūlytina atsisakyti Reglamento 12</w:t>
            </w:r>
            <w:r w:rsidRPr="005126CF">
              <w:rPr>
                <w:vertAlign w:val="superscript"/>
              </w:rPr>
              <w:t>2</w:t>
            </w:r>
            <w:r w:rsidRPr="005126CF">
              <w:t xml:space="preserve"> punkte siūlomo teisinio reguliavimo, nes:</w:t>
            </w:r>
          </w:p>
          <w:p w14:paraId="70199A80" w14:textId="77777777" w:rsidR="004261F0" w:rsidRPr="005126CF" w:rsidRDefault="004261F0" w:rsidP="00FC2D5B">
            <w:pPr>
              <w:jc w:val="both"/>
              <w:rPr>
                <w:lang w:val="en-US"/>
              </w:rPr>
            </w:pPr>
            <w:r w:rsidRPr="005126CF">
              <w:lastRenderedPageBreak/>
              <w:t xml:space="preserve">4.1.   jis yra perteklinis Lietuvos Respublikos teisėkūros pagrindų įstatymo </w:t>
            </w:r>
            <w:r w:rsidRPr="005126CF">
              <w:br/>
              <w:t>7 straipsnio 1 ir 2 dalių, kuriose apibrėžtas konsultavimosi su visuomene tikslas, sąlygos, atžvilgiu;</w:t>
            </w:r>
          </w:p>
          <w:p w14:paraId="214919E3" w14:textId="7293603D" w:rsidR="004261F0" w:rsidRPr="005126CF" w:rsidRDefault="004261F0" w:rsidP="00FC2D5B">
            <w:pPr>
              <w:jc w:val="both"/>
            </w:pPr>
            <w:r w:rsidRPr="005126CF">
              <w:t>4.2.  siūlymas nustatyti konsultavimosi su visuomene būdą – skelbimas portalo „Mano vyriausybė“ interneto svetainės „E. pilietis“ – nedera su Teisėkūros pagrindų įstatymo 7 straipsnio 3 dalimi, pagal kurią „konsultavimosi su visuomene būdus ir rezultatų įforminimo būdus pasirenka konsultavimąsi su visuomene inicijuojantys subjektai“;</w:t>
            </w:r>
          </w:p>
          <w:p w14:paraId="1AE00976" w14:textId="1FD7ACBD" w:rsidR="002C2F9C" w:rsidRPr="005126CF" w:rsidRDefault="002C2F9C" w:rsidP="00FC2D5B">
            <w:pPr>
              <w:jc w:val="both"/>
              <w:rPr>
                <w:lang w:val="en-US"/>
              </w:rPr>
            </w:pPr>
          </w:p>
          <w:p w14:paraId="300AA355" w14:textId="75970960" w:rsidR="002C2F9C" w:rsidRPr="005126CF" w:rsidRDefault="002C2F9C" w:rsidP="00FC2D5B">
            <w:pPr>
              <w:jc w:val="both"/>
              <w:rPr>
                <w:lang w:val="en-US"/>
              </w:rPr>
            </w:pPr>
          </w:p>
          <w:p w14:paraId="3E4F9892" w14:textId="0E9CDF40" w:rsidR="00FA2FBC" w:rsidRPr="005126CF" w:rsidRDefault="00FA2FBC" w:rsidP="00FC2D5B">
            <w:pPr>
              <w:jc w:val="both"/>
              <w:rPr>
                <w:lang w:val="en-US"/>
              </w:rPr>
            </w:pPr>
          </w:p>
          <w:p w14:paraId="332D554B" w14:textId="77777777" w:rsidR="00FA2FBC" w:rsidRPr="005126CF" w:rsidRDefault="00FA2FBC" w:rsidP="00FC2D5B">
            <w:pPr>
              <w:jc w:val="both"/>
              <w:rPr>
                <w:lang w:val="en-US"/>
              </w:rPr>
            </w:pPr>
          </w:p>
          <w:p w14:paraId="3E04153C" w14:textId="77777777" w:rsidR="00324450" w:rsidRPr="005126CF" w:rsidRDefault="00324450" w:rsidP="00FC2D5B">
            <w:pPr>
              <w:jc w:val="both"/>
            </w:pPr>
          </w:p>
          <w:p w14:paraId="57541730" w14:textId="77777777" w:rsidR="00324450" w:rsidRPr="005126CF" w:rsidRDefault="00324450" w:rsidP="00FC2D5B">
            <w:pPr>
              <w:jc w:val="both"/>
            </w:pPr>
          </w:p>
          <w:p w14:paraId="26EE8918" w14:textId="77777777" w:rsidR="00324450" w:rsidRPr="005126CF" w:rsidRDefault="00324450" w:rsidP="00FC2D5B">
            <w:pPr>
              <w:jc w:val="both"/>
            </w:pPr>
          </w:p>
          <w:p w14:paraId="0C72D6D6" w14:textId="3AE2B961" w:rsidR="004261F0" w:rsidRPr="005126CF" w:rsidRDefault="004261F0" w:rsidP="00FC2D5B">
            <w:pPr>
              <w:jc w:val="both"/>
            </w:pPr>
            <w:r w:rsidRPr="005126CF">
              <w:t xml:space="preserve">4.3.  siūloma nuostata nedera su Teisėkūros pagrindų įstatymo 7 straipsnio 2 dalimi (konsultavimosi proporcingumas), nes nepagrįstai išplečiamas subjektų, kurių atžvilgiu turi būti vykdomas konsultavimasis su visuomene, ratas – įtraukiami subjektai, kuriems netiesioginį poveikį turės ar galės turėti siūlomas teisinis reguliavimas, kas suponuoja, kad tai gali būti kiekvienas visuomenės narys, nes bet koks teisinio reguliavimo pakeitimas kiekvienam asmeniui turės tiesioginį ar netiesioginį poveikį. </w:t>
            </w:r>
          </w:p>
        </w:tc>
        <w:tc>
          <w:tcPr>
            <w:tcW w:w="5386" w:type="dxa"/>
            <w:shd w:val="clear" w:color="auto" w:fill="auto"/>
          </w:tcPr>
          <w:p w14:paraId="517E479D" w14:textId="03F8C313" w:rsidR="0037070D" w:rsidRPr="005126CF" w:rsidRDefault="0037070D" w:rsidP="00FC2D5B">
            <w:pPr>
              <w:pStyle w:val="Paprastasistekstas"/>
              <w:jc w:val="both"/>
              <w:rPr>
                <w:rFonts w:ascii="Times New Roman" w:hAnsi="Times New Roman"/>
                <w:bCs/>
                <w:sz w:val="24"/>
                <w:szCs w:val="24"/>
              </w:rPr>
            </w:pPr>
            <w:r w:rsidRPr="005126CF">
              <w:rPr>
                <w:rFonts w:ascii="Times New Roman" w:hAnsi="Times New Roman"/>
                <w:b/>
                <w:bCs/>
                <w:sz w:val="24"/>
                <w:szCs w:val="24"/>
              </w:rPr>
              <w:lastRenderedPageBreak/>
              <w:t>Neatsižvelgta</w:t>
            </w:r>
          </w:p>
          <w:p w14:paraId="43A06ABF" w14:textId="5F4F78EF" w:rsidR="00324450" w:rsidRPr="005126CF" w:rsidRDefault="00F508D6" w:rsidP="00FC2D5B">
            <w:pPr>
              <w:pStyle w:val="Paprastasistekstas"/>
              <w:jc w:val="both"/>
              <w:rPr>
                <w:rFonts w:ascii="Times New Roman" w:hAnsi="Times New Roman"/>
                <w:bCs/>
                <w:sz w:val="24"/>
                <w:szCs w:val="24"/>
              </w:rPr>
            </w:pPr>
            <w:r w:rsidRPr="005126CF">
              <w:rPr>
                <w:rFonts w:ascii="Times New Roman" w:hAnsi="Times New Roman"/>
                <w:bCs/>
                <w:sz w:val="24"/>
                <w:szCs w:val="24"/>
              </w:rPr>
              <w:lastRenderedPageBreak/>
              <w:t>P</w:t>
            </w:r>
            <w:r w:rsidR="001A59E0" w:rsidRPr="005126CF">
              <w:rPr>
                <w:rFonts w:ascii="Times New Roman" w:hAnsi="Times New Roman"/>
                <w:bCs/>
                <w:sz w:val="24"/>
                <w:szCs w:val="24"/>
              </w:rPr>
              <w:t xml:space="preserve">raktika rodo, kad konsultacijos su visuomene neretai apsiriboja jau parengto teisės akto projekto paskelbimu Seimo kanceliarijos teisės aktų informacinėje sistemoje, kai teisinio reguliavimo kokybei ir tvarumui užtikrinti </w:t>
            </w:r>
            <w:r w:rsidR="00A37B13" w:rsidRPr="005126CF">
              <w:rPr>
                <w:rFonts w:ascii="Times New Roman" w:hAnsi="Times New Roman"/>
                <w:bCs/>
                <w:sz w:val="24"/>
                <w:szCs w:val="24"/>
              </w:rPr>
              <w:t>galėtų būti</w:t>
            </w:r>
            <w:r w:rsidR="001A59E0" w:rsidRPr="005126CF">
              <w:rPr>
                <w:rFonts w:ascii="Times New Roman" w:hAnsi="Times New Roman"/>
                <w:bCs/>
                <w:sz w:val="24"/>
                <w:szCs w:val="24"/>
              </w:rPr>
              <w:t xml:space="preserve"> pasitelktos konsultacijos su visuomene dar </w:t>
            </w:r>
            <w:r w:rsidR="001015A5" w:rsidRPr="005126CF">
              <w:rPr>
                <w:rFonts w:ascii="Times New Roman" w:hAnsi="Times New Roman"/>
                <w:bCs/>
                <w:sz w:val="24"/>
                <w:szCs w:val="24"/>
              </w:rPr>
              <w:t>ankstesnėje teisėkūros stadijoje</w:t>
            </w:r>
            <w:r w:rsidR="001A59E0" w:rsidRPr="005126CF">
              <w:rPr>
                <w:rFonts w:ascii="Times New Roman" w:hAnsi="Times New Roman"/>
                <w:bCs/>
                <w:sz w:val="24"/>
                <w:szCs w:val="24"/>
              </w:rPr>
              <w:t xml:space="preserve">. </w:t>
            </w:r>
            <w:r w:rsidR="00FA2FBC" w:rsidRPr="005126CF">
              <w:rPr>
                <w:rFonts w:ascii="Times New Roman" w:hAnsi="Times New Roman"/>
                <w:bCs/>
                <w:sz w:val="24"/>
                <w:szCs w:val="24"/>
              </w:rPr>
              <w:t>Atsižvelgiant į tai, Reglamento 12</w:t>
            </w:r>
            <w:r w:rsidR="00FC0D99" w:rsidRPr="005126CF">
              <w:rPr>
                <w:rFonts w:ascii="Times New Roman" w:hAnsi="Times New Roman"/>
                <w:bCs/>
                <w:sz w:val="24"/>
                <w:szCs w:val="24"/>
                <w:vertAlign w:val="superscript"/>
              </w:rPr>
              <w:t>1</w:t>
            </w:r>
            <w:r w:rsidR="00FA2FBC" w:rsidRPr="005126CF">
              <w:rPr>
                <w:rFonts w:ascii="Times New Roman" w:hAnsi="Times New Roman"/>
                <w:bCs/>
                <w:sz w:val="24"/>
                <w:szCs w:val="24"/>
              </w:rPr>
              <w:t xml:space="preserve"> p. siekiama įtvirtinti šį horizontalų viešųjų konsultacijų principą ir praktiką, kartu nurodant, kad </w:t>
            </w:r>
            <w:r w:rsidR="00A37B13" w:rsidRPr="005126CF">
              <w:rPr>
                <w:rFonts w:ascii="Times New Roman" w:hAnsi="Times New Roman"/>
                <w:bCs/>
                <w:sz w:val="24"/>
                <w:szCs w:val="24"/>
              </w:rPr>
              <w:t xml:space="preserve"> </w:t>
            </w:r>
            <w:r w:rsidR="001A59E0" w:rsidRPr="005126CF">
              <w:rPr>
                <w:rFonts w:ascii="Times New Roman" w:hAnsi="Times New Roman"/>
                <w:bCs/>
                <w:sz w:val="24"/>
                <w:szCs w:val="24"/>
              </w:rPr>
              <w:t>konsultacij</w:t>
            </w:r>
            <w:r w:rsidR="00A37B13" w:rsidRPr="005126CF">
              <w:rPr>
                <w:rFonts w:ascii="Times New Roman" w:hAnsi="Times New Roman"/>
                <w:bCs/>
                <w:sz w:val="24"/>
                <w:szCs w:val="24"/>
              </w:rPr>
              <w:t xml:space="preserve">os </w:t>
            </w:r>
            <w:r w:rsidR="00A37B13" w:rsidRPr="005126CF">
              <w:rPr>
                <w:rFonts w:ascii="Times New Roman" w:hAnsi="Times New Roman"/>
                <w:bCs/>
                <w:i/>
                <w:sz w:val="24"/>
                <w:szCs w:val="24"/>
              </w:rPr>
              <w:t>gali būti</w:t>
            </w:r>
            <w:r w:rsidR="00A37B13" w:rsidRPr="005126CF">
              <w:rPr>
                <w:rFonts w:ascii="Times New Roman" w:hAnsi="Times New Roman"/>
                <w:bCs/>
                <w:sz w:val="24"/>
                <w:szCs w:val="24"/>
              </w:rPr>
              <w:t xml:space="preserve"> skelbiamos ir (arba) vykdomos</w:t>
            </w:r>
            <w:r w:rsidR="00324450" w:rsidRPr="005126CF">
              <w:rPr>
                <w:rFonts w:ascii="Times New Roman" w:hAnsi="Times New Roman"/>
                <w:bCs/>
                <w:sz w:val="24"/>
                <w:szCs w:val="24"/>
              </w:rPr>
              <w:t xml:space="preserve"> </w:t>
            </w:r>
            <w:r w:rsidR="00324450" w:rsidRPr="005126CF">
              <w:rPr>
                <w:rFonts w:ascii="Times New Roman" w:hAnsi="Times New Roman"/>
                <w:bCs/>
                <w:i/>
                <w:sz w:val="24"/>
                <w:szCs w:val="24"/>
              </w:rPr>
              <w:t>ir</w:t>
            </w:r>
            <w:r w:rsidR="001A59E0" w:rsidRPr="005126CF">
              <w:rPr>
                <w:rFonts w:ascii="Times New Roman" w:hAnsi="Times New Roman"/>
                <w:bCs/>
                <w:sz w:val="24"/>
                <w:szCs w:val="24"/>
              </w:rPr>
              <w:t xml:space="preserve"> portalo „Mano vyriausybė“ interneto svetainėje „E. pilietis“. </w:t>
            </w:r>
            <w:r w:rsidR="00324450" w:rsidRPr="005126CF">
              <w:rPr>
                <w:rFonts w:ascii="Times New Roman" w:hAnsi="Times New Roman"/>
                <w:bCs/>
                <w:sz w:val="24"/>
                <w:szCs w:val="24"/>
              </w:rPr>
              <w:t xml:space="preserve">Taip sudaroma alternatyvi galimybė konsultacijas </w:t>
            </w:r>
            <w:r w:rsidR="00A11EDD" w:rsidRPr="005126CF">
              <w:rPr>
                <w:rFonts w:ascii="Times New Roman" w:hAnsi="Times New Roman"/>
                <w:bCs/>
                <w:sz w:val="24"/>
                <w:szCs w:val="24"/>
              </w:rPr>
              <w:t xml:space="preserve">papildomai </w:t>
            </w:r>
            <w:r w:rsidR="00324450" w:rsidRPr="005126CF">
              <w:rPr>
                <w:rFonts w:ascii="Times New Roman" w:hAnsi="Times New Roman"/>
                <w:bCs/>
                <w:sz w:val="24"/>
                <w:szCs w:val="24"/>
              </w:rPr>
              <w:t>vykdyti ir skelbti ne tik Seimo kanceliarijos teisės aktų informacinėje sistemoje</w:t>
            </w:r>
            <w:r w:rsidR="00645BB5" w:rsidRPr="005126CF">
              <w:rPr>
                <w:rFonts w:ascii="Times New Roman" w:hAnsi="Times New Roman"/>
                <w:bCs/>
                <w:sz w:val="24"/>
                <w:szCs w:val="24"/>
              </w:rPr>
              <w:t>, bet ir svetainėje „E. pilietis“.</w:t>
            </w:r>
          </w:p>
          <w:p w14:paraId="2E83DF13" w14:textId="63FE46C0" w:rsidR="004261F0" w:rsidRPr="005126CF" w:rsidRDefault="001A59E0" w:rsidP="00FC2D5B">
            <w:pPr>
              <w:pStyle w:val="Paprastasistekstas"/>
              <w:jc w:val="both"/>
              <w:rPr>
                <w:rFonts w:ascii="Times New Roman" w:hAnsi="Times New Roman"/>
                <w:bCs/>
                <w:sz w:val="24"/>
                <w:szCs w:val="24"/>
              </w:rPr>
            </w:pPr>
            <w:r w:rsidRPr="005126CF">
              <w:rPr>
                <w:rFonts w:ascii="Times New Roman" w:hAnsi="Times New Roman"/>
                <w:bCs/>
                <w:sz w:val="24"/>
                <w:szCs w:val="24"/>
              </w:rPr>
              <w:t>Konsultaciją inicijuojantis subjektas, vadovaudamasis konsultavimosi efektyvumo ir  proporcingumo principais, pats įvertina ir pasirenka konkrečiai konsultacijai tinkamus suinteresuotus asmenis ar jų grupes.</w:t>
            </w:r>
            <w:r w:rsidR="00EC67F7" w:rsidRPr="005126CF">
              <w:rPr>
                <w:rFonts w:ascii="Times New Roman" w:hAnsi="Times New Roman"/>
                <w:bCs/>
                <w:sz w:val="24"/>
                <w:szCs w:val="24"/>
              </w:rPr>
              <w:t xml:space="preserve"> Be to, Teisėkūros pagrindų įstatyme vartojama „visuomenės“ sąvoka apima visus jos narius.</w:t>
            </w:r>
          </w:p>
        </w:tc>
      </w:tr>
      <w:tr w:rsidR="004261F0" w:rsidRPr="005126CF" w14:paraId="14C04C54" w14:textId="77777777" w:rsidTr="00D40A59">
        <w:trPr>
          <w:trHeight w:val="423"/>
        </w:trPr>
        <w:tc>
          <w:tcPr>
            <w:tcW w:w="1702" w:type="dxa"/>
            <w:vMerge/>
            <w:shd w:val="clear" w:color="auto" w:fill="auto"/>
          </w:tcPr>
          <w:p w14:paraId="1CD4017F" w14:textId="77777777" w:rsidR="004261F0" w:rsidRPr="005126CF" w:rsidRDefault="004261F0" w:rsidP="00FC2D5B">
            <w:pPr>
              <w:jc w:val="both"/>
            </w:pPr>
          </w:p>
        </w:tc>
        <w:tc>
          <w:tcPr>
            <w:tcW w:w="8080" w:type="dxa"/>
            <w:shd w:val="clear" w:color="auto" w:fill="auto"/>
          </w:tcPr>
          <w:p w14:paraId="0C4A3311" w14:textId="77777777" w:rsidR="004261F0" w:rsidRPr="005126CF" w:rsidRDefault="004261F0" w:rsidP="00FC2D5B">
            <w:pPr>
              <w:jc w:val="both"/>
            </w:pPr>
            <w:r w:rsidRPr="005126CF">
              <w:t>6.  Siekiant užtikrinti sklandų Reglamento nuostatų įgyvendinimą, siūlytina tikslinti Reglamento 18 punktą, nes neaišku, kaip bus nustatoma „planuojama teisės akto projekto pateikimo Vyriausybei diena“, kadangi ne visi subjektai tvirtina teisėkūros planus, kuriuose nustatomi teisės aktų projektų, kurie neįtraukti į Vyriausybės siūlymų Lietuvos Respublikos Seimui dėl į atitinkamą Seimo sesijos darbų programą įtrauktinų teisės aktų projektų, kuriuos Vyriausybė pateikė ar planuoja pateikti, sąrašą, pateikimo Vyriausybei terminai.</w:t>
            </w:r>
          </w:p>
        </w:tc>
        <w:tc>
          <w:tcPr>
            <w:tcW w:w="5386" w:type="dxa"/>
            <w:shd w:val="clear" w:color="auto" w:fill="auto"/>
          </w:tcPr>
          <w:p w14:paraId="13BE62B6" w14:textId="5A856CFC" w:rsidR="00B43E43" w:rsidRPr="005126CF" w:rsidRDefault="00B43E43"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2D68CC8D" w14:textId="52196D1C" w:rsidR="00747921" w:rsidRPr="005126CF" w:rsidRDefault="00B43E43" w:rsidP="00FC2D5B">
            <w:pPr>
              <w:pStyle w:val="Paprastasistekstas"/>
              <w:jc w:val="both"/>
              <w:rPr>
                <w:rFonts w:ascii="Times New Roman" w:hAnsi="Times New Roman"/>
                <w:bCs/>
                <w:sz w:val="24"/>
                <w:szCs w:val="24"/>
              </w:rPr>
            </w:pPr>
            <w:r w:rsidRPr="005126CF">
              <w:rPr>
                <w:rFonts w:ascii="Times New Roman" w:hAnsi="Times New Roman"/>
                <w:bCs/>
                <w:sz w:val="24"/>
                <w:szCs w:val="24"/>
              </w:rPr>
              <w:t>Teisėkūra (kaip ir kitos institucijų vykdomos veiklos) privalo būti planuojama ir tai yra bendras horizontalus veiklos valdymo principas. Teisės aktų projektai rengiami tam, kad atitinkami viešosios politikos pakeitimai įsigaliotų</w:t>
            </w:r>
            <w:r w:rsidR="009269AB" w:rsidRPr="005126CF">
              <w:rPr>
                <w:rFonts w:ascii="Times New Roman" w:hAnsi="Times New Roman"/>
                <w:bCs/>
                <w:sz w:val="24"/>
                <w:szCs w:val="24"/>
              </w:rPr>
              <w:t>/</w:t>
            </w:r>
            <w:r w:rsidRPr="005126CF">
              <w:rPr>
                <w:rFonts w:ascii="Times New Roman" w:hAnsi="Times New Roman"/>
                <w:bCs/>
                <w:sz w:val="24"/>
                <w:szCs w:val="24"/>
              </w:rPr>
              <w:t xml:space="preserve">būtų pradėti taikyti </w:t>
            </w:r>
            <w:r w:rsidR="00EC67F7" w:rsidRPr="005126CF">
              <w:rPr>
                <w:rFonts w:ascii="Times New Roman" w:hAnsi="Times New Roman"/>
                <w:bCs/>
                <w:sz w:val="24"/>
                <w:szCs w:val="24"/>
              </w:rPr>
              <w:t>tinkamu</w:t>
            </w:r>
            <w:r w:rsidRPr="005126CF">
              <w:rPr>
                <w:rFonts w:ascii="Times New Roman" w:hAnsi="Times New Roman"/>
                <w:bCs/>
                <w:sz w:val="24"/>
                <w:szCs w:val="24"/>
              </w:rPr>
              <w:t xml:space="preserve"> metu. Todėl subjektai, rengiantys teisės aktų projektus</w:t>
            </w:r>
            <w:r w:rsidR="00DC12DE" w:rsidRPr="005126CF">
              <w:rPr>
                <w:rFonts w:ascii="Times New Roman" w:hAnsi="Times New Roman"/>
                <w:bCs/>
                <w:sz w:val="24"/>
                <w:szCs w:val="24"/>
              </w:rPr>
              <w:t>,</w:t>
            </w:r>
            <w:r w:rsidRPr="005126CF">
              <w:rPr>
                <w:rFonts w:ascii="Times New Roman" w:hAnsi="Times New Roman"/>
                <w:bCs/>
                <w:sz w:val="24"/>
                <w:szCs w:val="24"/>
              </w:rPr>
              <w:t xml:space="preserve"> privalo juos rengti ne chaotiškai, o savarankiškai (jei to nėra padariusi Vyriausybė) ir nuosekliai susiplanuojant teisės aktų projektų rengimo etapus, t. y. numatant atskirų rengimo etapų terminus. Pažymėtina, kad ši nuostata neįpareigoja institucijų tvirtinti teisėkūros planų, o suteikia </w:t>
            </w:r>
            <w:r w:rsidRPr="005126CF">
              <w:rPr>
                <w:rFonts w:ascii="Times New Roman" w:hAnsi="Times New Roman"/>
                <w:bCs/>
                <w:sz w:val="24"/>
                <w:szCs w:val="24"/>
              </w:rPr>
              <w:lastRenderedPageBreak/>
              <w:t>galimybę patiems teisės aktų projektų rengėjams nuspręsti, kur ir kokiomis priemonėmis jie susiplanuos teisės aktų projektų rengimo etapų terminus, kad būtų užtikrintas savalaikis Vyriausybės įsipareigojimų įvykdymas.</w:t>
            </w:r>
          </w:p>
          <w:p w14:paraId="36A28B21" w14:textId="60EC8941" w:rsidR="00747921" w:rsidRPr="005126CF" w:rsidRDefault="00747921" w:rsidP="00FC2D5B">
            <w:pPr>
              <w:pStyle w:val="Paprastasistekstas"/>
              <w:jc w:val="both"/>
              <w:rPr>
                <w:rFonts w:ascii="Times New Roman" w:hAnsi="Times New Roman"/>
                <w:bCs/>
                <w:sz w:val="24"/>
                <w:szCs w:val="24"/>
              </w:rPr>
            </w:pPr>
            <w:r w:rsidRPr="005126CF">
              <w:rPr>
                <w:rFonts w:ascii="Times New Roman" w:hAnsi="Times New Roman"/>
                <w:bCs/>
                <w:sz w:val="24"/>
                <w:szCs w:val="24"/>
              </w:rPr>
              <w:t>Reglamento 18 p. išbrauktas žodis „planuojamos“.</w:t>
            </w:r>
          </w:p>
        </w:tc>
      </w:tr>
      <w:tr w:rsidR="00C92979" w:rsidRPr="005126CF" w14:paraId="226A2567" w14:textId="77777777" w:rsidTr="00D40A59">
        <w:trPr>
          <w:trHeight w:val="423"/>
        </w:trPr>
        <w:tc>
          <w:tcPr>
            <w:tcW w:w="1702" w:type="dxa"/>
            <w:vMerge/>
            <w:shd w:val="clear" w:color="auto" w:fill="auto"/>
          </w:tcPr>
          <w:p w14:paraId="303CF61A" w14:textId="77777777" w:rsidR="00C92979" w:rsidRPr="005126CF" w:rsidRDefault="00C92979" w:rsidP="00FC2D5B">
            <w:pPr>
              <w:jc w:val="both"/>
            </w:pPr>
          </w:p>
        </w:tc>
        <w:tc>
          <w:tcPr>
            <w:tcW w:w="8080" w:type="dxa"/>
            <w:shd w:val="clear" w:color="auto" w:fill="auto"/>
          </w:tcPr>
          <w:p w14:paraId="2DBA1724" w14:textId="77777777" w:rsidR="00C92979" w:rsidRPr="005126CF" w:rsidRDefault="00C92979" w:rsidP="00FC2D5B">
            <w:pPr>
              <w:jc w:val="both"/>
            </w:pPr>
            <w:r w:rsidRPr="005126CF">
              <w:t>7. Atsižvelgiant į tai, kad įstatymo projekto aiškinamajame rašte yra pateikiama Reglamento 21.2 papunktyje nurodyta informacija, siekiant išvengti informacijos dubliavimo, taupyti laiko ir žmogiškuosius išteklius, siūlytina įvertinti poreikį nustatyti išimtį, kad minėtame Reglamento punkte nurodyta informacija neturėtų būti pateikiama, jei teikiamas įstatymo projektas.</w:t>
            </w:r>
          </w:p>
        </w:tc>
        <w:tc>
          <w:tcPr>
            <w:tcW w:w="5386" w:type="dxa"/>
            <w:shd w:val="clear" w:color="auto" w:fill="auto"/>
          </w:tcPr>
          <w:p w14:paraId="7851668C" w14:textId="4BB2DEA1"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65D80BE8" w14:textId="32A673EE" w:rsidR="00C92979" w:rsidRPr="005126CF" w:rsidRDefault="00FC2D5B" w:rsidP="00FC2D5B">
            <w:pPr>
              <w:pStyle w:val="Paprastasistekstas"/>
              <w:jc w:val="both"/>
              <w:rPr>
                <w:rFonts w:ascii="Times New Roman" w:hAnsi="Times New Roman"/>
                <w:sz w:val="24"/>
                <w:szCs w:val="24"/>
              </w:rPr>
            </w:pPr>
            <w:r w:rsidRPr="005126CF">
              <w:rPr>
                <w:rFonts w:ascii="Times New Roman" w:hAnsi="Times New Roman"/>
                <w:bCs/>
                <w:sz w:val="24"/>
                <w:szCs w:val="24"/>
              </w:rPr>
              <w:t>1)</w:t>
            </w:r>
            <w:r w:rsidR="00C92979" w:rsidRPr="005126CF">
              <w:rPr>
                <w:rFonts w:ascii="Times New Roman" w:hAnsi="Times New Roman"/>
                <w:bCs/>
                <w:sz w:val="24"/>
                <w:szCs w:val="24"/>
              </w:rPr>
              <w:t xml:space="preserve"> Aiškinamojo rašto struktūra nėra pritaikyta vienoje vietoje pateikti ir matyti koncentruotą, esminę informaciją, reikalingą priimant sprendimus, ir sprendimų priėmėjai neturi fizinių galimybių operatyviai ją surasti ir su ja susipažinti. Tuo tarpu a</w:t>
            </w:r>
            <w:r w:rsidR="00C92979" w:rsidRPr="005126CF">
              <w:rPr>
                <w:rFonts w:ascii="Times New Roman" w:hAnsi="Times New Roman"/>
                <w:sz w:val="24"/>
                <w:szCs w:val="24"/>
              </w:rPr>
              <w:t>iškinamojo rašto reikalavimai ir struktūra yra numatyti Seimo statute, todėl Seimo statuto keitimas yra Seimo prerogatyva.</w:t>
            </w:r>
          </w:p>
          <w:p w14:paraId="2AC5B968" w14:textId="6F714D77" w:rsidR="00C92979" w:rsidRPr="005126CF" w:rsidRDefault="00FC2D5B" w:rsidP="00FC2D5B">
            <w:pPr>
              <w:pStyle w:val="Paprastasistekstas"/>
              <w:jc w:val="both"/>
              <w:rPr>
                <w:rFonts w:ascii="Times New Roman" w:hAnsi="Times New Roman"/>
                <w:sz w:val="24"/>
                <w:szCs w:val="24"/>
              </w:rPr>
            </w:pPr>
            <w:r w:rsidRPr="005126CF">
              <w:rPr>
                <w:rFonts w:ascii="Times New Roman" w:hAnsi="Times New Roman"/>
                <w:bCs/>
                <w:sz w:val="24"/>
                <w:szCs w:val="24"/>
              </w:rPr>
              <w:t xml:space="preserve">2) </w:t>
            </w:r>
            <w:r w:rsidR="00C92979" w:rsidRPr="005126CF">
              <w:rPr>
                <w:rFonts w:ascii="Times New Roman" w:hAnsi="Times New Roman"/>
                <w:bCs/>
                <w:sz w:val="24"/>
                <w:szCs w:val="24"/>
              </w:rPr>
              <w:t xml:space="preserve">Aiškinamųjų raštų kokybė yra nepakankama. Per daugelį metų susiformavo neigiama praktika </w:t>
            </w:r>
            <w:r w:rsidRPr="005126CF">
              <w:rPr>
                <w:rFonts w:ascii="Times New Roman" w:hAnsi="Times New Roman"/>
                <w:bCs/>
                <w:sz w:val="24"/>
                <w:szCs w:val="24"/>
              </w:rPr>
              <w:t>juose</w:t>
            </w:r>
            <w:r w:rsidR="00C92979" w:rsidRPr="005126CF">
              <w:rPr>
                <w:rFonts w:ascii="Times New Roman" w:hAnsi="Times New Roman"/>
                <w:bCs/>
                <w:sz w:val="24"/>
                <w:szCs w:val="24"/>
              </w:rPr>
              <w:t xml:space="preserve"> argumentus ir pagrindimą pakeisti kita informacija – kartoti teisės akto projekto nuostatas (dabartines ir siūlomas); </w:t>
            </w:r>
            <w:r w:rsidR="00F107D2" w:rsidRPr="005126CF">
              <w:rPr>
                <w:rFonts w:ascii="Times New Roman" w:hAnsi="Times New Roman"/>
                <w:bCs/>
                <w:sz w:val="24"/>
                <w:szCs w:val="24"/>
              </w:rPr>
              <w:t xml:space="preserve">plačiai </w:t>
            </w:r>
            <w:r w:rsidR="00C92979" w:rsidRPr="005126CF">
              <w:rPr>
                <w:rFonts w:ascii="Times New Roman" w:hAnsi="Times New Roman"/>
                <w:bCs/>
                <w:sz w:val="24"/>
                <w:szCs w:val="24"/>
              </w:rPr>
              <w:t>dėstyti juridinius pagrindus; objektyviai nevertinti galimų padarinių</w:t>
            </w:r>
            <w:r w:rsidR="00DC12DE" w:rsidRPr="005126CF">
              <w:rPr>
                <w:rFonts w:ascii="Times New Roman" w:hAnsi="Times New Roman"/>
                <w:bCs/>
                <w:sz w:val="24"/>
                <w:szCs w:val="24"/>
              </w:rPr>
              <w:t xml:space="preserve"> ir</w:t>
            </w:r>
            <w:r w:rsidR="00C92979" w:rsidRPr="005126CF">
              <w:rPr>
                <w:rFonts w:ascii="Times New Roman" w:hAnsi="Times New Roman"/>
                <w:bCs/>
                <w:sz w:val="24"/>
                <w:szCs w:val="24"/>
              </w:rPr>
              <w:t xml:space="preserve"> t.t. Taip pat atkreipiame dėmesį ir siūlome susipažinti su 2018 m. kovo 16 d. </w:t>
            </w:r>
            <w:r w:rsidR="00C92979" w:rsidRPr="005126CF">
              <w:rPr>
                <w:rFonts w:ascii="Times New Roman" w:hAnsi="Times New Roman"/>
                <w:bCs/>
                <w:sz w:val="24"/>
                <w:szCs w:val="24"/>
                <w:lang w:eastAsia="lt-LT"/>
              </w:rPr>
              <w:t>Valstybės kontrolės valstybinio audito „Teisėkūros procesas“ ataskaita Nr. VA-2018-P-40-6-2, kurioje pažymima, kad į</w:t>
            </w:r>
            <w:r w:rsidR="00C92979" w:rsidRPr="005126CF">
              <w:rPr>
                <w:rFonts w:ascii="Times New Roman" w:hAnsi="Times New Roman"/>
                <w:sz w:val="24"/>
                <w:szCs w:val="24"/>
              </w:rPr>
              <w:t>statymų projektų rengėjai aiškinamuosiuose raštuose nepakankamai argumentuoja ir pagrindžia galimas siūlomo teisinio reguliavimo teigiamas ar neigiamas pasekmes, įgyvendinimo kaštus.</w:t>
            </w:r>
          </w:p>
          <w:p w14:paraId="187D8529" w14:textId="69644DE4" w:rsidR="00C92979" w:rsidRPr="005126CF" w:rsidRDefault="00FC2D5B" w:rsidP="00FC2D5B">
            <w:pPr>
              <w:pStyle w:val="Paprastasistekstas"/>
              <w:jc w:val="both"/>
              <w:rPr>
                <w:rFonts w:ascii="Times New Roman" w:hAnsi="Times New Roman"/>
                <w:sz w:val="24"/>
                <w:szCs w:val="24"/>
              </w:rPr>
            </w:pPr>
            <w:r w:rsidRPr="005126CF">
              <w:rPr>
                <w:rFonts w:ascii="Times New Roman" w:hAnsi="Times New Roman"/>
                <w:sz w:val="24"/>
                <w:szCs w:val="24"/>
              </w:rPr>
              <w:t xml:space="preserve">3) </w:t>
            </w:r>
            <w:r w:rsidR="00C92979" w:rsidRPr="005126CF">
              <w:rPr>
                <w:rFonts w:ascii="Times New Roman" w:hAnsi="Times New Roman"/>
                <w:sz w:val="24"/>
                <w:szCs w:val="24"/>
              </w:rPr>
              <w:t>2018 m. vasario 8 d. Vyriausybės kanclerio pavedimu Nr. S-442 pavesta</w:t>
            </w:r>
            <w:r w:rsidR="00A23555" w:rsidRPr="005126CF">
              <w:rPr>
                <w:rFonts w:ascii="Times New Roman" w:hAnsi="Times New Roman"/>
                <w:sz w:val="24"/>
                <w:szCs w:val="24"/>
              </w:rPr>
              <w:t xml:space="preserve"> ministerijų kancleriams</w:t>
            </w:r>
            <w:r w:rsidR="00C92979" w:rsidRPr="005126CF">
              <w:rPr>
                <w:rFonts w:ascii="Times New Roman" w:hAnsi="Times New Roman"/>
                <w:sz w:val="24"/>
                <w:szCs w:val="24"/>
              </w:rPr>
              <w:t>: „Siekiant tinkamai įgyvendinti 2018</w:t>
            </w:r>
            <w:r w:rsidR="00CB6064" w:rsidRPr="005126CF">
              <w:rPr>
                <w:rFonts w:ascii="Times New Roman" w:hAnsi="Times New Roman"/>
                <w:sz w:val="24"/>
                <w:szCs w:val="24"/>
              </w:rPr>
              <w:t> </w:t>
            </w:r>
            <w:r w:rsidR="00C92979" w:rsidRPr="005126CF">
              <w:rPr>
                <w:rFonts w:ascii="Times New Roman" w:hAnsi="Times New Roman"/>
                <w:sz w:val="24"/>
                <w:szCs w:val="24"/>
              </w:rPr>
              <w:t xml:space="preserve">m. vasario 6 d. Vyriausybės kanclerio organizuotame tarpinstituciniame susitikime priimtus susitarimus dėl geresnio teisės aktų projektų analitinio pagrindimo, </w:t>
            </w:r>
            <w:r w:rsidR="00C92979" w:rsidRPr="005126CF">
              <w:rPr>
                <w:rFonts w:ascii="Times New Roman" w:hAnsi="Times New Roman"/>
                <w:sz w:val="24"/>
                <w:szCs w:val="24"/>
              </w:rPr>
              <w:lastRenderedPageBreak/>
              <w:t xml:space="preserve">prašome privalomai visų įstatymų projektų ir Jūsų sprendimu svarbių Vyriausybės nutarimų projektų teikimuose (lydraščiuose) pateikti aiškiai išskirtą glaustą informaciją apie: 1) sprendžiamą problemą, 2) siūlomas konkrečias priemones, 3) kaštus ir 4) naudą visuomenei, taip pat šią informaciją teikti ir įstatymų projektų aiškinamuosiuose raštuose“. Tokia praktika jau yra taikoma ir institucijos, teikdamos įstatymų projektus, pateikia Reglamento 21.2 papunktyje nurodytą informaciją. Todėl keičiant Reglamento nuostatas tik siekiama įteisinti jau šiuo metu taikomą praktiką.   </w:t>
            </w:r>
          </w:p>
        </w:tc>
      </w:tr>
      <w:tr w:rsidR="00C92979" w:rsidRPr="005126CF" w14:paraId="76A33C82" w14:textId="77777777" w:rsidTr="00D40A59">
        <w:trPr>
          <w:trHeight w:val="423"/>
        </w:trPr>
        <w:tc>
          <w:tcPr>
            <w:tcW w:w="1702" w:type="dxa"/>
            <w:vMerge/>
            <w:shd w:val="clear" w:color="auto" w:fill="auto"/>
          </w:tcPr>
          <w:p w14:paraId="5D299A09" w14:textId="77777777" w:rsidR="00C92979" w:rsidRPr="005126CF" w:rsidRDefault="00C92979" w:rsidP="00FC2D5B">
            <w:pPr>
              <w:jc w:val="both"/>
            </w:pPr>
          </w:p>
        </w:tc>
        <w:tc>
          <w:tcPr>
            <w:tcW w:w="8080" w:type="dxa"/>
            <w:shd w:val="clear" w:color="auto" w:fill="auto"/>
          </w:tcPr>
          <w:p w14:paraId="20073F43" w14:textId="77777777" w:rsidR="00C92979" w:rsidRPr="005126CF" w:rsidRDefault="00C92979" w:rsidP="00FC2D5B">
            <w:pPr>
              <w:jc w:val="both"/>
              <w:rPr>
                <w:lang w:val="en-US"/>
              </w:rPr>
            </w:pPr>
            <w:r w:rsidRPr="005126CF">
              <w:t>8. Teisėkūros pagrindų įstatymo 5 straipsnio 2 dalies 4 punkte nustatyta, kad Teisės aktų informacinėje sistemoje tvarkoma ir skelbiama informacija apie konsultavimąsi su visuomene, įskaitant konsultavimosi laiką, būdą, rezultatus. Teisėkūros pagrindų įstatymo 7 straipsnio 1 dalyje nustatyta, kad „konsultavimosi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 teikti pasiūlymus dėl Teisės aktų informacinėje sistemoje paskelbtų teisėkūros iniciatyvų ir teisės aktų projektų, taip pat dėl teisinio reguliavimo, kurio stebėsena atliekama“.</w:t>
            </w:r>
          </w:p>
          <w:p w14:paraId="5112A7B5" w14:textId="77777777" w:rsidR="00C92979" w:rsidRPr="005126CF" w:rsidRDefault="00C92979" w:rsidP="00FC2D5B">
            <w:pPr>
              <w:jc w:val="both"/>
              <w:rPr>
                <w:lang w:val="en-US"/>
              </w:rPr>
            </w:pPr>
            <w:r w:rsidRPr="005126CF">
              <w:t>Atsižvelgiant į tai, kas išdėstyta, Reglamento 21.8 ir 38.4 papunkčiuose siūlytina atsisakyti perteklinės informacijos nurodymo teikime, pvz., reikalavimo nurodyti konsultavimosi su visuomene tikslą, nes Teisėkūros pagrindų įstatymo 7 straipsnio 1 dalyje apibrėžtas konsultavimosi su visuomene tikslas, todėl neaišku, kokie papildomi konsultavimosi su visuomene tikslai dar galėtų būti nurodyti be jau nustatytų.</w:t>
            </w:r>
          </w:p>
          <w:p w14:paraId="53B8B7B3" w14:textId="77777777" w:rsidR="00C92979" w:rsidRPr="005126CF" w:rsidRDefault="00C92979" w:rsidP="00FC2D5B">
            <w:pPr>
              <w:jc w:val="both"/>
            </w:pPr>
            <w:r w:rsidRPr="005126CF">
              <w:t xml:space="preserve">Kartu siūlytina tikslinti ir Reglamento 38.4 papunktį, nustatant, kad teikime Vyriausybei turi būti pateikiama informacija apie konsultavimosi su visuomene rezultatus, atsižvelgiant į tai, kad pagal Teisėkūros pagrindų įstatymo 7 straipsnio 3 dalį „informacija apie konsultavimosi su visuomene rezultatus turi būti teikiama teisės aktą priimančiam subjektui,“ o pagal minėto įstatymo 17 straipsnio 5 dalį, „kai dėl teisės akto projekto buvo konsultuotasi su visuomene, </w:t>
            </w:r>
            <w:r w:rsidRPr="005126CF">
              <w:lastRenderedPageBreak/>
              <w:t>konsultavimosi su visuomene rezultatai, taip pat subjektų, kuriems teisės akto projektas buvo teikiamas išvadoms gauti, gautų pastabų ir pasiūlymų įvertinimas turi būti pateikti teisės aktą priimančiam subjektui.“</w:t>
            </w:r>
          </w:p>
        </w:tc>
        <w:tc>
          <w:tcPr>
            <w:tcW w:w="5386" w:type="dxa"/>
            <w:shd w:val="clear" w:color="auto" w:fill="auto"/>
          </w:tcPr>
          <w:p w14:paraId="706C2BE9" w14:textId="16BFF6BC"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00DD7A57" w14:textId="15F0D225" w:rsidR="00C92979" w:rsidRPr="005126CF" w:rsidRDefault="00C92979" w:rsidP="00FC2D5B">
            <w:pPr>
              <w:pStyle w:val="Paprastasistekstas"/>
              <w:jc w:val="both"/>
              <w:rPr>
                <w:rFonts w:ascii="Times New Roman" w:hAnsi="Times New Roman"/>
                <w:bCs/>
                <w:sz w:val="24"/>
                <w:szCs w:val="24"/>
              </w:rPr>
            </w:pPr>
            <w:r w:rsidRPr="005126CF">
              <w:rPr>
                <w:rFonts w:ascii="Times New Roman" w:hAnsi="Times New Roman"/>
                <w:bCs/>
                <w:sz w:val="24"/>
                <w:szCs w:val="24"/>
              </w:rPr>
              <w:t>Teikime Vyriausybei siūloma nurodyti ne Teisėkūros pagrindų įstatyme apibrėžtą konsultavimosi su visuomene tikslą, tačiau konkretų klausimą/</w:t>
            </w:r>
            <w:r w:rsidR="00FC0D99" w:rsidRPr="005126CF">
              <w:rPr>
                <w:rFonts w:ascii="Times New Roman" w:hAnsi="Times New Roman"/>
                <w:bCs/>
                <w:sz w:val="24"/>
                <w:szCs w:val="24"/>
              </w:rPr>
              <w:t xml:space="preserve"> </w:t>
            </w:r>
            <w:r w:rsidRPr="005126CF">
              <w:rPr>
                <w:rFonts w:ascii="Times New Roman" w:hAnsi="Times New Roman"/>
                <w:bCs/>
                <w:sz w:val="24"/>
                <w:szCs w:val="24"/>
              </w:rPr>
              <w:t>uždavinį dėl kurio buvo vykdoma konsultacija su visuomene.</w:t>
            </w:r>
          </w:p>
          <w:p w14:paraId="7D825DE2" w14:textId="6C2E0DDD" w:rsidR="00C92979" w:rsidRPr="005126CF" w:rsidRDefault="00C92979" w:rsidP="00FC2D5B">
            <w:pPr>
              <w:pStyle w:val="Paprastasistekstas"/>
              <w:jc w:val="both"/>
              <w:rPr>
                <w:rFonts w:ascii="Times New Roman" w:hAnsi="Times New Roman"/>
                <w:bCs/>
                <w:color w:val="FF0000"/>
                <w:sz w:val="24"/>
                <w:szCs w:val="24"/>
              </w:rPr>
            </w:pPr>
          </w:p>
          <w:p w14:paraId="0D58A655" w14:textId="77777777" w:rsidR="00C92979" w:rsidRPr="005126CF" w:rsidRDefault="00C92979" w:rsidP="00FC2D5B">
            <w:pPr>
              <w:pStyle w:val="Paprastasistekstas"/>
              <w:jc w:val="both"/>
              <w:rPr>
                <w:rFonts w:ascii="Times New Roman" w:hAnsi="Times New Roman"/>
                <w:bCs/>
                <w:sz w:val="24"/>
                <w:szCs w:val="24"/>
              </w:rPr>
            </w:pPr>
          </w:p>
          <w:p w14:paraId="1CF1CED7" w14:textId="77777777" w:rsidR="00C92979" w:rsidRPr="005126CF" w:rsidRDefault="00C92979" w:rsidP="00FC2D5B">
            <w:pPr>
              <w:pStyle w:val="Paprastasistekstas"/>
              <w:jc w:val="both"/>
              <w:rPr>
                <w:rFonts w:ascii="Times New Roman" w:hAnsi="Times New Roman"/>
                <w:bCs/>
                <w:sz w:val="24"/>
                <w:szCs w:val="24"/>
              </w:rPr>
            </w:pPr>
          </w:p>
          <w:p w14:paraId="0398DE48" w14:textId="77777777" w:rsidR="00C92979" w:rsidRPr="005126CF" w:rsidRDefault="00C92979" w:rsidP="00FC2D5B">
            <w:pPr>
              <w:pStyle w:val="Paprastasistekstas"/>
              <w:jc w:val="both"/>
              <w:rPr>
                <w:rFonts w:ascii="Times New Roman" w:hAnsi="Times New Roman"/>
                <w:bCs/>
                <w:sz w:val="24"/>
                <w:szCs w:val="24"/>
              </w:rPr>
            </w:pPr>
          </w:p>
          <w:p w14:paraId="1A943146" w14:textId="77777777" w:rsidR="00C92979" w:rsidRPr="005126CF" w:rsidRDefault="00C92979" w:rsidP="00FC2D5B">
            <w:pPr>
              <w:pStyle w:val="Paprastasistekstas"/>
              <w:jc w:val="both"/>
              <w:rPr>
                <w:rFonts w:ascii="Times New Roman" w:hAnsi="Times New Roman"/>
                <w:bCs/>
                <w:sz w:val="24"/>
                <w:szCs w:val="24"/>
              </w:rPr>
            </w:pPr>
          </w:p>
          <w:p w14:paraId="4232F7FC" w14:textId="77777777" w:rsidR="00C92979" w:rsidRPr="005126CF" w:rsidRDefault="00C92979" w:rsidP="00FC2D5B">
            <w:pPr>
              <w:pStyle w:val="Paprastasistekstas"/>
              <w:jc w:val="both"/>
              <w:rPr>
                <w:rFonts w:ascii="Times New Roman" w:hAnsi="Times New Roman"/>
                <w:bCs/>
                <w:sz w:val="24"/>
                <w:szCs w:val="24"/>
              </w:rPr>
            </w:pPr>
          </w:p>
          <w:p w14:paraId="3860692C" w14:textId="77777777" w:rsidR="00C92979" w:rsidRPr="005126CF" w:rsidRDefault="00C92979" w:rsidP="00FC2D5B">
            <w:pPr>
              <w:pStyle w:val="Paprastasistekstas"/>
              <w:jc w:val="both"/>
              <w:rPr>
                <w:rFonts w:ascii="Times New Roman" w:hAnsi="Times New Roman"/>
                <w:bCs/>
                <w:sz w:val="24"/>
                <w:szCs w:val="24"/>
              </w:rPr>
            </w:pPr>
          </w:p>
          <w:p w14:paraId="65AF82AA" w14:textId="77777777" w:rsidR="00C92979" w:rsidRPr="005126CF" w:rsidRDefault="00C92979" w:rsidP="00FC2D5B">
            <w:pPr>
              <w:pStyle w:val="Paprastasistekstas"/>
              <w:jc w:val="both"/>
              <w:rPr>
                <w:rFonts w:ascii="Times New Roman" w:hAnsi="Times New Roman"/>
                <w:bCs/>
                <w:sz w:val="24"/>
                <w:szCs w:val="24"/>
              </w:rPr>
            </w:pPr>
          </w:p>
          <w:p w14:paraId="1934B11E" w14:textId="2DFC1921" w:rsidR="00C92979" w:rsidRPr="005126CF" w:rsidRDefault="00C92979" w:rsidP="00FC2D5B">
            <w:pPr>
              <w:pStyle w:val="Paprastasistekstas"/>
              <w:jc w:val="both"/>
              <w:rPr>
                <w:rFonts w:ascii="Times New Roman" w:hAnsi="Times New Roman"/>
                <w:bCs/>
                <w:sz w:val="24"/>
                <w:szCs w:val="24"/>
              </w:rPr>
            </w:pPr>
          </w:p>
          <w:p w14:paraId="3B5CCFF8" w14:textId="3442ED28" w:rsidR="006D0E97" w:rsidRPr="005126CF" w:rsidRDefault="006D0E97" w:rsidP="00FC2D5B">
            <w:pPr>
              <w:pStyle w:val="Paprastasistekstas"/>
              <w:jc w:val="both"/>
              <w:rPr>
                <w:rFonts w:ascii="Times New Roman" w:hAnsi="Times New Roman"/>
                <w:bCs/>
                <w:sz w:val="24"/>
                <w:szCs w:val="24"/>
              </w:rPr>
            </w:pPr>
          </w:p>
          <w:p w14:paraId="0690E084" w14:textId="77777777" w:rsidR="00D40A59" w:rsidRPr="005126CF" w:rsidRDefault="00D40A59" w:rsidP="00FC2D5B">
            <w:pPr>
              <w:pStyle w:val="Paprastasistekstas"/>
              <w:jc w:val="both"/>
              <w:rPr>
                <w:rFonts w:ascii="Times New Roman" w:hAnsi="Times New Roman"/>
                <w:bCs/>
                <w:sz w:val="24"/>
                <w:szCs w:val="24"/>
              </w:rPr>
            </w:pPr>
          </w:p>
          <w:p w14:paraId="0CBD7236" w14:textId="28176D81" w:rsidR="00324450" w:rsidRPr="005126CF" w:rsidRDefault="00324450" w:rsidP="00FC2D5B">
            <w:pPr>
              <w:pStyle w:val="Paprastasistekstas"/>
              <w:jc w:val="both"/>
              <w:rPr>
                <w:rFonts w:ascii="Times New Roman" w:hAnsi="Times New Roman"/>
                <w:b/>
                <w:bCs/>
                <w:sz w:val="24"/>
                <w:szCs w:val="24"/>
              </w:rPr>
            </w:pPr>
          </w:p>
          <w:p w14:paraId="5F3B07B3" w14:textId="4898B7C2" w:rsidR="00C92979" w:rsidRPr="005126CF" w:rsidRDefault="00C92979" w:rsidP="00FC2D5B">
            <w:pPr>
              <w:pStyle w:val="Paprastasistekstas"/>
              <w:jc w:val="both"/>
              <w:rPr>
                <w:rFonts w:ascii="Times New Roman" w:hAnsi="Times New Roman"/>
                <w:bCs/>
                <w:sz w:val="24"/>
                <w:szCs w:val="24"/>
              </w:rPr>
            </w:pPr>
            <w:r w:rsidRPr="005126CF">
              <w:rPr>
                <w:rFonts w:ascii="Times New Roman" w:hAnsi="Times New Roman"/>
                <w:bCs/>
                <w:sz w:val="24"/>
                <w:szCs w:val="24"/>
              </w:rPr>
              <w:t>Teikime Vyriausybei (</w:t>
            </w:r>
            <w:r w:rsidR="00B77F2C" w:rsidRPr="005126CF">
              <w:rPr>
                <w:rFonts w:ascii="Times New Roman" w:hAnsi="Times New Roman"/>
                <w:bCs/>
                <w:sz w:val="24"/>
                <w:szCs w:val="24"/>
              </w:rPr>
              <w:t xml:space="preserve">Reglamento </w:t>
            </w:r>
            <w:r w:rsidR="00EF11ED" w:rsidRPr="005126CF">
              <w:rPr>
                <w:rFonts w:ascii="Times New Roman" w:hAnsi="Times New Roman"/>
                <w:bCs/>
                <w:sz w:val="24"/>
                <w:szCs w:val="24"/>
              </w:rPr>
              <w:t>3</w:t>
            </w:r>
            <w:r w:rsidRPr="005126CF">
              <w:rPr>
                <w:rFonts w:ascii="Times New Roman" w:hAnsi="Times New Roman"/>
                <w:bCs/>
                <w:sz w:val="24"/>
                <w:szCs w:val="24"/>
              </w:rPr>
              <w:t>8.4 papunktis) siūloma nurodyti konsultacijos metu gautus suinteresuotų asmenų pasiūlymus ir šių pasiūlymų įvertinimą, kas ir  laikytina konsultacijos rezultatais.</w:t>
            </w:r>
          </w:p>
        </w:tc>
      </w:tr>
      <w:tr w:rsidR="00C92979" w:rsidRPr="005126CF" w14:paraId="018DB0E0" w14:textId="77777777" w:rsidTr="00D40A59">
        <w:trPr>
          <w:trHeight w:val="423"/>
        </w:trPr>
        <w:tc>
          <w:tcPr>
            <w:tcW w:w="1702" w:type="dxa"/>
            <w:vMerge/>
            <w:shd w:val="clear" w:color="auto" w:fill="auto"/>
          </w:tcPr>
          <w:p w14:paraId="6F55494D" w14:textId="77777777" w:rsidR="00C92979" w:rsidRPr="005126CF" w:rsidRDefault="00C92979" w:rsidP="00FC2D5B">
            <w:pPr>
              <w:jc w:val="both"/>
            </w:pPr>
          </w:p>
        </w:tc>
        <w:tc>
          <w:tcPr>
            <w:tcW w:w="8080" w:type="dxa"/>
            <w:shd w:val="clear" w:color="auto" w:fill="auto"/>
          </w:tcPr>
          <w:p w14:paraId="35E9F567" w14:textId="77777777" w:rsidR="00C92979" w:rsidRPr="005126CF" w:rsidRDefault="00C92979" w:rsidP="00FC2D5B">
            <w:pPr>
              <w:jc w:val="both"/>
              <w:rPr>
                <w:lang w:val="en-US"/>
              </w:rPr>
            </w:pPr>
            <w:r w:rsidRPr="005126CF">
              <w:t>9. Siūlytina įvertinti Reglamento 27 punkto ketvirtojoje pastraipoje siūlomo įtvirtinti teisinio reguliavimo logiškumą ir tikslingumą, nes:</w:t>
            </w:r>
          </w:p>
          <w:p w14:paraId="6B782F95" w14:textId="77777777" w:rsidR="00C92979" w:rsidRPr="005126CF" w:rsidRDefault="00C92979" w:rsidP="00FC2D5B">
            <w:pPr>
              <w:jc w:val="both"/>
              <w:rPr>
                <w:lang w:val="en-US"/>
              </w:rPr>
            </w:pPr>
            <w:r w:rsidRPr="005126CF">
              <w:t>9.1.  pagal Reglamento 12</w:t>
            </w:r>
            <w:r w:rsidRPr="005126CF">
              <w:rPr>
                <w:vertAlign w:val="superscript"/>
              </w:rPr>
              <w:t>2</w:t>
            </w:r>
            <w:r w:rsidRPr="005126CF">
              <w:t xml:space="preserve"> punktą išvadas teikiantys subjektai – valstybės institucijos – bus laikomos ir suinteresuotais asmenimis, kuriems turėtų būti taikomas minimalus 10 darbo dienų derinimo terminas, ir išvadas teikiančiais subjektais Reglamento 18 punkto prasme, kuriems taikomas Reglamento 27 punkto pirmojoje pastraipoje nustatytas derinimo terminas. Manytina, kad netikslinga nustatyti skirtingų derinimo terminų atskiroms suinteresuotų subjektų grupėms, nes, nesulaukus visų suinteresuotų subjektų išvadų, teisės akto projekto tikslinimas nėra tikslingas ir teisės akto projekto teikimas tolesniam derinimui negalimas;</w:t>
            </w:r>
          </w:p>
          <w:p w14:paraId="7CC645AF" w14:textId="64C98F6E" w:rsidR="00C92979" w:rsidRPr="005126CF" w:rsidRDefault="00C92979" w:rsidP="00FC2D5B">
            <w:pPr>
              <w:jc w:val="both"/>
              <w:rPr>
                <w:lang w:val="en-US"/>
              </w:rPr>
            </w:pPr>
            <w:r w:rsidRPr="005126CF">
              <w:t xml:space="preserve">9.2.  iš siūlomos nuostatos neaišku, koks derinimo terminas nustatytinas teisės aktų projektams, kuriais atliekami redakciniai ir (ar) teisės technikos pakeitimai. Visgi pažymėtina, kad ir nurodytiems pakeitimams įvertinti reikalingas protingas terminas, ypač, kai teikiami teisės aktų projektų paketai. </w:t>
            </w:r>
          </w:p>
          <w:p w14:paraId="5D6C53C4" w14:textId="77777777" w:rsidR="00C92979" w:rsidRPr="005126CF" w:rsidRDefault="00C92979" w:rsidP="00FC2D5B">
            <w:pPr>
              <w:jc w:val="both"/>
            </w:pPr>
            <w:r w:rsidRPr="005126CF">
              <w:t>Atsižvelgiant į tai, kas išdėstyta, siūlytina atsisakyti Reglamento 27 punkto ketvirtosios pastraipos ir, esant poreikiui nustatyti ilgesnį minimalų teisės aktų projektų derinimo terminą, atitinkamai patikslinant Reglamento 27 punkto pirmąją ir antrąją pastraipas.</w:t>
            </w:r>
          </w:p>
        </w:tc>
        <w:tc>
          <w:tcPr>
            <w:tcW w:w="5386" w:type="dxa"/>
            <w:shd w:val="clear" w:color="auto" w:fill="auto"/>
          </w:tcPr>
          <w:p w14:paraId="09992C14" w14:textId="08312218" w:rsidR="00EC7A6E" w:rsidRPr="005126CF" w:rsidRDefault="00C55159" w:rsidP="00FC2D5B">
            <w:pPr>
              <w:pStyle w:val="Paprastasistekstas"/>
              <w:jc w:val="both"/>
              <w:rPr>
                <w:rFonts w:ascii="Times New Roman" w:hAnsi="Times New Roman"/>
                <w:bCs/>
                <w:sz w:val="24"/>
                <w:szCs w:val="24"/>
              </w:rPr>
            </w:pPr>
            <w:r w:rsidRPr="005126CF">
              <w:rPr>
                <w:rFonts w:ascii="Times New Roman" w:hAnsi="Times New Roman"/>
                <w:b/>
                <w:bCs/>
                <w:sz w:val="24"/>
                <w:szCs w:val="24"/>
              </w:rPr>
              <w:t>Atsižvelgta iš dalies</w:t>
            </w:r>
          </w:p>
          <w:p w14:paraId="5C44793B" w14:textId="069FED48" w:rsidR="00C55159" w:rsidRPr="005126CF" w:rsidRDefault="00C55159" w:rsidP="00FC2D5B">
            <w:pPr>
              <w:pStyle w:val="Paprastasistekstas"/>
              <w:shd w:val="clear" w:color="auto" w:fill="FFFFFF" w:themeFill="background1"/>
              <w:jc w:val="both"/>
              <w:rPr>
                <w:rFonts w:ascii="Times New Roman" w:hAnsi="Times New Roman"/>
                <w:bCs/>
                <w:sz w:val="24"/>
                <w:szCs w:val="24"/>
              </w:rPr>
            </w:pPr>
            <w:r w:rsidRPr="005126CF">
              <w:rPr>
                <w:rFonts w:ascii="Times New Roman" w:hAnsi="Times New Roman"/>
                <w:bCs/>
                <w:sz w:val="24"/>
                <w:szCs w:val="24"/>
              </w:rPr>
              <w:t xml:space="preserve">Siekiant aiškumo </w:t>
            </w:r>
            <w:r w:rsidR="00B77F2C" w:rsidRPr="005126CF">
              <w:rPr>
                <w:rFonts w:ascii="Times New Roman" w:hAnsi="Times New Roman"/>
                <w:bCs/>
                <w:sz w:val="24"/>
                <w:szCs w:val="24"/>
              </w:rPr>
              <w:t xml:space="preserve">Reglamento </w:t>
            </w:r>
            <w:r w:rsidRPr="005126CF">
              <w:rPr>
                <w:rFonts w:ascii="Times New Roman" w:hAnsi="Times New Roman"/>
                <w:bCs/>
                <w:sz w:val="24"/>
                <w:szCs w:val="24"/>
              </w:rPr>
              <w:t xml:space="preserve">27 p. ketvirtoji pastraipa išdėstyta </w:t>
            </w:r>
            <w:r w:rsidR="00B77F2C" w:rsidRPr="005126CF">
              <w:rPr>
                <w:rFonts w:ascii="Times New Roman" w:hAnsi="Times New Roman"/>
                <w:bCs/>
                <w:sz w:val="24"/>
                <w:szCs w:val="24"/>
              </w:rPr>
              <w:t>kaip atskiras Reglamento 27</w:t>
            </w:r>
            <w:r w:rsidR="00B77F2C" w:rsidRPr="005126CF">
              <w:rPr>
                <w:rFonts w:ascii="Times New Roman" w:hAnsi="Times New Roman"/>
                <w:bCs/>
                <w:sz w:val="24"/>
                <w:szCs w:val="24"/>
                <w:vertAlign w:val="superscript"/>
              </w:rPr>
              <w:t>1</w:t>
            </w:r>
            <w:r w:rsidR="004C4A2D" w:rsidRPr="005126CF">
              <w:rPr>
                <w:rFonts w:ascii="Times New Roman" w:hAnsi="Times New Roman"/>
                <w:bCs/>
                <w:sz w:val="24"/>
                <w:szCs w:val="24"/>
                <w:vertAlign w:val="superscript"/>
              </w:rPr>
              <w:t> </w:t>
            </w:r>
            <w:r w:rsidR="00B77F2C" w:rsidRPr="005126CF">
              <w:rPr>
                <w:rFonts w:ascii="Times New Roman" w:hAnsi="Times New Roman"/>
                <w:bCs/>
                <w:sz w:val="24"/>
                <w:szCs w:val="24"/>
              </w:rPr>
              <w:t>p.</w:t>
            </w:r>
          </w:p>
          <w:p w14:paraId="543CABD1" w14:textId="338EF017" w:rsidR="00EC7A6E" w:rsidRPr="005126CF" w:rsidRDefault="00EC7A6E" w:rsidP="00FC2D5B">
            <w:pPr>
              <w:pStyle w:val="Paprastasistekstas"/>
              <w:shd w:val="clear" w:color="auto" w:fill="FFFFFF" w:themeFill="background1"/>
              <w:jc w:val="both"/>
              <w:rPr>
                <w:rFonts w:ascii="Times New Roman" w:hAnsi="Times New Roman"/>
                <w:sz w:val="24"/>
                <w:szCs w:val="24"/>
              </w:rPr>
            </w:pPr>
            <w:r w:rsidRPr="005126CF">
              <w:rPr>
                <w:rFonts w:ascii="Times New Roman" w:hAnsi="Times New Roman"/>
                <w:bCs/>
                <w:sz w:val="24"/>
                <w:szCs w:val="24"/>
              </w:rPr>
              <w:t xml:space="preserve">Reglamento </w:t>
            </w:r>
            <w:r w:rsidRPr="005126CF">
              <w:rPr>
                <w:rFonts w:ascii="Times New Roman" w:hAnsi="Times New Roman"/>
                <w:sz w:val="24"/>
                <w:szCs w:val="24"/>
              </w:rPr>
              <w:t>12</w:t>
            </w:r>
            <w:r w:rsidR="009E1EAD" w:rsidRPr="005126CF">
              <w:rPr>
                <w:rFonts w:ascii="Times New Roman" w:hAnsi="Times New Roman"/>
                <w:sz w:val="24"/>
                <w:szCs w:val="24"/>
                <w:vertAlign w:val="superscript"/>
              </w:rPr>
              <w:t>1</w:t>
            </w:r>
            <w:r w:rsidRPr="005126CF">
              <w:rPr>
                <w:rFonts w:ascii="Times New Roman" w:hAnsi="Times New Roman"/>
                <w:sz w:val="24"/>
                <w:szCs w:val="24"/>
              </w:rPr>
              <w:t xml:space="preserve"> p</w:t>
            </w:r>
            <w:r w:rsidR="00C55159" w:rsidRPr="005126CF">
              <w:rPr>
                <w:rFonts w:ascii="Times New Roman" w:hAnsi="Times New Roman"/>
                <w:sz w:val="24"/>
                <w:szCs w:val="24"/>
              </w:rPr>
              <w:t>.</w:t>
            </w:r>
            <w:r w:rsidRPr="005126CF">
              <w:rPr>
                <w:rFonts w:ascii="Times New Roman" w:hAnsi="Times New Roman"/>
                <w:sz w:val="24"/>
                <w:szCs w:val="24"/>
              </w:rPr>
              <w:t xml:space="preserve"> skirtas įtvirtinti bendrą ir horizontalų konsultavimosi su visuomene principą rengiant sprendimų (įskaitant ir teisės aktų) projektus</w:t>
            </w:r>
            <w:r w:rsidR="00C55159" w:rsidRPr="005126CF">
              <w:rPr>
                <w:rFonts w:ascii="Times New Roman" w:hAnsi="Times New Roman"/>
                <w:sz w:val="24"/>
                <w:szCs w:val="24"/>
              </w:rPr>
              <w:t>.</w:t>
            </w:r>
            <w:r w:rsidRPr="005126CF">
              <w:rPr>
                <w:rFonts w:ascii="Times New Roman" w:hAnsi="Times New Roman"/>
                <w:sz w:val="24"/>
                <w:szCs w:val="24"/>
              </w:rPr>
              <w:t xml:space="preserve"> </w:t>
            </w:r>
            <w:r w:rsidR="00C55159" w:rsidRPr="005126CF">
              <w:rPr>
                <w:rFonts w:ascii="Times New Roman" w:hAnsi="Times New Roman"/>
                <w:sz w:val="24"/>
                <w:szCs w:val="24"/>
              </w:rPr>
              <w:t>Š</w:t>
            </w:r>
            <w:r w:rsidRPr="005126CF">
              <w:rPr>
                <w:rFonts w:ascii="Times New Roman" w:hAnsi="Times New Roman"/>
                <w:sz w:val="24"/>
                <w:szCs w:val="24"/>
              </w:rPr>
              <w:t xml:space="preserve">i nuostata nesietina su terminais, kurie yra nustatomi </w:t>
            </w:r>
            <w:r w:rsidR="00C55159" w:rsidRPr="005126CF">
              <w:rPr>
                <w:rFonts w:ascii="Times New Roman" w:hAnsi="Times New Roman"/>
                <w:sz w:val="24"/>
                <w:szCs w:val="24"/>
              </w:rPr>
              <w:t>kituose</w:t>
            </w:r>
            <w:r w:rsidRPr="005126CF">
              <w:rPr>
                <w:rFonts w:ascii="Times New Roman" w:hAnsi="Times New Roman"/>
                <w:sz w:val="24"/>
                <w:szCs w:val="24"/>
              </w:rPr>
              <w:t xml:space="preserve"> Reglamento punktuose. Reglamento 27 p</w:t>
            </w:r>
            <w:r w:rsidR="00C55159" w:rsidRPr="005126CF">
              <w:rPr>
                <w:rFonts w:ascii="Times New Roman" w:hAnsi="Times New Roman"/>
                <w:sz w:val="24"/>
                <w:szCs w:val="24"/>
              </w:rPr>
              <w:t>.</w:t>
            </w:r>
            <w:r w:rsidRPr="005126CF">
              <w:rPr>
                <w:rFonts w:ascii="Times New Roman" w:hAnsi="Times New Roman"/>
                <w:sz w:val="24"/>
                <w:szCs w:val="24"/>
              </w:rPr>
              <w:t xml:space="preserve"> </w:t>
            </w:r>
            <w:r w:rsidR="00C55159" w:rsidRPr="005126CF">
              <w:rPr>
                <w:rFonts w:ascii="Times New Roman" w:hAnsi="Times New Roman"/>
                <w:sz w:val="24"/>
                <w:szCs w:val="24"/>
              </w:rPr>
              <w:t>pirmojoje</w:t>
            </w:r>
            <w:r w:rsidR="00B77F2C" w:rsidRPr="005126CF">
              <w:rPr>
                <w:rFonts w:ascii="Times New Roman" w:hAnsi="Times New Roman"/>
                <w:sz w:val="24"/>
                <w:szCs w:val="24"/>
              </w:rPr>
              <w:t>, antrojoje (trečioji pastraipa siūloma pripažinti netekusia galios</w:t>
            </w:r>
            <w:r w:rsidR="006A7A10" w:rsidRPr="005126CF">
              <w:rPr>
                <w:rFonts w:ascii="Times New Roman" w:hAnsi="Times New Roman"/>
                <w:sz w:val="24"/>
                <w:szCs w:val="24"/>
              </w:rPr>
              <w:t xml:space="preserve"> derinant su Vyriausybės įstatymo 38 str. 2 d.</w:t>
            </w:r>
            <w:r w:rsidR="00B77F2C" w:rsidRPr="005126CF">
              <w:rPr>
                <w:rFonts w:ascii="Times New Roman" w:hAnsi="Times New Roman"/>
                <w:sz w:val="24"/>
                <w:szCs w:val="24"/>
              </w:rPr>
              <w:t xml:space="preserve">) </w:t>
            </w:r>
            <w:r w:rsidRPr="005126CF">
              <w:rPr>
                <w:rFonts w:ascii="Times New Roman" w:hAnsi="Times New Roman"/>
                <w:sz w:val="24"/>
                <w:szCs w:val="24"/>
              </w:rPr>
              <w:t xml:space="preserve"> pastraipose kalbama apie išvadas teikiančius subjektus, kurie turi pareigą pateikti išvadas dėl teisės akto projekto Reglamento nustatyta tvarka. Tuo tarpu naujame 27</w:t>
            </w:r>
            <w:r w:rsidRPr="005126CF">
              <w:rPr>
                <w:rFonts w:ascii="Times New Roman" w:hAnsi="Times New Roman"/>
                <w:sz w:val="24"/>
                <w:szCs w:val="24"/>
                <w:vertAlign w:val="superscript"/>
              </w:rPr>
              <w:t>1</w:t>
            </w:r>
            <w:r w:rsidRPr="005126CF">
              <w:rPr>
                <w:rFonts w:ascii="Times New Roman" w:hAnsi="Times New Roman"/>
                <w:sz w:val="24"/>
                <w:szCs w:val="24"/>
              </w:rPr>
              <w:t xml:space="preserve"> p</w:t>
            </w:r>
            <w:r w:rsidR="00C55159" w:rsidRPr="005126CF">
              <w:rPr>
                <w:rFonts w:ascii="Times New Roman" w:hAnsi="Times New Roman"/>
                <w:sz w:val="24"/>
                <w:szCs w:val="24"/>
              </w:rPr>
              <w:t>.</w:t>
            </w:r>
            <w:r w:rsidRPr="005126CF">
              <w:rPr>
                <w:rFonts w:ascii="Times New Roman" w:hAnsi="Times New Roman"/>
                <w:sz w:val="24"/>
                <w:szCs w:val="24"/>
              </w:rPr>
              <w:t xml:space="preserve"> kalbama apie visus kitus galimus suinteresuotus asmenis, kurie nebuvo pažymėti kaip išvadas teikiantys subjektai.</w:t>
            </w:r>
          </w:p>
          <w:p w14:paraId="1FD67686" w14:textId="2EAC62D6" w:rsidR="00C92979" w:rsidRPr="005126CF" w:rsidRDefault="00AD1D62" w:rsidP="00EC7CD5">
            <w:pPr>
              <w:pStyle w:val="Paprastasistekstas"/>
              <w:shd w:val="clear" w:color="auto" w:fill="FFFFFF" w:themeFill="background1"/>
              <w:jc w:val="both"/>
              <w:rPr>
                <w:rFonts w:ascii="Times New Roman" w:hAnsi="Times New Roman"/>
                <w:bCs/>
                <w:sz w:val="24"/>
                <w:szCs w:val="24"/>
                <w:highlight w:val="yellow"/>
              </w:rPr>
            </w:pPr>
            <w:r w:rsidRPr="005126CF">
              <w:rPr>
                <w:rFonts w:ascii="Times New Roman" w:hAnsi="Times New Roman"/>
                <w:sz w:val="24"/>
                <w:szCs w:val="24"/>
              </w:rPr>
              <w:t xml:space="preserve">Taip pat </w:t>
            </w:r>
            <w:r w:rsidR="00A57D54" w:rsidRPr="005126CF">
              <w:rPr>
                <w:rFonts w:ascii="Times New Roman" w:hAnsi="Times New Roman"/>
                <w:bCs/>
                <w:sz w:val="24"/>
                <w:szCs w:val="24"/>
              </w:rPr>
              <w:t>žiūrėti į pateiktus argumentus prie Vidaus reikalų ministerijos pastabos Nr. 7.</w:t>
            </w:r>
          </w:p>
        </w:tc>
      </w:tr>
      <w:tr w:rsidR="00C92979" w:rsidRPr="005126CF" w14:paraId="0248CB1F" w14:textId="77777777" w:rsidTr="00D40A59">
        <w:trPr>
          <w:trHeight w:val="423"/>
        </w:trPr>
        <w:tc>
          <w:tcPr>
            <w:tcW w:w="1702" w:type="dxa"/>
            <w:vMerge/>
            <w:shd w:val="clear" w:color="auto" w:fill="auto"/>
          </w:tcPr>
          <w:p w14:paraId="0C66A03A" w14:textId="77777777" w:rsidR="00C92979" w:rsidRPr="005126CF" w:rsidRDefault="00C92979" w:rsidP="00FC2D5B">
            <w:pPr>
              <w:jc w:val="both"/>
            </w:pPr>
          </w:p>
        </w:tc>
        <w:tc>
          <w:tcPr>
            <w:tcW w:w="8080" w:type="dxa"/>
            <w:shd w:val="clear" w:color="auto" w:fill="auto"/>
          </w:tcPr>
          <w:p w14:paraId="581D7ABB" w14:textId="77777777" w:rsidR="00C92979" w:rsidRPr="005126CF" w:rsidRDefault="00C92979" w:rsidP="00FC2D5B">
            <w:pPr>
              <w:jc w:val="both"/>
            </w:pPr>
            <w:r w:rsidRPr="005126CF">
              <w:t>12. Atsižvelgiant į Reglamento 60 punkto trečiosios pastraipos pakeitimą, siūlytina atitinkamai patikslinti ir ketvirtojoje pastraipoje vartojamą frazę „neįtraukiami teisės aktų projektai“.</w:t>
            </w:r>
          </w:p>
        </w:tc>
        <w:tc>
          <w:tcPr>
            <w:tcW w:w="5386" w:type="dxa"/>
            <w:shd w:val="clear" w:color="auto" w:fill="auto"/>
          </w:tcPr>
          <w:p w14:paraId="3AC33A9C" w14:textId="267C433B" w:rsidR="0055788F" w:rsidRPr="005126CF" w:rsidRDefault="0055788F"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7DFA3178" w14:textId="749B90D6" w:rsidR="00C92979" w:rsidRPr="005126CF" w:rsidRDefault="0055788F" w:rsidP="00FC2D5B">
            <w:pPr>
              <w:pStyle w:val="Paprastasistekstas"/>
              <w:jc w:val="both"/>
              <w:rPr>
                <w:rFonts w:ascii="Times New Roman" w:hAnsi="Times New Roman"/>
                <w:b/>
                <w:bCs/>
                <w:sz w:val="24"/>
                <w:szCs w:val="24"/>
              </w:rPr>
            </w:pPr>
            <w:r w:rsidRPr="005126CF">
              <w:rPr>
                <w:rFonts w:ascii="Times New Roman" w:hAnsi="Times New Roman"/>
                <w:bCs/>
                <w:sz w:val="24"/>
                <w:szCs w:val="24"/>
              </w:rPr>
              <w:t>Vyriausybės pasitarimuose svarstomi ne tik teisės aktų projektai, bet gali būti svarstomi ir kiti klausimai (pvz., veiklos ataskaitos, įvairių pavedimų/planų vykdymo pažanga, kita informacinė medžiaga), kurių  derinimas su suinteresuotais asmenimis nėra reglamentuojamas, todėl suderinimo Reglamento nustatyta tvarka reikalavimas taikomas išimtinai tik siūlant įtraukti teisės aktų projektus.</w:t>
            </w:r>
          </w:p>
        </w:tc>
      </w:tr>
      <w:tr w:rsidR="00C92979" w:rsidRPr="005126CF" w14:paraId="44F06F23" w14:textId="77777777" w:rsidTr="00D40A59">
        <w:trPr>
          <w:trHeight w:val="423"/>
        </w:trPr>
        <w:tc>
          <w:tcPr>
            <w:tcW w:w="1702" w:type="dxa"/>
            <w:vMerge/>
            <w:shd w:val="clear" w:color="auto" w:fill="auto"/>
          </w:tcPr>
          <w:p w14:paraId="3DA527EC" w14:textId="77777777" w:rsidR="00C92979" w:rsidRPr="005126CF" w:rsidRDefault="00C92979" w:rsidP="00FC2D5B">
            <w:pPr>
              <w:jc w:val="both"/>
            </w:pPr>
          </w:p>
        </w:tc>
        <w:tc>
          <w:tcPr>
            <w:tcW w:w="8080" w:type="dxa"/>
            <w:shd w:val="clear" w:color="auto" w:fill="auto"/>
          </w:tcPr>
          <w:p w14:paraId="03F96367" w14:textId="77777777" w:rsidR="00C92979" w:rsidRPr="005126CF" w:rsidRDefault="00C92979" w:rsidP="00FC2D5B">
            <w:pPr>
              <w:jc w:val="both"/>
            </w:pPr>
            <w:r w:rsidRPr="005126CF">
              <w:t>13.  Siūlytina įvertinti poreikį tikslinti Reglamento 94 punkto paskutinįjį sakinį, nustatant išimtį dėl informacijos pateikimo būdo, kai teikiama valstybės ar tarnybos paslaptį, komercinę paslaptį sudaranti informacija ar asmens duomenys.</w:t>
            </w:r>
          </w:p>
        </w:tc>
        <w:tc>
          <w:tcPr>
            <w:tcW w:w="5386" w:type="dxa"/>
            <w:shd w:val="clear" w:color="auto" w:fill="auto"/>
          </w:tcPr>
          <w:p w14:paraId="116728A8" w14:textId="6D95CA3C"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3D8F7E63" w14:textId="6CC48458" w:rsidR="00C92979" w:rsidRPr="005126CF" w:rsidRDefault="00C92979" w:rsidP="00FC2D5B">
            <w:pPr>
              <w:pStyle w:val="Paprastasistekstas"/>
              <w:jc w:val="both"/>
              <w:rPr>
                <w:rFonts w:ascii="Times New Roman" w:hAnsi="Times New Roman"/>
                <w:bCs/>
                <w:sz w:val="24"/>
                <w:szCs w:val="24"/>
              </w:rPr>
            </w:pPr>
            <w:r w:rsidRPr="005126CF">
              <w:rPr>
                <w:rFonts w:ascii="Times New Roman" w:hAnsi="Times New Roman"/>
                <w:bCs/>
                <w:sz w:val="24"/>
                <w:szCs w:val="24"/>
              </w:rPr>
              <w:t>Poreikio keisti (pildyti) Reglamento 94 p</w:t>
            </w:r>
            <w:r w:rsidR="004A567B" w:rsidRPr="005126CF">
              <w:rPr>
                <w:rFonts w:ascii="Times New Roman" w:hAnsi="Times New Roman"/>
                <w:bCs/>
                <w:sz w:val="24"/>
                <w:szCs w:val="24"/>
              </w:rPr>
              <w:t>.</w:t>
            </w:r>
            <w:r w:rsidRPr="005126CF">
              <w:rPr>
                <w:rFonts w:ascii="Times New Roman" w:hAnsi="Times New Roman"/>
                <w:bCs/>
                <w:sz w:val="24"/>
                <w:szCs w:val="24"/>
              </w:rPr>
              <w:t xml:space="preserve"> paskutinįjį sakinį nėra, nes jame nurodomi teisės aktai (įstatymai, kiti Seimo priimami teisės aktai, </w:t>
            </w:r>
            <w:r w:rsidRPr="005126CF">
              <w:rPr>
                <w:rFonts w:ascii="Times New Roman" w:hAnsi="Times New Roman"/>
                <w:bCs/>
                <w:sz w:val="24"/>
                <w:szCs w:val="24"/>
              </w:rPr>
              <w:lastRenderedPageBreak/>
              <w:t>Prezidento dekretai) yra vieši ir turi būti teikiami per TAIS</w:t>
            </w:r>
            <w:r w:rsidR="005126CF">
              <w:rPr>
                <w:rFonts w:ascii="Times New Roman" w:hAnsi="Times New Roman"/>
                <w:bCs/>
                <w:sz w:val="24"/>
                <w:szCs w:val="24"/>
              </w:rPr>
              <w:t>.</w:t>
            </w:r>
            <w:r w:rsidRPr="005126CF">
              <w:rPr>
                <w:rFonts w:ascii="Times New Roman" w:hAnsi="Times New Roman"/>
                <w:bCs/>
                <w:sz w:val="24"/>
                <w:szCs w:val="24"/>
              </w:rPr>
              <w:t xml:space="preserve"> </w:t>
            </w:r>
          </w:p>
        </w:tc>
      </w:tr>
      <w:tr w:rsidR="00C92979" w:rsidRPr="005126CF" w14:paraId="7F443741" w14:textId="77777777" w:rsidTr="00D40A59">
        <w:trPr>
          <w:trHeight w:val="423"/>
        </w:trPr>
        <w:tc>
          <w:tcPr>
            <w:tcW w:w="1702" w:type="dxa"/>
            <w:vMerge w:val="restart"/>
            <w:tcBorders>
              <w:top w:val="single" w:sz="4" w:space="0" w:color="auto"/>
            </w:tcBorders>
            <w:shd w:val="clear" w:color="auto" w:fill="auto"/>
          </w:tcPr>
          <w:p w14:paraId="02914B27" w14:textId="77777777" w:rsidR="00C92979" w:rsidRPr="005126CF" w:rsidRDefault="00C92979" w:rsidP="00FC2D5B">
            <w:r w:rsidRPr="005126CF">
              <w:lastRenderedPageBreak/>
              <w:t>Teisingumo ministerijos 2019-03-19 išvada Nr. 19-2310</w:t>
            </w:r>
          </w:p>
        </w:tc>
        <w:tc>
          <w:tcPr>
            <w:tcW w:w="8080" w:type="dxa"/>
            <w:shd w:val="clear" w:color="auto" w:fill="auto"/>
          </w:tcPr>
          <w:p w14:paraId="1AFCC6FA" w14:textId="2B05E70C" w:rsidR="00C92979" w:rsidRPr="005126CF" w:rsidRDefault="004A567B" w:rsidP="003B1836">
            <w:pPr>
              <w:ind w:firstLine="39"/>
              <w:jc w:val="both"/>
            </w:pPr>
            <w:r w:rsidRPr="005126CF">
              <w:t>2. Siūlomos Vyriausybės darbo reglamento 2</w:t>
            </w:r>
            <w:r w:rsidRPr="005126CF">
              <w:rPr>
                <w:vertAlign w:val="superscript"/>
              </w:rPr>
              <w:t>1</w:t>
            </w:r>
            <w:r w:rsidRPr="005126CF">
              <w:t xml:space="preserve"> ir 2</w:t>
            </w:r>
            <w:r w:rsidRPr="005126CF">
              <w:rPr>
                <w:vertAlign w:val="superscript"/>
              </w:rPr>
              <w:t>2</w:t>
            </w:r>
            <w:r w:rsidRPr="005126CF">
              <w:t xml:space="preserve"> p. nuostatos laikytinos perteklinėmis ir nesukuriančiomis pridėtinės vertės. Valstybės ir tarnybos paslapčių apsaugos įstatymo, Asmens duomenų teisinės apsaugos įstatymo, kitų įstatymų ir jų įgyvendinamųjų teisės aktų, kaip ir tiesiogiai taikomų Europos Sąjungos teisės aktų laikymasis ar taikymas tiesiogiai išplaukia iš Lietuvos Respublikos Konstitucijos ir Europos Sąjungos steigimo sutarties bei narystės Europos Sąjungoje dokumentų. Analogiškai vertintinas ir Vyriausybės darbo reglamento 140</w:t>
            </w:r>
            <w:r w:rsidRPr="005126CF">
              <w:rPr>
                <w:vertAlign w:val="superscript"/>
              </w:rPr>
              <w:t>5</w:t>
            </w:r>
            <w:r w:rsidRPr="005126CF">
              <w:t xml:space="preserve"> p.</w:t>
            </w:r>
          </w:p>
        </w:tc>
        <w:tc>
          <w:tcPr>
            <w:tcW w:w="5386" w:type="dxa"/>
            <w:shd w:val="clear" w:color="auto" w:fill="auto"/>
          </w:tcPr>
          <w:p w14:paraId="3BCF2966" w14:textId="77777777" w:rsidR="004A567B" w:rsidRPr="005126CF" w:rsidRDefault="004A567B" w:rsidP="004A567B">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1573F3F7" w14:textId="4A1620E0" w:rsidR="004A567B" w:rsidRPr="005126CF" w:rsidRDefault="004A567B" w:rsidP="004A567B">
            <w:pPr>
              <w:pStyle w:val="Paprastasistekstas"/>
              <w:jc w:val="both"/>
              <w:rPr>
                <w:rFonts w:ascii="Times New Roman" w:hAnsi="Times New Roman"/>
                <w:bCs/>
                <w:sz w:val="24"/>
                <w:szCs w:val="24"/>
              </w:rPr>
            </w:pPr>
            <w:r w:rsidRPr="005126CF">
              <w:rPr>
                <w:rFonts w:ascii="Times New Roman" w:hAnsi="Times New Roman"/>
                <w:bCs/>
                <w:sz w:val="24"/>
                <w:szCs w:val="24"/>
              </w:rPr>
              <w:t xml:space="preserve">Reglamento </w:t>
            </w:r>
            <w:r w:rsidRPr="005126CF">
              <w:rPr>
                <w:rFonts w:ascii="Times New Roman" w:hAnsi="Times New Roman"/>
                <w:sz w:val="24"/>
                <w:szCs w:val="24"/>
              </w:rPr>
              <w:t>2</w:t>
            </w:r>
            <w:r w:rsidRPr="005126CF">
              <w:rPr>
                <w:rFonts w:ascii="Times New Roman" w:hAnsi="Times New Roman"/>
                <w:sz w:val="24"/>
                <w:szCs w:val="24"/>
                <w:vertAlign w:val="superscript"/>
              </w:rPr>
              <w:t>1</w:t>
            </w:r>
            <w:r w:rsidRPr="005126CF">
              <w:rPr>
                <w:rFonts w:ascii="Times New Roman" w:hAnsi="Times New Roman"/>
                <w:sz w:val="24"/>
                <w:szCs w:val="24"/>
              </w:rPr>
              <w:t xml:space="preserve"> ir 2</w:t>
            </w:r>
            <w:r w:rsidRPr="005126CF">
              <w:rPr>
                <w:rFonts w:ascii="Times New Roman" w:hAnsi="Times New Roman"/>
                <w:sz w:val="24"/>
                <w:szCs w:val="24"/>
                <w:vertAlign w:val="superscript"/>
              </w:rPr>
              <w:t>2</w:t>
            </w:r>
            <w:r w:rsidRPr="005126CF">
              <w:rPr>
                <w:rFonts w:ascii="Times New Roman" w:hAnsi="Times New Roman"/>
                <w:sz w:val="24"/>
                <w:szCs w:val="24"/>
              </w:rPr>
              <w:t xml:space="preserve"> </w:t>
            </w:r>
            <w:r w:rsidRPr="005126CF">
              <w:rPr>
                <w:rFonts w:ascii="Times New Roman" w:hAnsi="Times New Roman"/>
                <w:bCs/>
                <w:sz w:val="24"/>
                <w:szCs w:val="24"/>
              </w:rPr>
              <w:t>p. nėra pertekliniai, juose įvedamos santrumpos, kurios toliau vartojamos Reglamente.</w:t>
            </w:r>
          </w:p>
          <w:p w14:paraId="768C4BC8" w14:textId="369F6E05" w:rsidR="00C92979" w:rsidRPr="005126CF" w:rsidRDefault="004A567B" w:rsidP="004A567B">
            <w:pPr>
              <w:pStyle w:val="Paprastasistekstas"/>
              <w:jc w:val="both"/>
              <w:rPr>
                <w:rFonts w:ascii="Times New Roman" w:hAnsi="Times New Roman"/>
                <w:bCs/>
                <w:sz w:val="24"/>
                <w:szCs w:val="24"/>
              </w:rPr>
            </w:pPr>
            <w:r w:rsidRPr="005126CF">
              <w:rPr>
                <w:rFonts w:ascii="Times New Roman" w:hAnsi="Times New Roman"/>
                <w:bCs/>
                <w:sz w:val="24"/>
                <w:szCs w:val="24"/>
              </w:rPr>
              <w:t>Reglamento 140</w:t>
            </w:r>
            <w:r w:rsidRPr="005126CF">
              <w:rPr>
                <w:rFonts w:ascii="Times New Roman" w:hAnsi="Times New Roman"/>
                <w:bCs/>
                <w:sz w:val="24"/>
                <w:szCs w:val="24"/>
                <w:vertAlign w:val="superscript"/>
              </w:rPr>
              <w:t>5</w:t>
            </w:r>
            <w:r w:rsidRPr="005126CF">
              <w:rPr>
                <w:rFonts w:ascii="Times New Roman" w:hAnsi="Times New Roman"/>
                <w:bCs/>
                <w:sz w:val="24"/>
                <w:szCs w:val="24"/>
              </w:rPr>
              <w:t xml:space="preserve"> p. atsisakyta kaip perteklinio.</w:t>
            </w:r>
          </w:p>
        </w:tc>
      </w:tr>
      <w:tr w:rsidR="00C92979" w:rsidRPr="005126CF" w14:paraId="0EE72E4D" w14:textId="77777777" w:rsidTr="00D40A59">
        <w:trPr>
          <w:trHeight w:val="423"/>
        </w:trPr>
        <w:tc>
          <w:tcPr>
            <w:tcW w:w="1702" w:type="dxa"/>
            <w:vMerge/>
            <w:shd w:val="clear" w:color="auto" w:fill="auto"/>
          </w:tcPr>
          <w:p w14:paraId="7364197F" w14:textId="77777777" w:rsidR="00C92979" w:rsidRPr="005126CF" w:rsidRDefault="00C92979" w:rsidP="00FC2D5B"/>
        </w:tc>
        <w:tc>
          <w:tcPr>
            <w:tcW w:w="8080" w:type="dxa"/>
            <w:shd w:val="clear" w:color="auto" w:fill="auto"/>
          </w:tcPr>
          <w:p w14:paraId="62330762" w14:textId="77777777" w:rsidR="00C92979" w:rsidRPr="005126CF" w:rsidRDefault="00C92979" w:rsidP="003B1836">
            <w:pPr>
              <w:ind w:firstLine="39"/>
              <w:jc w:val="both"/>
            </w:pPr>
            <w:r w:rsidRPr="005126CF">
              <w:t>3. Lieka nepagrįsta, kokiu tikslu dėstomos Vyriausybės darbo reglamento 8 p. antrosios pastraipos nuostatos. Viena vertus, jos skirtos grynai techninio pobūdžio darbinei nuostatai įtvirtinti (garso įrašymo įrenginių (diktofonų) informacijos laikmenos tvarkymui), kita vertus, neaptariamas kitas svarbus momentas – fiksuotos informacijos (ne)perkėlimas į kitą informacinę laikmeną ir tolesnis jos saugojimas. Be to, iš siūlomo reguliavimo lieka neaišku, kas priima sprendimą dėl įrašo darymo tikslingumo. Tuo atveju, jei būtų apsiribojama tik posėdžių protokolų saugojimu, norminis reguliavimas turėtų užtikrinti išsamų garso įrašo laikmenoje fiksuotos informacijos perkėlimą į posėdžio protokolą.</w:t>
            </w:r>
          </w:p>
        </w:tc>
        <w:tc>
          <w:tcPr>
            <w:tcW w:w="5386" w:type="dxa"/>
            <w:shd w:val="clear" w:color="auto" w:fill="auto"/>
          </w:tcPr>
          <w:p w14:paraId="5AAF2A51" w14:textId="77777777" w:rsidR="00C92979" w:rsidRPr="005126CF" w:rsidRDefault="00C92979" w:rsidP="00FC2D5B">
            <w:pPr>
              <w:pStyle w:val="Paprastasistekstas"/>
              <w:jc w:val="both"/>
              <w:rPr>
                <w:rFonts w:ascii="Times New Roman" w:eastAsia="Times New Roman" w:hAnsi="Times New Roman"/>
                <w:b/>
                <w:sz w:val="24"/>
                <w:szCs w:val="24"/>
                <w:lang w:eastAsia="lt-LT"/>
              </w:rPr>
            </w:pPr>
            <w:r w:rsidRPr="005126CF">
              <w:rPr>
                <w:rFonts w:ascii="Times New Roman" w:eastAsia="Times New Roman" w:hAnsi="Times New Roman"/>
                <w:b/>
                <w:sz w:val="24"/>
                <w:szCs w:val="24"/>
                <w:lang w:eastAsia="lt-LT"/>
              </w:rPr>
              <w:t>Atsižvelgta iš dalies.</w:t>
            </w:r>
          </w:p>
          <w:p w14:paraId="0CF75EF7" w14:textId="77777777" w:rsidR="00C92979" w:rsidRPr="005126CF" w:rsidRDefault="00C92979" w:rsidP="00FC2D5B">
            <w:pPr>
              <w:pStyle w:val="Paprastasistekstas"/>
              <w:jc w:val="both"/>
              <w:rPr>
                <w:rFonts w:ascii="Times New Roman" w:eastAsia="Times New Roman" w:hAnsi="Times New Roman"/>
                <w:sz w:val="24"/>
                <w:szCs w:val="24"/>
                <w:lang w:eastAsia="lt-LT"/>
              </w:rPr>
            </w:pPr>
            <w:r w:rsidRPr="005126CF">
              <w:rPr>
                <w:rFonts w:ascii="Times New Roman" w:eastAsia="Times New Roman" w:hAnsi="Times New Roman"/>
                <w:sz w:val="24"/>
                <w:szCs w:val="24"/>
                <w:lang w:eastAsia="lt-LT"/>
              </w:rPr>
              <w:t xml:space="preserve">Papildytas teikimas, nurodant siūlomos nuostatos tikslą – </w:t>
            </w:r>
            <w:bookmarkStart w:id="0" w:name="_Hlk6306359"/>
            <w:r w:rsidRPr="005126CF">
              <w:rPr>
                <w:rFonts w:ascii="Times New Roman" w:eastAsia="Times New Roman" w:hAnsi="Times New Roman"/>
                <w:sz w:val="24"/>
                <w:szCs w:val="24"/>
                <w:lang w:eastAsia="lt-LT"/>
              </w:rPr>
              <w:t>siekis tinkamai įgyvendinti asmens duomenų saugą reglamentuojančių teisės aktų nuostatas, kai  protokolo surašymui daromas posėdžio garso įrašas.</w:t>
            </w:r>
          </w:p>
          <w:p w14:paraId="0902CEAC" w14:textId="77777777" w:rsidR="00C92979" w:rsidRPr="005126CF" w:rsidRDefault="00C92979" w:rsidP="00FC2D5B">
            <w:pPr>
              <w:pStyle w:val="Paprastasistekstas"/>
              <w:jc w:val="both"/>
              <w:rPr>
                <w:rFonts w:ascii="Times New Roman" w:eastAsia="Times New Roman" w:hAnsi="Times New Roman"/>
                <w:sz w:val="24"/>
                <w:szCs w:val="24"/>
                <w:lang w:eastAsia="lt-LT"/>
              </w:rPr>
            </w:pPr>
            <w:r w:rsidRPr="005126CF">
              <w:rPr>
                <w:rFonts w:ascii="Times New Roman" w:eastAsia="Times New Roman" w:hAnsi="Times New Roman"/>
                <w:sz w:val="24"/>
                <w:szCs w:val="24"/>
                <w:lang w:eastAsia="lt-LT"/>
              </w:rPr>
              <w:t>Įrašytas į garso įrašymo įrenginį (diktofoną) įrašas nebūtų perkeliamas į kitą informacinę laikmeną,  jame būtų saugomas ne ilgau kaip 3 darbo dienas nuo posėdžio dienos, ir ištrinamas.</w:t>
            </w:r>
          </w:p>
          <w:p w14:paraId="08931DB4" w14:textId="0E03293D" w:rsidR="00C92979" w:rsidRPr="005126CF" w:rsidRDefault="00C92979" w:rsidP="006D0E97">
            <w:pPr>
              <w:pStyle w:val="Paprastasistekstas"/>
              <w:jc w:val="both"/>
              <w:rPr>
                <w:rFonts w:ascii="Times New Roman" w:eastAsia="Times New Roman" w:hAnsi="Times New Roman"/>
                <w:sz w:val="24"/>
                <w:szCs w:val="24"/>
                <w:lang w:eastAsia="lt-LT"/>
              </w:rPr>
            </w:pPr>
            <w:r w:rsidRPr="005126CF">
              <w:rPr>
                <w:rFonts w:ascii="Times New Roman" w:eastAsia="Times New Roman" w:hAnsi="Times New Roman"/>
                <w:sz w:val="24"/>
                <w:szCs w:val="24"/>
                <w:lang w:eastAsia="lt-LT"/>
              </w:rPr>
              <w:t>Reglamento 8 p</w:t>
            </w:r>
            <w:r w:rsidR="003B1836" w:rsidRPr="005126CF">
              <w:rPr>
                <w:rFonts w:ascii="Times New Roman" w:eastAsia="Times New Roman" w:hAnsi="Times New Roman"/>
                <w:sz w:val="24"/>
                <w:szCs w:val="24"/>
                <w:lang w:eastAsia="lt-LT"/>
              </w:rPr>
              <w:t>.</w:t>
            </w:r>
            <w:r w:rsidRPr="005126CF">
              <w:rPr>
                <w:rFonts w:ascii="Times New Roman" w:eastAsia="Times New Roman" w:hAnsi="Times New Roman"/>
                <w:sz w:val="24"/>
                <w:szCs w:val="24"/>
                <w:lang w:eastAsia="lt-LT"/>
              </w:rPr>
              <w:t xml:space="preserve"> antroji pastraipa </w:t>
            </w:r>
            <w:r w:rsidR="003B1836" w:rsidRPr="005126CF">
              <w:rPr>
                <w:rFonts w:ascii="Times New Roman" w:eastAsia="Times New Roman" w:hAnsi="Times New Roman"/>
                <w:sz w:val="24"/>
                <w:szCs w:val="24"/>
                <w:lang w:eastAsia="lt-LT"/>
              </w:rPr>
              <w:t>pa</w:t>
            </w:r>
            <w:r w:rsidRPr="005126CF">
              <w:rPr>
                <w:rFonts w:ascii="Times New Roman" w:eastAsia="Times New Roman" w:hAnsi="Times New Roman"/>
                <w:sz w:val="24"/>
                <w:szCs w:val="24"/>
                <w:lang w:eastAsia="lt-LT"/>
              </w:rPr>
              <w:t>pildyta nuostata, kad sprendimą dėl posėdžio garso įrašo darymo priima Vyriausybės komiteto, Vyriausybės  komisijos pirmininkas</w:t>
            </w:r>
            <w:r w:rsidR="00B77F2C" w:rsidRPr="005126CF">
              <w:rPr>
                <w:rFonts w:ascii="Times New Roman" w:eastAsia="Times New Roman" w:hAnsi="Times New Roman"/>
                <w:sz w:val="24"/>
                <w:szCs w:val="24"/>
                <w:lang w:eastAsia="lt-LT"/>
              </w:rPr>
              <w:t xml:space="preserve"> (posėdžio pirminink</w:t>
            </w:r>
            <w:r w:rsidR="00EF11ED" w:rsidRPr="005126CF">
              <w:rPr>
                <w:rFonts w:ascii="Times New Roman" w:eastAsia="Times New Roman" w:hAnsi="Times New Roman"/>
                <w:sz w:val="24"/>
                <w:szCs w:val="24"/>
                <w:lang w:eastAsia="lt-LT"/>
              </w:rPr>
              <w:t>as</w:t>
            </w:r>
            <w:r w:rsidR="00B77F2C" w:rsidRPr="005126CF">
              <w:rPr>
                <w:rFonts w:ascii="Times New Roman" w:eastAsia="Times New Roman" w:hAnsi="Times New Roman"/>
                <w:sz w:val="24"/>
                <w:szCs w:val="24"/>
                <w:lang w:eastAsia="lt-LT"/>
              </w:rPr>
              <w:t>)</w:t>
            </w:r>
            <w:r w:rsidRPr="005126CF">
              <w:rPr>
                <w:rFonts w:ascii="Times New Roman" w:eastAsia="Times New Roman" w:hAnsi="Times New Roman"/>
                <w:sz w:val="24"/>
                <w:szCs w:val="24"/>
                <w:lang w:eastAsia="lt-LT"/>
              </w:rPr>
              <w:t xml:space="preserve"> ar darbo grupės</w:t>
            </w:r>
            <w:r w:rsidR="00B77F2C" w:rsidRPr="005126CF">
              <w:rPr>
                <w:rFonts w:ascii="Times New Roman" w:eastAsia="Times New Roman" w:hAnsi="Times New Roman"/>
                <w:sz w:val="24"/>
                <w:szCs w:val="24"/>
                <w:lang w:eastAsia="lt-LT"/>
              </w:rPr>
              <w:t xml:space="preserve"> </w:t>
            </w:r>
            <w:r w:rsidRPr="005126CF">
              <w:rPr>
                <w:rFonts w:ascii="Times New Roman" w:eastAsia="Times New Roman" w:hAnsi="Times New Roman"/>
                <w:sz w:val="24"/>
                <w:szCs w:val="24"/>
                <w:lang w:eastAsia="lt-LT"/>
              </w:rPr>
              <w:t>vadovas</w:t>
            </w:r>
            <w:r w:rsidR="00742A9A" w:rsidRPr="005126CF">
              <w:rPr>
                <w:rFonts w:ascii="Times New Roman" w:eastAsia="Times New Roman" w:hAnsi="Times New Roman"/>
                <w:sz w:val="24"/>
                <w:szCs w:val="24"/>
                <w:lang w:eastAsia="lt-LT"/>
              </w:rPr>
              <w:t xml:space="preserve"> </w:t>
            </w:r>
            <w:r w:rsidR="00EF11ED" w:rsidRPr="005126CF">
              <w:rPr>
                <w:rFonts w:ascii="Times New Roman" w:eastAsia="Times New Roman" w:hAnsi="Times New Roman"/>
                <w:sz w:val="24"/>
                <w:szCs w:val="24"/>
                <w:lang w:eastAsia="lt-LT"/>
              </w:rPr>
              <w:t>(posėdžio pirmininkas)</w:t>
            </w:r>
            <w:r w:rsidRPr="005126CF">
              <w:rPr>
                <w:rFonts w:ascii="Times New Roman" w:eastAsia="Times New Roman" w:hAnsi="Times New Roman"/>
                <w:sz w:val="24"/>
                <w:szCs w:val="24"/>
                <w:lang w:eastAsia="lt-LT"/>
              </w:rPr>
              <w:t>. Taip pat pratęstas garso įrašų ištrynimo iš garso įrašymo įrenginių (diktofonų) terminas - ne vėliau kaip per 3</w:t>
            </w:r>
            <w:r w:rsidR="003B1836" w:rsidRPr="005126CF">
              <w:rPr>
                <w:rFonts w:ascii="Times New Roman" w:eastAsia="Times New Roman" w:hAnsi="Times New Roman"/>
                <w:sz w:val="24"/>
                <w:szCs w:val="24"/>
                <w:lang w:eastAsia="lt-LT"/>
              </w:rPr>
              <w:t> </w:t>
            </w:r>
            <w:r w:rsidRPr="005126CF">
              <w:rPr>
                <w:rFonts w:ascii="Times New Roman" w:eastAsia="Times New Roman" w:hAnsi="Times New Roman"/>
                <w:sz w:val="24"/>
                <w:szCs w:val="24"/>
                <w:lang w:eastAsia="lt-LT"/>
              </w:rPr>
              <w:t>darbo dienas nuo atitinkamo posėdžio dienos.</w:t>
            </w:r>
            <w:bookmarkEnd w:id="0"/>
          </w:p>
        </w:tc>
        <w:bookmarkStart w:id="1" w:name="_GoBack"/>
        <w:bookmarkEnd w:id="1"/>
      </w:tr>
      <w:tr w:rsidR="00C92979" w:rsidRPr="005126CF" w14:paraId="2F0EA2AC" w14:textId="77777777" w:rsidTr="00D40A59">
        <w:trPr>
          <w:trHeight w:val="423"/>
        </w:trPr>
        <w:tc>
          <w:tcPr>
            <w:tcW w:w="1702" w:type="dxa"/>
            <w:vMerge/>
            <w:shd w:val="clear" w:color="auto" w:fill="auto"/>
          </w:tcPr>
          <w:p w14:paraId="55E80462" w14:textId="77777777" w:rsidR="00C92979" w:rsidRPr="005126CF" w:rsidRDefault="00C92979" w:rsidP="00FC2D5B">
            <w:pPr>
              <w:jc w:val="both"/>
            </w:pPr>
          </w:p>
        </w:tc>
        <w:tc>
          <w:tcPr>
            <w:tcW w:w="8080" w:type="dxa"/>
            <w:shd w:val="clear" w:color="auto" w:fill="auto"/>
          </w:tcPr>
          <w:p w14:paraId="40FCF739" w14:textId="77777777" w:rsidR="00C92979" w:rsidRPr="005126CF" w:rsidRDefault="00C92979" w:rsidP="003B1836">
            <w:pPr>
              <w:ind w:firstLine="39"/>
              <w:jc w:val="both"/>
            </w:pPr>
            <w:r w:rsidRPr="005126CF">
              <w:t>4. Vertinant Vyriausybės darbo reglamento 10</w:t>
            </w:r>
            <w:r w:rsidRPr="005126CF">
              <w:rPr>
                <w:vertAlign w:val="superscript"/>
              </w:rPr>
              <w:t>1</w:t>
            </w:r>
            <w:r w:rsidRPr="005126CF">
              <w:t xml:space="preserve"> p. nuostatas, siūlytina tikslinti formuluotę „valdo rizikas“ (kieno rizikas?) (analogiškai ir 10</w:t>
            </w:r>
            <w:r w:rsidRPr="005126CF">
              <w:rPr>
                <w:vertAlign w:val="superscript"/>
              </w:rPr>
              <w:t>2</w:t>
            </w:r>
            <w:r w:rsidRPr="005126CF">
              <w:t xml:space="preserve"> p.) bei „vertina portfelio projektų įgyvendinimą“ (neapibrėžtas sutrumpinimas „portfelio projektai“ bei, kalbant apie projektus, šiame kontekste galima pasisakyti apie jų rengimą ir teikimą ar šių procesų koordinavimą ir kontroliavimą, o ne apie projektų įgyvendinimą (įgyvendinimas – tai vėlesnė jau priimto teisės akto realizavimo stadija), nebent turimas omenyje ne projektų, o strateginių projektų portfelio įgyvendinimas).</w:t>
            </w:r>
          </w:p>
        </w:tc>
        <w:tc>
          <w:tcPr>
            <w:tcW w:w="5386" w:type="dxa"/>
            <w:shd w:val="clear" w:color="auto" w:fill="auto"/>
          </w:tcPr>
          <w:p w14:paraId="4E4B9859" w14:textId="11D2F9E3"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Atsižvelgt</w:t>
            </w:r>
            <w:r w:rsidR="00BF36C2" w:rsidRPr="005126CF">
              <w:rPr>
                <w:rFonts w:ascii="Times New Roman" w:hAnsi="Times New Roman"/>
                <w:b/>
                <w:bCs/>
                <w:sz w:val="24"/>
                <w:szCs w:val="24"/>
              </w:rPr>
              <w:t>a</w:t>
            </w:r>
            <w:r w:rsidRPr="005126CF">
              <w:rPr>
                <w:rFonts w:ascii="Times New Roman" w:hAnsi="Times New Roman"/>
                <w:b/>
                <w:bCs/>
                <w:sz w:val="24"/>
                <w:szCs w:val="24"/>
              </w:rPr>
              <w:t xml:space="preserve"> </w:t>
            </w:r>
            <w:r w:rsidR="00BF36C2" w:rsidRPr="005126CF">
              <w:rPr>
                <w:rFonts w:ascii="Times New Roman" w:hAnsi="Times New Roman"/>
                <w:b/>
                <w:bCs/>
                <w:sz w:val="24"/>
                <w:szCs w:val="24"/>
              </w:rPr>
              <w:t>iš dalies</w:t>
            </w:r>
          </w:p>
          <w:p w14:paraId="7A665E83" w14:textId="77777777" w:rsidR="00BF36C2" w:rsidRPr="005126CF" w:rsidRDefault="00BF36C2" w:rsidP="00FC2D5B">
            <w:pPr>
              <w:pStyle w:val="Paprastasistekstas"/>
              <w:jc w:val="both"/>
              <w:rPr>
                <w:rFonts w:ascii="Times New Roman" w:hAnsi="Times New Roman"/>
                <w:bCs/>
                <w:sz w:val="24"/>
                <w:szCs w:val="24"/>
              </w:rPr>
            </w:pPr>
            <w:r w:rsidRPr="005126CF">
              <w:rPr>
                <w:rFonts w:ascii="Times New Roman" w:hAnsi="Times New Roman"/>
                <w:bCs/>
                <w:sz w:val="24"/>
                <w:szCs w:val="24"/>
              </w:rPr>
              <w:t>Patikslintos vartojamos sąvokos</w:t>
            </w:r>
          </w:p>
          <w:p w14:paraId="43A51475" w14:textId="453E5F83" w:rsidR="00F7110E" w:rsidRPr="005126CF" w:rsidRDefault="00F7110E" w:rsidP="00FC2D5B">
            <w:pPr>
              <w:pStyle w:val="Paprastasistekstas"/>
              <w:jc w:val="both"/>
              <w:rPr>
                <w:rFonts w:ascii="Times New Roman" w:hAnsi="Times New Roman"/>
                <w:bCs/>
                <w:sz w:val="24"/>
                <w:szCs w:val="24"/>
                <w:highlight w:val="yellow"/>
              </w:rPr>
            </w:pPr>
          </w:p>
        </w:tc>
      </w:tr>
      <w:tr w:rsidR="00C92979" w:rsidRPr="005126CF" w14:paraId="626E4B76" w14:textId="77777777" w:rsidTr="00D40A59">
        <w:trPr>
          <w:trHeight w:val="423"/>
        </w:trPr>
        <w:tc>
          <w:tcPr>
            <w:tcW w:w="1702" w:type="dxa"/>
            <w:vMerge/>
            <w:shd w:val="clear" w:color="auto" w:fill="auto"/>
          </w:tcPr>
          <w:p w14:paraId="5F8375FA" w14:textId="77777777" w:rsidR="00C92979" w:rsidRPr="005126CF" w:rsidRDefault="00C92979" w:rsidP="00FC2D5B">
            <w:pPr>
              <w:jc w:val="both"/>
            </w:pPr>
          </w:p>
        </w:tc>
        <w:tc>
          <w:tcPr>
            <w:tcW w:w="8080" w:type="dxa"/>
            <w:shd w:val="clear" w:color="auto" w:fill="auto"/>
          </w:tcPr>
          <w:p w14:paraId="5151DB53" w14:textId="77777777" w:rsidR="00C92979" w:rsidRPr="005126CF" w:rsidRDefault="00C92979" w:rsidP="003B1836">
            <w:pPr>
              <w:ind w:firstLine="39"/>
              <w:jc w:val="both"/>
            </w:pPr>
            <w:r w:rsidRPr="005126CF">
              <w:t>5.  Vyriausybės darbo reglamento 10</w:t>
            </w:r>
            <w:r w:rsidRPr="005126CF">
              <w:rPr>
                <w:vertAlign w:val="superscript"/>
              </w:rPr>
              <w:t>2</w:t>
            </w:r>
            <w:r w:rsidRPr="005126CF">
              <w:t xml:space="preserve"> p. turinys neatitinka skyriaus pavadinimo. Be to, siūlome įvertinti, ar siūlomų 10</w:t>
            </w:r>
            <w:r w:rsidRPr="005126CF">
              <w:rPr>
                <w:vertAlign w:val="superscript"/>
              </w:rPr>
              <w:t>1</w:t>
            </w:r>
            <w:r w:rsidRPr="005126CF">
              <w:t xml:space="preserve"> ir 10</w:t>
            </w:r>
            <w:r w:rsidRPr="005126CF">
              <w:rPr>
                <w:vertAlign w:val="superscript"/>
              </w:rPr>
              <w:t>2</w:t>
            </w:r>
            <w:r w:rsidRPr="005126CF">
              <w:t xml:space="preserve"> p. nuostatų, kaip susijusių su teisėkūra, dėstymas nebūtų tikslingesnis Vyriausybės darbo reglamento III skyriuje. Be to, lieka neaišku, kokiais kriterijais vadovaujantis sudaromi institucijų projektų portfeliai, ar neturėtų būti atsižvelgiama į Ministro Pirmininko strateginių projektų portfelį. Kita vertus, svarstytina, ar projektų rengimo  institucijoje tvarka neturėtų būti institucijų darbo tvarką reglamentuojančių teisės aktų (institucijos nuostatų, darbo reglamentų) reguliavimo dalyku.</w:t>
            </w:r>
          </w:p>
        </w:tc>
        <w:tc>
          <w:tcPr>
            <w:tcW w:w="5386" w:type="dxa"/>
            <w:shd w:val="clear" w:color="auto" w:fill="auto"/>
          </w:tcPr>
          <w:p w14:paraId="340E2AC1" w14:textId="77777777" w:rsidR="00F7110E" w:rsidRPr="005126CF" w:rsidRDefault="00F7110E" w:rsidP="00FC2D5B">
            <w:pPr>
              <w:pStyle w:val="Paprastasistekstas"/>
              <w:jc w:val="both"/>
              <w:rPr>
                <w:rFonts w:ascii="Times New Roman" w:hAnsi="Times New Roman"/>
                <w:sz w:val="24"/>
                <w:szCs w:val="24"/>
              </w:rPr>
            </w:pPr>
            <w:r w:rsidRPr="005126CF">
              <w:rPr>
                <w:rFonts w:ascii="Times New Roman" w:hAnsi="Times New Roman"/>
                <w:b/>
                <w:sz w:val="24"/>
                <w:szCs w:val="24"/>
              </w:rPr>
              <w:t>Neatsižvelgta</w:t>
            </w:r>
            <w:r w:rsidRPr="005126CF">
              <w:rPr>
                <w:rFonts w:ascii="Times New Roman" w:hAnsi="Times New Roman"/>
                <w:sz w:val="24"/>
                <w:szCs w:val="24"/>
              </w:rPr>
              <w:t xml:space="preserve"> </w:t>
            </w:r>
          </w:p>
          <w:p w14:paraId="4C57E162" w14:textId="198590BC" w:rsidR="00C92979" w:rsidRPr="005126CF" w:rsidRDefault="00F7110E" w:rsidP="00FC2D5B">
            <w:pPr>
              <w:pStyle w:val="Paprastasistekstas"/>
              <w:jc w:val="both"/>
              <w:rPr>
                <w:rFonts w:ascii="Times New Roman" w:hAnsi="Times New Roman"/>
                <w:b/>
                <w:sz w:val="24"/>
                <w:szCs w:val="24"/>
              </w:rPr>
            </w:pPr>
            <w:r w:rsidRPr="005126CF">
              <w:rPr>
                <w:rFonts w:ascii="Times New Roman" w:hAnsi="Times New Roman"/>
                <w:sz w:val="24"/>
                <w:szCs w:val="24"/>
              </w:rPr>
              <w:t>Vyriausybės kanceliarijoje rengiamas kitas Vyriausybės nutarimas, nustatantis detalesnį šių santykių reguliavimą, kurį planuojama patvirtinti iki 2019 m. rugsėjo 1 d. (nukeliamas šių nuostatų įsigaliojimo terminas)</w:t>
            </w:r>
          </w:p>
        </w:tc>
      </w:tr>
      <w:tr w:rsidR="00C92979" w:rsidRPr="005126CF" w14:paraId="26604E74" w14:textId="77777777" w:rsidTr="00D40A59">
        <w:trPr>
          <w:trHeight w:val="423"/>
        </w:trPr>
        <w:tc>
          <w:tcPr>
            <w:tcW w:w="1702" w:type="dxa"/>
            <w:vMerge/>
            <w:shd w:val="clear" w:color="auto" w:fill="auto"/>
          </w:tcPr>
          <w:p w14:paraId="45497D69" w14:textId="77777777" w:rsidR="00C92979" w:rsidRPr="005126CF" w:rsidRDefault="00C92979" w:rsidP="00FC2D5B">
            <w:pPr>
              <w:jc w:val="both"/>
            </w:pPr>
          </w:p>
        </w:tc>
        <w:tc>
          <w:tcPr>
            <w:tcW w:w="8080" w:type="dxa"/>
            <w:shd w:val="clear" w:color="auto" w:fill="auto"/>
          </w:tcPr>
          <w:p w14:paraId="2F5D1098" w14:textId="77777777" w:rsidR="00C92979" w:rsidRPr="005126CF" w:rsidRDefault="00C92979" w:rsidP="003B1836">
            <w:pPr>
              <w:ind w:firstLine="39"/>
              <w:jc w:val="both"/>
            </w:pPr>
            <w:r w:rsidRPr="005126CF">
              <w:t xml:space="preserve">8. Atsižvelgiant į tai, kad konsultacijos su visuomene paprastai vykdomos </w:t>
            </w:r>
            <w:r w:rsidRPr="005126CF">
              <w:rPr>
                <w:i/>
                <w:iCs/>
              </w:rPr>
              <w:t>teisės akto projekto rengimo</w:t>
            </w:r>
            <w:r w:rsidRPr="005126CF">
              <w:t xml:space="preserve"> stadijoje, o konsultacijų rengimas </w:t>
            </w:r>
            <w:r w:rsidRPr="005126CF">
              <w:rPr>
                <w:i/>
                <w:iCs/>
              </w:rPr>
              <w:t>teisėkūros iniciatyvos pareiškimo</w:t>
            </w:r>
            <w:r w:rsidRPr="005126CF">
              <w:t xml:space="preserve"> stadijoje konkrečiais atvejais gali būti vertinamas kaip perteklinis, siūlome nurodyti, kad konsultacijos paprastai rengiamos būtent teisės akto projekto rengimo stadijoje, o kitose stadijose konsultavimasis su visuomene vykdomas pagal poreikį (Vyriausybės darbo reglamento 12</w:t>
            </w:r>
            <w:r w:rsidRPr="005126CF">
              <w:rPr>
                <w:vertAlign w:val="superscript"/>
              </w:rPr>
              <w:t>2</w:t>
            </w:r>
            <w:r w:rsidRPr="005126CF">
              <w:t xml:space="preserve"> p.). </w:t>
            </w:r>
          </w:p>
          <w:p w14:paraId="48FD9225" w14:textId="77777777" w:rsidR="00C92979" w:rsidRPr="005126CF" w:rsidRDefault="00C92979" w:rsidP="003B1836">
            <w:pPr>
              <w:ind w:firstLine="39"/>
              <w:jc w:val="both"/>
            </w:pPr>
            <w:r w:rsidRPr="005126CF">
              <w:t xml:space="preserve">Be to, lieka neaišku, kokia informacija apie viešųjų konsultacijų </w:t>
            </w:r>
            <w:r w:rsidRPr="005126CF">
              <w:rPr>
                <w:i/>
                <w:iCs/>
              </w:rPr>
              <w:t>rezultatus</w:t>
            </w:r>
            <w:r w:rsidRPr="005126CF">
              <w:t xml:space="preserve"> turėtų būti skelbiama portalo „Mano vyriausybė“ interneto svetainėje „E. pilietis“.</w:t>
            </w:r>
          </w:p>
        </w:tc>
        <w:tc>
          <w:tcPr>
            <w:tcW w:w="5386" w:type="dxa"/>
            <w:shd w:val="clear" w:color="auto" w:fill="auto"/>
          </w:tcPr>
          <w:p w14:paraId="42DC7F77" w14:textId="4CA401D5" w:rsidR="00C92979" w:rsidRPr="005126CF" w:rsidRDefault="006D0E97"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789BA82C" w14:textId="2933A66D" w:rsidR="00C92979" w:rsidRPr="005126CF" w:rsidRDefault="00C92979"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Teisėkūros pagrindų įstatymo 2 str. 2 d., 7 str. nesuteikiamas prioritetas konsultacijoms su visuomene tik </w:t>
            </w:r>
            <w:r w:rsidRPr="005126CF">
              <w:rPr>
                <w:rFonts w:ascii="Times New Roman" w:hAnsi="Times New Roman"/>
                <w:i/>
                <w:iCs/>
                <w:sz w:val="24"/>
                <w:szCs w:val="24"/>
              </w:rPr>
              <w:t>teisės akto projekto rengimo</w:t>
            </w:r>
            <w:r w:rsidRPr="005126CF">
              <w:rPr>
                <w:rFonts w:ascii="Times New Roman" w:hAnsi="Times New Roman"/>
                <w:sz w:val="24"/>
                <w:szCs w:val="24"/>
              </w:rPr>
              <w:t xml:space="preserve"> stadijoje, todėl visose stadijose šios konsultacijos yra vienodai svarbios ir turėtų būti pradedamos nuo teisėkūros iniciatyvos </w:t>
            </w:r>
            <w:r w:rsidR="00742A9A" w:rsidRPr="005126CF">
              <w:rPr>
                <w:rFonts w:ascii="Times New Roman" w:hAnsi="Times New Roman"/>
                <w:sz w:val="24"/>
                <w:szCs w:val="24"/>
              </w:rPr>
              <w:t xml:space="preserve">pareiškimo </w:t>
            </w:r>
            <w:r w:rsidRPr="005126CF">
              <w:rPr>
                <w:rFonts w:ascii="Times New Roman" w:hAnsi="Times New Roman"/>
                <w:sz w:val="24"/>
                <w:szCs w:val="24"/>
              </w:rPr>
              <w:t xml:space="preserve">stadijos ir tik atskirais atvejais nuo teisės akto projekto rengimo stadijos. </w:t>
            </w:r>
          </w:p>
          <w:p w14:paraId="2012D2E5" w14:textId="2A51C448"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Cs/>
                <w:sz w:val="24"/>
                <w:szCs w:val="24"/>
              </w:rPr>
              <w:t>Praktika rodo, kad konsultacijos su visuomene neretai apsiriboja jau parengto teisės akto projekto paskelbimu Seimo kanceliarijos teisės aktų informacinėje sistemoje, kai teisinio reguliavimo kokybei ir tvarumui užtikrinti galėtų būti pasitelktos konsultacijos su visuomene dar ankstesnėje teisėkūros (teisėkūros iniciatyvos pareiškimo) stadijoje. Patikslintame Reglamento 12</w:t>
            </w:r>
            <w:r w:rsidR="00F81C60" w:rsidRPr="005126CF">
              <w:rPr>
                <w:rFonts w:ascii="Times New Roman" w:hAnsi="Times New Roman"/>
                <w:bCs/>
                <w:sz w:val="24"/>
                <w:szCs w:val="24"/>
                <w:vertAlign w:val="superscript"/>
              </w:rPr>
              <w:t>1</w:t>
            </w:r>
            <w:r w:rsidRPr="005126CF">
              <w:rPr>
                <w:rFonts w:ascii="Times New Roman" w:hAnsi="Times New Roman"/>
                <w:bCs/>
                <w:sz w:val="24"/>
                <w:szCs w:val="24"/>
              </w:rPr>
              <w:t xml:space="preserve"> p. siūloma </w:t>
            </w:r>
          </w:p>
          <w:p w14:paraId="4BC6D82F" w14:textId="2E7FFE89" w:rsidR="00C92979" w:rsidRPr="005126CF" w:rsidRDefault="00280805" w:rsidP="00FC2D5B">
            <w:pPr>
              <w:pStyle w:val="Paprastasistekstas"/>
              <w:jc w:val="both"/>
              <w:rPr>
                <w:rFonts w:ascii="Times New Roman" w:hAnsi="Times New Roman"/>
                <w:bCs/>
                <w:sz w:val="24"/>
                <w:szCs w:val="24"/>
              </w:rPr>
            </w:pPr>
            <w:r w:rsidRPr="005126CF">
              <w:rPr>
                <w:rFonts w:ascii="Times New Roman" w:hAnsi="Times New Roman"/>
                <w:bCs/>
                <w:sz w:val="24"/>
                <w:szCs w:val="24"/>
              </w:rPr>
              <w:t>a</w:t>
            </w:r>
            <w:r w:rsidR="00C92979" w:rsidRPr="005126CF">
              <w:rPr>
                <w:rFonts w:ascii="Times New Roman" w:hAnsi="Times New Roman"/>
                <w:bCs/>
                <w:sz w:val="24"/>
                <w:szCs w:val="24"/>
              </w:rPr>
              <w:t>tsisakyt</w:t>
            </w:r>
            <w:r w:rsidR="00EC7EC2" w:rsidRPr="005126CF">
              <w:rPr>
                <w:rFonts w:ascii="Times New Roman" w:hAnsi="Times New Roman"/>
                <w:bCs/>
                <w:sz w:val="24"/>
                <w:szCs w:val="24"/>
              </w:rPr>
              <w:t>i</w:t>
            </w:r>
            <w:r w:rsidR="00C92979" w:rsidRPr="005126CF">
              <w:rPr>
                <w:rFonts w:ascii="Times New Roman" w:hAnsi="Times New Roman"/>
                <w:bCs/>
                <w:sz w:val="24"/>
                <w:szCs w:val="24"/>
              </w:rPr>
              <w:t xml:space="preserve"> nuostatų apie skelbtiną informaciją apie konsultaciją.</w:t>
            </w:r>
          </w:p>
        </w:tc>
      </w:tr>
      <w:tr w:rsidR="00C92979" w:rsidRPr="005126CF" w14:paraId="6E7129EA" w14:textId="77777777" w:rsidTr="00D40A59">
        <w:trPr>
          <w:trHeight w:val="423"/>
        </w:trPr>
        <w:tc>
          <w:tcPr>
            <w:tcW w:w="1702" w:type="dxa"/>
            <w:vMerge/>
            <w:shd w:val="clear" w:color="auto" w:fill="auto"/>
          </w:tcPr>
          <w:p w14:paraId="29AD1D08" w14:textId="77777777" w:rsidR="00C92979" w:rsidRPr="005126CF" w:rsidRDefault="00C92979" w:rsidP="00FC2D5B">
            <w:pPr>
              <w:jc w:val="both"/>
            </w:pPr>
          </w:p>
        </w:tc>
        <w:tc>
          <w:tcPr>
            <w:tcW w:w="8080" w:type="dxa"/>
            <w:shd w:val="clear" w:color="auto" w:fill="auto"/>
          </w:tcPr>
          <w:p w14:paraId="713F7839" w14:textId="77777777" w:rsidR="00C92979" w:rsidRPr="005126CF" w:rsidRDefault="00C92979" w:rsidP="003B1836">
            <w:pPr>
              <w:ind w:firstLine="39"/>
              <w:jc w:val="both"/>
            </w:pPr>
            <w:r w:rsidRPr="005126CF">
              <w:t>10. Įvertinant tai, kad teisės aktų projektai derinimui teikiami jau įvykdžius visus parengiamuosius darbus ir reikiamus poveikio vertinimus, svarstytinas Vyriausybės darbo reglamento 18 p. nustatomo termino tinkamumas ir galimybė jį trumpinti.</w:t>
            </w:r>
          </w:p>
        </w:tc>
        <w:tc>
          <w:tcPr>
            <w:tcW w:w="5386" w:type="dxa"/>
            <w:shd w:val="clear" w:color="auto" w:fill="auto"/>
          </w:tcPr>
          <w:p w14:paraId="7E44CF19" w14:textId="77777777" w:rsidR="0055788F" w:rsidRPr="005126CF" w:rsidRDefault="0055788F"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2AF40504" w14:textId="1D040B61" w:rsidR="00C92979" w:rsidRPr="005126CF" w:rsidRDefault="0055788F" w:rsidP="00FC2D5B">
            <w:pPr>
              <w:pStyle w:val="Paprastasistekstas"/>
              <w:jc w:val="both"/>
              <w:rPr>
                <w:rFonts w:ascii="Times New Roman" w:hAnsi="Times New Roman"/>
                <w:b/>
                <w:bCs/>
                <w:sz w:val="24"/>
                <w:szCs w:val="24"/>
              </w:rPr>
            </w:pPr>
            <w:r w:rsidRPr="005126CF">
              <w:rPr>
                <w:rFonts w:ascii="Times New Roman" w:hAnsi="Times New Roman"/>
                <w:bCs/>
                <w:sz w:val="24"/>
                <w:szCs w:val="24"/>
              </w:rPr>
              <w:t xml:space="preserve">Reglamento 18 p. siūloma nustatyti, kad </w:t>
            </w:r>
            <w:r w:rsidRPr="005126CF">
              <w:rPr>
                <w:rFonts w:ascii="Times New Roman" w:hAnsi="Times New Roman"/>
                <w:b/>
                <w:sz w:val="24"/>
                <w:szCs w:val="24"/>
                <w:lang w:eastAsia="lt-LT"/>
              </w:rPr>
              <w:t>paprastai</w:t>
            </w:r>
            <w:r w:rsidRPr="005126CF">
              <w:rPr>
                <w:rFonts w:ascii="Times New Roman" w:hAnsi="Times New Roman"/>
                <w:sz w:val="24"/>
                <w:szCs w:val="24"/>
                <w:lang w:eastAsia="lt-LT"/>
              </w:rPr>
              <w:t xml:space="preserve"> teisės aktų projektai teikiami derinti ne vėliau kaip likus 2 mėnesiams iki pateikimo Vyriausybei dienos. Šia nuostata siekiama užtikrinti projektų pateikimą Vyriausybei svarstyti suplanuotais terminais ir labiau išdiskutuotus bei suderintus su visomis suinteresuotomis institucijomis ir asmenimis. </w:t>
            </w:r>
            <w:r w:rsidRPr="005126CF">
              <w:rPr>
                <w:rFonts w:ascii="Times New Roman" w:hAnsi="Times New Roman"/>
                <w:sz w:val="24"/>
                <w:szCs w:val="24"/>
                <w:lang w:eastAsia="lt-LT"/>
              </w:rPr>
              <w:lastRenderedPageBreak/>
              <w:t>Siekiama, kad projektų rengėjai pradėtų kaip galima anksčiau rengti projektus ir  planuodami projekto rengimo etapus skirtų pakankamai laiko ne tik pačio projekto parengimui institucijoje ir jo derinimui Reglamente nustatytais terminais, bet ir prireikus pateiktų institucijų pastabų bei pozicijų suderinimui, projekto tikslinimui pagal pateiktas pastabas ir kad šios aplinkybės nesąlygotų projektų pateikimo Vyriausybei vėlavimo. Tačiau rengėjas, įvertinęs visas projekto rengimo aplinkybes, projekto sudėtingumą ir kompleksiškumą, gali pateikti projektą derinti ir trumpesniais ar ilgesniais terminais.</w:t>
            </w:r>
          </w:p>
        </w:tc>
      </w:tr>
      <w:tr w:rsidR="00C92979" w:rsidRPr="005126CF" w14:paraId="538BEEF9" w14:textId="77777777" w:rsidTr="00D40A59">
        <w:trPr>
          <w:trHeight w:val="423"/>
        </w:trPr>
        <w:tc>
          <w:tcPr>
            <w:tcW w:w="1702" w:type="dxa"/>
            <w:vMerge/>
            <w:shd w:val="clear" w:color="auto" w:fill="auto"/>
          </w:tcPr>
          <w:p w14:paraId="0661F072" w14:textId="77777777" w:rsidR="00C92979" w:rsidRPr="005126CF" w:rsidRDefault="00C92979" w:rsidP="00FC2D5B">
            <w:pPr>
              <w:jc w:val="both"/>
            </w:pPr>
          </w:p>
        </w:tc>
        <w:tc>
          <w:tcPr>
            <w:tcW w:w="8080" w:type="dxa"/>
            <w:shd w:val="clear" w:color="auto" w:fill="auto"/>
          </w:tcPr>
          <w:p w14:paraId="7651F165" w14:textId="601E7704" w:rsidR="00C92979" w:rsidRPr="005126CF" w:rsidRDefault="00C92979" w:rsidP="00FC2D5B">
            <w:pPr>
              <w:jc w:val="both"/>
            </w:pPr>
            <w:r w:rsidRPr="005126CF">
              <w:t>11. Vyriausybės darbo reglamento 21.2 p. nuostatos lems aiškinamuosiuose raštuose teikiamos informacijos dubliavimą lydraščiuose. Atsižvelgiant į tai, siūlome palikti išlygą tiems atvejams, kai atitinkama informacija būtų patiekiama aiškinamajame rašte</w:t>
            </w:r>
          </w:p>
        </w:tc>
        <w:tc>
          <w:tcPr>
            <w:tcW w:w="5386" w:type="dxa"/>
            <w:shd w:val="clear" w:color="auto" w:fill="auto"/>
          </w:tcPr>
          <w:p w14:paraId="2101F58D" w14:textId="77777777" w:rsidR="0055788F" w:rsidRPr="005126CF" w:rsidRDefault="0055788F"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40A6A16F" w14:textId="7437D8BC" w:rsidR="00C92979" w:rsidRPr="005126CF" w:rsidRDefault="0055788F"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Žiūrėti į pateiktus argumentus </w:t>
            </w:r>
            <w:r w:rsidR="002A6203" w:rsidRPr="005126CF">
              <w:rPr>
                <w:rFonts w:ascii="Times New Roman" w:hAnsi="Times New Roman"/>
                <w:bCs/>
                <w:sz w:val="24"/>
                <w:szCs w:val="24"/>
              </w:rPr>
              <w:t>prie Socialinės apsaugos ir darbo ministerijos pastabos Nr. 7</w:t>
            </w:r>
            <w:r w:rsidRPr="005126CF">
              <w:rPr>
                <w:rFonts w:ascii="Times New Roman" w:hAnsi="Times New Roman"/>
                <w:bCs/>
                <w:sz w:val="24"/>
                <w:szCs w:val="24"/>
              </w:rPr>
              <w:t>.</w:t>
            </w:r>
          </w:p>
        </w:tc>
      </w:tr>
      <w:tr w:rsidR="00C92979" w:rsidRPr="005126CF" w14:paraId="16BC6858" w14:textId="77777777" w:rsidTr="00D40A59">
        <w:trPr>
          <w:trHeight w:val="423"/>
        </w:trPr>
        <w:tc>
          <w:tcPr>
            <w:tcW w:w="1702" w:type="dxa"/>
            <w:vMerge/>
            <w:shd w:val="clear" w:color="auto" w:fill="auto"/>
          </w:tcPr>
          <w:p w14:paraId="3A5BA385" w14:textId="77777777" w:rsidR="00C92979" w:rsidRPr="005126CF" w:rsidRDefault="00C92979" w:rsidP="00FC2D5B">
            <w:pPr>
              <w:jc w:val="both"/>
            </w:pPr>
          </w:p>
        </w:tc>
        <w:tc>
          <w:tcPr>
            <w:tcW w:w="8080" w:type="dxa"/>
            <w:shd w:val="clear" w:color="auto" w:fill="auto"/>
          </w:tcPr>
          <w:p w14:paraId="689CEFB8" w14:textId="77777777" w:rsidR="00C92979" w:rsidRPr="005126CF" w:rsidRDefault="00C92979" w:rsidP="003B1836">
            <w:pPr>
              <w:ind w:firstLine="39"/>
              <w:jc w:val="both"/>
              <w:rPr>
                <w:lang w:val="en-US"/>
              </w:rPr>
            </w:pPr>
            <w:r w:rsidRPr="005126CF">
              <w:t>12.  Vyriausybės darbo reglamento 27 p. ketvirtosios pastraipos nuostatos koreguotinos šiais aspektais:</w:t>
            </w:r>
          </w:p>
          <w:p w14:paraId="67A54DD8" w14:textId="77777777" w:rsidR="00C92979" w:rsidRPr="005126CF" w:rsidRDefault="00C92979" w:rsidP="003B1836">
            <w:pPr>
              <w:ind w:firstLine="39"/>
              <w:jc w:val="both"/>
              <w:rPr>
                <w:lang w:val="en-US"/>
              </w:rPr>
            </w:pPr>
            <w:r w:rsidRPr="005126CF">
              <w:t>12.1. Formuluotė „suinteresuoti asmenys“ persidengtų su ankstesnėse pastraipose vartojama formuluote „išvadas teikiantys subjektai“ ir liktų neaišku, apie kokius subjektus kalbama.</w:t>
            </w:r>
          </w:p>
          <w:p w14:paraId="4BA835CE" w14:textId="77777777" w:rsidR="00C92979" w:rsidRPr="005126CF" w:rsidRDefault="00C92979" w:rsidP="003B1836">
            <w:pPr>
              <w:ind w:firstLine="39"/>
              <w:jc w:val="both"/>
            </w:pPr>
            <w:r w:rsidRPr="005126CF">
              <w:t>12.2.  Vartojama formuluotė „šiame punkte nustatytus atvejus“, jos nedetalizuojant, apimtų visus įmanomus anksčiau nurodytus atvejus, ir taptų neaišku, kurie konkrečiai terminai taikytini kokiu atveju.</w:t>
            </w:r>
          </w:p>
        </w:tc>
        <w:tc>
          <w:tcPr>
            <w:tcW w:w="5386" w:type="dxa"/>
            <w:shd w:val="clear" w:color="auto" w:fill="auto"/>
          </w:tcPr>
          <w:p w14:paraId="773363A0" w14:textId="77777777" w:rsidR="00595A2A" w:rsidRPr="005126CF" w:rsidRDefault="00595A2A"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0F24ED9D" w14:textId="04AF3FB5" w:rsidR="00C92979" w:rsidRPr="005126CF" w:rsidRDefault="00595A2A" w:rsidP="00FC2D5B">
            <w:pPr>
              <w:pStyle w:val="Paprastasistekstas"/>
              <w:jc w:val="both"/>
              <w:rPr>
                <w:rFonts w:ascii="Times New Roman" w:hAnsi="Times New Roman"/>
                <w:bCs/>
                <w:sz w:val="24"/>
                <w:szCs w:val="24"/>
              </w:rPr>
            </w:pPr>
            <w:r w:rsidRPr="005126CF">
              <w:rPr>
                <w:rFonts w:ascii="Times New Roman" w:hAnsi="Times New Roman"/>
                <w:sz w:val="24"/>
                <w:szCs w:val="24"/>
              </w:rPr>
              <w:t>Reglamento 27 p</w:t>
            </w:r>
            <w:r w:rsidR="00083C0E" w:rsidRPr="005126CF">
              <w:rPr>
                <w:rFonts w:ascii="Times New Roman" w:hAnsi="Times New Roman"/>
                <w:sz w:val="24"/>
                <w:szCs w:val="24"/>
              </w:rPr>
              <w:t>. ketvirtoji</w:t>
            </w:r>
            <w:r w:rsidRPr="005126CF">
              <w:rPr>
                <w:rFonts w:ascii="Times New Roman" w:hAnsi="Times New Roman"/>
                <w:sz w:val="24"/>
                <w:szCs w:val="24"/>
              </w:rPr>
              <w:t xml:space="preserve"> pastraipa dėstoma nauju 27</w:t>
            </w:r>
            <w:r w:rsidRPr="005126CF">
              <w:rPr>
                <w:rFonts w:ascii="Times New Roman" w:hAnsi="Times New Roman"/>
                <w:sz w:val="24"/>
                <w:szCs w:val="24"/>
                <w:vertAlign w:val="superscript"/>
              </w:rPr>
              <w:t>1</w:t>
            </w:r>
            <w:r w:rsidRPr="005126CF">
              <w:rPr>
                <w:rFonts w:ascii="Times New Roman" w:hAnsi="Times New Roman"/>
                <w:sz w:val="24"/>
                <w:szCs w:val="24"/>
              </w:rPr>
              <w:t xml:space="preserve"> punktu ir </w:t>
            </w:r>
            <w:r w:rsidRPr="005126CF">
              <w:rPr>
                <w:rFonts w:ascii="Times New Roman" w:hAnsi="Times New Roman"/>
                <w:bCs/>
                <w:sz w:val="24"/>
                <w:szCs w:val="24"/>
              </w:rPr>
              <w:t xml:space="preserve">patikslinta </w:t>
            </w:r>
            <w:r w:rsidRPr="005126CF">
              <w:rPr>
                <w:rFonts w:ascii="Times New Roman" w:hAnsi="Times New Roman"/>
                <w:sz w:val="24"/>
                <w:szCs w:val="24"/>
              </w:rPr>
              <w:t>redakcija. Taip pat žiūrėkite paaiškinimus, pateiktus prie Socialinės apsaugos ir darbo ministerijos pastabos Nr. 9.1.</w:t>
            </w:r>
          </w:p>
        </w:tc>
      </w:tr>
      <w:tr w:rsidR="00C92979" w:rsidRPr="005126CF" w14:paraId="5C202159" w14:textId="77777777" w:rsidTr="00D40A59">
        <w:trPr>
          <w:trHeight w:val="423"/>
        </w:trPr>
        <w:tc>
          <w:tcPr>
            <w:tcW w:w="1702" w:type="dxa"/>
            <w:vMerge/>
            <w:shd w:val="clear" w:color="auto" w:fill="auto"/>
          </w:tcPr>
          <w:p w14:paraId="54FBB64F" w14:textId="77777777" w:rsidR="00C92979" w:rsidRPr="005126CF" w:rsidRDefault="00C92979" w:rsidP="00FC2D5B">
            <w:pPr>
              <w:jc w:val="both"/>
            </w:pPr>
          </w:p>
        </w:tc>
        <w:tc>
          <w:tcPr>
            <w:tcW w:w="8080" w:type="dxa"/>
            <w:shd w:val="clear" w:color="auto" w:fill="auto"/>
          </w:tcPr>
          <w:p w14:paraId="578DD355" w14:textId="77777777" w:rsidR="00C92979" w:rsidRPr="005126CF" w:rsidRDefault="00C92979" w:rsidP="003B1836">
            <w:pPr>
              <w:jc w:val="both"/>
            </w:pPr>
            <w:r w:rsidRPr="005126CF">
              <w:t>13.  Vyriausybės darbo reglamento 28.5 p. apima ir 28.2 p. nurodomą atvejį, dėl to 28.2 p. laikytinas pertekliniu.</w:t>
            </w:r>
          </w:p>
        </w:tc>
        <w:tc>
          <w:tcPr>
            <w:tcW w:w="5386" w:type="dxa"/>
            <w:shd w:val="clear" w:color="auto" w:fill="auto"/>
          </w:tcPr>
          <w:p w14:paraId="2051D97F" w14:textId="554022F4" w:rsidR="00582963" w:rsidRPr="005126CF" w:rsidRDefault="00582963"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1D0D0813" w14:textId="343FAD3D" w:rsidR="00DC12DE" w:rsidRPr="005126CF" w:rsidRDefault="00DC12DE"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Reglamento </w:t>
            </w:r>
            <w:r w:rsidR="00582963" w:rsidRPr="005126CF">
              <w:rPr>
                <w:rFonts w:ascii="Times New Roman" w:hAnsi="Times New Roman"/>
                <w:bCs/>
                <w:sz w:val="24"/>
                <w:szCs w:val="24"/>
              </w:rPr>
              <w:t>28.2 p</w:t>
            </w:r>
            <w:r w:rsidR="003B1836" w:rsidRPr="005126CF">
              <w:rPr>
                <w:rFonts w:ascii="Times New Roman" w:hAnsi="Times New Roman"/>
                <w:bCs/>
                <w:sz w:val="24"/>
                <w:szCs w:val="24"/>
              </w:rPr>
              <w:t>.</w:t>
            </w:r>
            <w:r w:rsidR="00582963" w:rsidRPr="005126CF">
              <w:rPr>
                <w:rFonts w:ascii="Times New Roman" w:hAnsi="Times New Roman"/>
                <w:bCs/>
                <w:sz w:val="24"/>
                <w:szCs w:val="24"/>
              </w:rPr>
              <w:t xml:space="preserve"> suformuluota nuostata taikytina išimtinai Seimui </w:t>
            </w:r>
            <w:r w:rsidRPr="005126CF">
              <w:rPr>
                <w:rFonts w:ascii="Times New Roman" w:hAnsi="Times New Roman"/>
                <w:bCs/>
                <w:sz w:val="24"/>
                <w:szCs w:val="24"/>
              </w:rPr>
              <w:t xml:space="preserve">svarstyti </w:t>
            </w:r>
            <w:r w:rsidR="00582963" w:rsidRPr="005126CF">
              <w:rPr>
                <w:rFonts w:ascii="Times New Roman" w:hAnsi="Times New Roman"/>
                <w:bCs/>
                <w:sz w:val="24"/>
                <w:szCs w:val="24"/>
              </w:rPr>
              <w:t>skubos ar ypatingos skubos tvarka teikiamiems teisės aktų projektams.</w:t>
            </w:r>
          </w:p>
          <w:p w14:paraId="2238123B" w14:textId="266D9DEA" w:rsidR="00C92979" w:rsidRPr="005126CF" w:rsidRDefault="00DC12DE"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Reglamento </w:t>
            </w:r>
            <w:r w:rsidR="00582963" w:rsidRPr="005126CF">
              <w:rPr>
                <w:rFonts w:ascii="Times New Roman" w:hAnsi="Times New Roman"/>
                <w:bCs/>
                <w:sz w:val="24"/>
                <w:szCs w:val="24"/>
              </w:rPr>
              <w:t>28.5 p</w:t>
            </w:r>
            <w:r w:rsidR="003B1836" w:rsidRPr="005126CF">
              <w:rPr>
                <w:rFonts w:ascii="Times New Roman" w:hAnsi="Times New Roman"/>
                <w:bCs/>
                <w:sz w:val="24"/>
                <w:szCs w:val="24"/>
              </w:rPr>
              <w:t>.</w:t>
            </w:r>
            <w:r w:rsidR="00582963" w:rsidRPr="005126CF">
              <w:rPr>
                <w:rFonts w:ascii="Times New Roman" w:hAnsi="Times New Roman"/>
                <w:bCs/>
                <w:sz w:val="24"/>
                <w:szCs w:val="24"/>
              </w:rPr>
              <w:t xml:space="preserve"> papildomai įrašyti žodžiai „</w:t>
            </w:r>
            <w:r w:rsidR="00582963" w:rsidRPr="005126CF">
              <w:rPr>
                <w:rFonts w:ascii="Times New Roman" w:hAnsi="Times New Roman"/>
                <w:sz w:val="24"/>
                <w:szCs w:val="24"/>
                <w:lang w:eastAsia="lt-LT"/>
              </w:rPr>
              <w:t>Vyriausybės nutarimų“.</w:t>
            </w:r>
          </w:p>
        </w:tc>
      </w:tr>
      <w:tr w:rsidR="00C92979" w:rsidRPr="005126CF" w14:paraId="63D5B59F" w14:textId="77777777" w:rsidTr="00D40A59">
        <w:trPr>
          <w:trHeight w:val="423"/>
        </w:trPr>
        <w:tc>
          <w:tcPr>
            <w:tcW w:w="1702" w:type="dxa"/>
            <w:vMerge/>
            <w:shd w:val="clear" w:color="auto" w:fill="auto"/>
          </w:tcPr>
          <w:p w14:paraId="1AE51D8B" w14:textId="77777777" w:rsidR="00C92979" w:rsidRPr="005126CF" w:rsidRDefault="00C92979" w:rsidP="00FC2D5B">
            <w:pPr>
              <w:jc w:val="both"/>
            </w:pPr>
          </w:p>
        </w:tc>
        <w:tc>
          <w:tcPr>
            <w:tcW w:w="8080" w:type="dxa"/>
            <w:shd w:val="clear" w:color="auto" w:fill="auto"/>
          </w:tcPr>
          <w:p w14:paraId="62AB0FEC" w14:textId="1DDD1646" w:rsidR="00C92979" w:rsidRPr="005126CF" w:rsidRDefault="00C92979" w:rsidP="003B1836">
            <w:pPr>
              <w:jc w:val="both"/>
            </w:pPr>
            <w:r w:rsidRPr="005126CF">
              <w:t>15.</w:t>
            </w:r>
            <w:r w:rsidR="003B1836" w:rsidRPr="005126CF">
              <w:t xml:space="preserve"> </w:t>
            </w:r>
            <w:r w:rsidRPr="005126CF">
              <w:t>Vyriausybės posėdžio protokolas, kuriame fiksuojami paskutiniai Vyriausybei pateikto projekto pakeitimai ir korekcijos posėdžio metu, siekiant užtikrinti teisėkūros viešumą ir įgyvendinti Teisėkūros pagrindų įstatymo 3 str. 2</w:t>
            </w:r>
            <w:r w:rsidR="003B1836" w:rsidRPr="005126CF">
              <w:t> </w:t>
            </w:r>
            <w:r w:rsidRPr="005126CF">
              <w:t xml:space="preserve">d. 4 p. įtvirtintus atvirumo ir skaidrumo principus, tais atvejais, kai Vyriausybės </w:t>
            </w:r>
            <w:r w:rsidRPr="005126CF">
              <w:lastRenderedPageBreak/>
              <w:t>posėdžio metu keičiamas TAIS skelbtas teisės akto projektas, turėtų būti viešas ir prieinamas TAIS kartu su projekto medžiaga. Atsižvelgiant į tai, siūlytina visiškai neatsisakyti Vyriausybės darbo reglamento 83 p. paskutiniojo sakinio, o tik jį koreguoti, apimant atvejus, kai Vyriausybės posėdžio metu buvo atliktos TAIS skelbto teisės akto projekto korekcijos.</w:t>
            </w:r>
          </w:p>
        </w:tc>
        <w:tc>
          <w:tcPr>
            <w:tcW w:w="5386" w:type="dxa"/>
            <w:shd w:val="clear" w:color="auto" w:fill="auto"/>
          </w:tcPr>
          <w:p w14:paraId="578EB3F0" w14:textId="77777777" w:rsidR="00C92979" w:rsidRPr="005126CF" w:rsidRDefault="00C92979" w:rsidP="00FC2D5B">
            <w:pPr>
              <w:pStyle w:val="Paprastasistekstas"/>
              <w:jc w:val="both"/>
              <w:rPr>
                <w:rFonts w:ascii="Times New Roman" w:eastAsia="Times New Roman" w:hAnsi="Times New Roman"/>
                <w:b/>
                <w:sz w:val="24"/>
                <w:szCs w:val="24"/>
                <w:lang w:eastAsia="lt-LT"/>
              </w:rPr>
            </w:pPr>
            <w:r w:rsidRPr="005126CF">
              <w:rPr>
                <w:rFonts w:ascii="Times New Roman" w:eastAsia="Times New Roman" w:hAnsi="Times New Roman"/>
                <w:b/>
                <w:sz w:val="24"/>
                <w:szCs w:val="24"/>
                <w:lang w:eastAsia="lt-LT"/>
              </w:rPr>
              <w:lastRenderedPageBreak/>
              <w:t>Neatsižvelgta.</w:t>
            </w:r>
          </w:p>
          <w:p w14:paraId="1899EAE9" w14:textId="77777777" w:rsidR="00C92979" w:rsidRPr="005126CF" w:rsidRDefault="00C92979" w:rsidP="00FC2D5B">
            <w:pPr>
              <w:pStyle w:val="Paprastasistekstas"/>
              <w:jc w:val="both"/>
              <w:rPr>
                <w:rFonts w:ascii="Times New Roman" w:eastAsia="Times New Roman" w:hAnsi="Times New Roman"/>
                <w:sz w:val="24"/>
                <w:szCs w:val="24"/>
                <w:lang w:eastAsia="lt-LT"/>
              </w:rPr>
            </w:pPr>
            <w:r w:rsidRPr="005126CF">
              <w:rPr>
                <w:rFonts w:ascii="Times New Roman" w:eastAsia="Times New Roman" w:hAnsi="Times New Roman"/>
                <w:sz w:val="24"/>
                <w:szCs w:val="24"/>
                <w:lang w:eastAsia="lt-LT"/>
              </w:rPr>
              <w:t xml:space="preserve">Visi Vyriausybės posėdžių ir pasitarimų protokolai (taip pat jų garso įrašai) yra vieši. Jie kartu su posėdžių ir pasitarimų darbotvarkėmis skelbiami ir </w:t>
            </w:r>
            <w:r w:rsidRPr="005126CF">
              <w:rPr>
                <w:rFonts w:ascii="Times New Roman" w:eastAsia="Times New Roman" w:hAnsi="Times New Roman"/>
                <w:sz w:val="24"/>
                <w:szCs w:val="24"/>
                <w:lang w:eastAsia="lt-LT"/>
              </w:rPr>
              <w:lastRenderedPageBreak/>
              <w:t>visiems prieinami portale „Mano Vyriausybė“. Viso protokolo (išrašai nebedaromi) susiejimas su jau priimtu teisės aktu sukelia nereikalingą administracinę naštą.</w:t>
            </w:r>
          </w:p>
        </w:tc>
      </w:tr>
      <w:tr w:rsidR="00C92979" w:rsidRPr="005126CF" w14:paraId="51E64877" w14:textId="77777777" w:rsidTr="00D40A59">
        <w:trPr>
          <w:trHeight w:val="423"/>
        </w:trPr>
        <w:tc>
          <w:tcPr>
            <w:tcW w:w="1702" w:type="dxa"/>
            <w:vMerge/>
            <w:shd w:val="clear" w:color="auto" w:fill="auto"/>
          </w:tcPr>
          <w:p w14:paraId="23F59DC1" w14:textId="77777777" w:rsidR="00C92979" w:rsidRPr="005126CF" w:rsidRDefault="00C92979" w:rsidP="00FC2D5B">
            <w:pPr>
              <w:jc w:val="both"/>
            </w:pPr>
          </w:p>
        </w:tc>
        <w:tc>
          <w:tcPr>
            <w:tcW w:w="8080" w:type="dxa"/>
            <w:shd w:val="clear" w:color="auto" w:fill="auto"/>
          </w:tcPr>
          <w:p w14:paraId="20B1A9CA" w14:textId="77777777" w:rsidR="00C92979" w:rsidRPr="005126CF" w:rsidRDefault="00C92979" w:rsidP="003B1836">
            <w:pPr>
              <w:jc w:val="both"/>
            </w:pPr>
            <w:r w:rsidRPr="005126CF">
              <w:t>17.  Lieka neapibrėžtas naujų Vyriausybės darbo reglamento 101 p. ir 108</w:t>
            </w:r>
            <w:r w:rsidRPr="005126CF">
              <w:rPr>
                <w:vertAlign w:val="superscript"/>
              </w:rPr>
              <w:t>1</w:t>
            </w:r>
            <w:r w:rsidRPr="005126CF">
              <w:t xml:space="preserve"> p. nuostatų tikslas ir paskirtis. Valstybės institucijose parengtų dokumentų saugojimą reglamentuoja Dokumentų ir archyvų įstatymas ir jo įgyvendinamieji teisės aktai. Atsižvelgiant į tai, neaiškus tikslingumas atitinkamomis nuostatomis pildyti Vyriausybės darbo reglamentą. Jei turimas omenyje Vyriausybei pateiktų dokumentų grąžinimas rengėjams saugojimui, siūlomos nuostatos to aiškiai neapima.</w:t>
            </w:r>
          </w:p>
        </w:tc>
        <w:tc>
          <w:tcPr>
            <w:tcW w:w="5386" w:type="dxa"/>
            <w:shd w:val="clear" w:color="auto" w:fill="auto"/>
          </w:tcPr>
          <w:p w14:paraId="5ACB7875" w14:textId="77777777"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4AD904AF" w14:textId="77777777" w:rsidR="00C92979" w:rsidRPr="005126CF" w:rsidRDefault="00C92979" w:rsidP="00FC2D5B">
            <w:pPr>
              <w:pStyle w:val="Paprastasistekstas"/>
              <w:jc w:val="both"/>
              <w:rPr>
                <w:rFonts w:ascii="Times New Roman" w:hAnsi="Times New Roman"/>
                <w:bCs/>
                <w:sz w:val="24"/>
                <w:szCs w:val="24"/>
              </w:rPr>
            </w:pPr>
            <w:r w:rsidRPr="005126CF">
              <w:rPr>
                <w:rFonts w:ascii="Times New Roman" w:hAnsi="Times New Roman"/>
                <w:bCs/>
                <w:sz w:val="24"/>
                <w:szCs w:val="24"/>
              </w:rPr>
              <w:t>Siūlomas teisinis reguliavimas pagrįstas teikime Vyriausybei.</w:t>
            </w:r>
          </w:p>
          <w:p w14:paraId="029581CC" w14:textId="50DE410A" w:rsidR="00C92979" w:rsidRPr="005126CF" w:rsidRDefault="00C92979" w:rsidP="00FC2D5B">
            <w:pPr>
              <w:pStyle w:val="Paprastasistekstas"/>
              <w:jc w:val="both"/>
              <w:rPr>
                <w:rFonts w:ascii="Times New Roman" w:eastAsia="Times New Roman" w:hAnsi="Times New Roman"/>
                <w:sz w:val="24"/>
                <w:szCs w:val="24"/>
                <w:lang w:eastAsia="lt-LT"/>
              </w:rPr>
            </w:pPr>
            <w:bookmarkStart w:id="2" w:name="_Hlk5189330"/>
            <w:r w:rsidRPr="005126CF">
              <w:rPr>
                <w:rFonts w:ascii="Times New Roman" w:eastAsia="Times New Roman" w:hAnsi="Times New Roman"/>
                <w:sz w:val="24"/>
                <w:szCs w:val="24"/>
                <w:lang w:eastAsia="lt-LT"/>
              </w:rPr>
              <w:t>2019 m. sausio 1 d. įsigaliojus Vyriausybės įstatymo 46 straipsnio 1 dalies pakeitimams Vyriausybės kanceliarijoje nuo 2019 m. sausio 1 d. saugomi tik pasirašyti Vyriausybės nutarimai, Vyriausybės sprendimai, Vyriausybės rezoliucijos ir Ministro Pirmininko potvarkiai.</w:t>
            </w:r>
          </w:p>
          <w:p w14:paraId="3CA128E1" w14:textId="7971EA7C" w:rsidR="00C92979" w:rsidRPr="005126CF" w:rsidRDefault="00C92979" w:rsidP="00FC2D5B">
            <w:pPr>
              <w:pStyle w:val="Paprastasistekstas"/>
              <w:jc w:val="both"/>
              <w:rPr>
                <w:rFonts w:ascii="Times New Roman" w:eastAsia="Times New Roman" w:hAnsi="Times New Roman"/>
                <w:sz w:val="24"/>
                <w:szCs w:val="24"/>
                <w:lang w:eastAsia="lt-LT"/>
              </w:rPr>
            </w:pPr>
            <w:r w:rsidRPr="005126CF">
              <w:rPr>
                <w:rFonts w:ascii="Times New Roman" w:eastAsia="Times New Roman" w:hAnsi="Times New Roman"/>
                <w:sz w:val="24"/>
                <w:szCs w:val="24"/>
                <w:lang w:eastAsia="lt-LT"/>
              </w:rPr>
              <w:t>Vyriausybės nutarimų rengimo dokumentai (lydraštis-teikimas, Vyriausybės nutarimo projektas, jo lyginamasis variantas, Vyriausybės nutarimo projekto derinimo pažyma, institucijų derinimo raštai, kiti su nutarimo rengimu susiję dokumentai ir visų teikiamų projektų variantai), Vyriausybės sprendimų, Vyriausybės rezoliucijų rengimo dokumentai turėtų būti saugomi institucijose, teikiančiose Vyriausybės nutarimų projektus, Dokumentų ir archyvų įstatymo nustatyta tvarka.</w:t>
            </w:r>
          </w:p>
          <w:p w14:paraId="0DAA1B4E" w14:textId="0908306C" w:rsidR="00C92979" w:rsidRPr="005126CF" w:rsidRDefault="00C92979" w:rsidP="00FC2D5B">
            <w:pPr>
              <w:pStyle w:val="Paprastasistekstas"/>
              <w:jc w:val="both"/>
              <w:rPr>
                <w:rFonts w:ascii="Times New Roman" w:eastAsia="Times New Roman" w:hAnsi="Times New Roman"/>
                <w:sz w:val="24"/>
                <w:szCs w:val="24"/>
                <w:lang w:eastAsia="lt-LT"/>
              </w:rPr>
            </w:pPr>
            <w:r w:rsidRPr="005126CF">
              <w:rPr>
                <w:rFonts w:ascii="Times New Roman" w:eastAsia="Times New Roman" w:hAnsi="Times New Roman"/>
                <w:sz w:val="24"/>
                <w:szCs w:val="24"/>
                <w:lang w:eastAsia="lt-LT"/>
              </w:rPr>
              <w:t xml:space="preserve">Vyriausybės nutarimų, Vyriausybės sprendimų, Vyriausybės rezoliucijų projektus institucijos Vyriausybės kanceliarijai per TAIS teikdavo įvairaus formato, o dauguma jų buvo skenuotos skaitmeninės dokumentų kopijos </w:t>
            </w:r>
            <w:proofErr w:type="spellStart"/>
            <w:r w:rsidRPr="005126CF">
              <w:rPr>
                <w:rFonts w:ascii="Times New Roman" w:eastAsia="Times New Roman" w:hAnsi="Times New Roman"/>
                <w:i/>
                <w:sz w:val="24"/>
                <w:szCs w:val="24"/>
                <w:lang w:eastAsia="lt-LT"/>
              </w:rPr>
              <w:t>pdf</w:t>
            </w:r>
            <w:proofErr w:type="spellEnd"/>
            <w:r w:rsidRPr="005126CF">
              <w:rPr>
                <w:rFonts w:ascii="Times New Roman" w:eastAsia="Times New Roman" w:hAnsi="Times New Roman"/>
                <w:sz w:val="24"/>
                <w:szCs w:val="24"/>
                <w:lang w:eastAsia="lt-LT"/>
              </w:rPr>
              <w:t xml:space="preserve"> formatu, todėl priėmus </w:t>
            </w:r>
            <w:r w:rsidR="008410E2" w:rsidRPr="005126CF">
              <w:rPr>
                <w:rFonts w:ascii="Times New Roman" w:eastAsia="Times New Roman" w:hAnsi="Times New Roman"/>
                <w:sz w:val="24"/>
                <w:szCs w:val="24"/>
                <w:lang w:eastAsia="lt-LT"/>
              </w:rPr>
              <w:t xml:space="preserve">Reglamento </w:t>
            </w:r>
            <w:r w:rsidRPr="005126CF">
              <w:rPr>
                <w:rFonts w:ascii="Times New Roman" w:eastAsia="Times New Roman" w:hAnsi="Times New Roman"/>
                <w:sz w:val="24"/>
                <w:szCs w:val="24"/>
                <w:lang w:eastAsia="lt-LT"/>
              </w:rPr>
              <w:t xml:space="preserve">101 p. ir 108 p. nuostatas institucijoms neliks administracinės naštos papildomai pateikti Vyriausybės kanceliarijai popierinio formato teisės aktų projektų originalus.  </w:t>
            </w:r>
            <w:bookmarkEnd w:id="2"/>
          </w:p>
        </w:tc>
      </w:tr>
      <w:tr w:rsidR="00C92979" w:rsidRPr="005126CF" w14:paraId="52F80C3B" w14:textId="77777777" w:rsidTr="00D40A59">
        <w:trPr>
          <w:trHeight w:val="423"/>
        </w:trPr>
        <w:tc>
          <w:tcPr>
            <w:tcW w:w="1702" w:type="dxa"/>
            <w:vMerge/>
            <w:shd w:val="clear" w:color="auto" w:fill="auto"/>
          </w:tcPr>
          <w:p w14:paraId="519B4787" w14:textId="77777777" w:rsidR="00C92979" w:rsidRPr="005126CF" w:rsidRDefault="00C92979" w:rsidP="00FC2D5B">
            <w:pPr>
              <w:jc w:val="both"/>
            </w:pPr>
          </w:p>
        </w:tc>
        <w:tc>
          <w:tcPr>
            <w:tcW w:w="8080" w:type="dxa"/>
            <w:shd w:val="clear" w:color="auto" w:fill="auto"/>
          </w:tcPr>
          <w:p w14:paraId="4D13EB32" w14:textId="77777777" w:rsidR="00C92979" w:rsidRPr="005126CF" w:rsidRDefault="00C92979" w:rsidP="003B1836">
            <w:pPr>
              <w:jc w:val="both"/>
              <w:rPr>
                <w:lang w:val="en-US"/>
              </w:rPr>
            </w:pPr>
            <w:r w:rsidRPr="005126CF">
              <w:t xml:space="preserve">19.  Vertinant teisės aktų projektų, kuriuose yra komercinę paslaptį sudarančios informacijos ar asmens duomenų, atžvilgiu nustatomą reguliavimą, siekiant </w:t>
            </w:r>
            <w:r w:rsidRPr="005126CF">
              <w:lastRenderedPageBreak/>
              <w:t>tinkamo Teisėkūros pagrindų įstatymo 3 str. įtvirtintų atvirumo ir skaidrumo bei proporcingumo principų įgyvendinimo, siūlome įvertinti galimybę ir tik dalies projektą lydinčios medžiagos informacijos neskelbti TAIS (kai pačiuose projektuose nebūtų užfiksuota komercinę paslaptį sudaranti informacija ar asmens duomenys).</w:t>
            </w:r>
          </w:p>
          <w:p w14:paraId="1032BF40" w14:textId="77777777" w:rsidR="00C92979" w:rsidRPr="005126CF" w:rsidRDefault="00C92979" w:rsidP="003B1836">
            <w:pPr>
              <w:jc w:val="both"/>
            </w:pPr>
            <w:r w:rsidRPr="005126CF">
              <w:t>Tuo pačiu pastebėtina, kad vertinant komercinės paslapties apsaugos instituto įgyvendinimą viešojo administravimo sistemoje, konstatuotina teisinio reguliavimo nepakankamumas ir neišbaigtumas. Pastebėtina, kad šis klausimas tik fragmentiškai reglamentuotas Konkurencijos įstatyme, Viešųjų pirkimų įstatyme, Geležinkelių transporto kodekse, tačiau šis reguliavimais apima tik konkrečius sektorius ir vykdomą konkrečią veiklą. Kitais atvejais šie klausimai nesureglamentuoti, o institucijos, esant poreikiui, negali tokiai informacijai suteikti riboto naudojimo statuso ir priskirti tarnybinei informacijai (nors tokios informacijos atskleidimas ar išviešinimas ir galėtų sukelti neigiamas finansines pasekmes valstybės institucijai). Siūlytina šį klausimą spręsti sistemiškai, peržiūrint ir Valstybės ir tarnybos paslapčių įstatymo 7 str. 2 d. ir įvertinant poreikį nustatyti galimybę komercinei paslapčiai suteikti tarnybinės informacijos statusą.</w:t>
            </w:r>
          </w:p>
        </w:tc>
        <w:tc>
          <w:tcPr>
            <w:tcW w:w="5386" w:type="dxa"/>
            <w:shd w:val="clear" w:color="auto" w:fill="auto"/>
          </w:tcPr>
          <w:p w14:paraId="6FC279A1" w14:textId="31B634A5" w:rsidR="00C92979" w:rsidRPr="005126CF" w:rsidRDefault="00127DBC"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Atsižvelgta (dėl 1 pastraipos)</w:t>
            </w:r>
          </w:p>
          <w:p w14:paraId="12C10CED" w14:textId="77777777" w:rsidR="00C92979" w:rsidRPr="005126CF" w:rsidRDefault="00C92979" w:rsidP="00FC2D5B">
            <w:pPr>
              <w:pStyle w:val="Paprastasistekstas"/>
              <w:jc w:val="both"/>
              <w:rPr>
                <w:rFonts w:ascii="Times New Roman" w:hAnsi="Times New Roman"/>
                <w:b/>
                <w:bCs/>
                <w:sz w:val="24"/>
                <w:szCs w:val="24"/>
              </w:rPr>
            </w:pPr>
          </w:p>
          <w:p w14:paraId="1319A842" w14:textId="77777777" w:rsidR="00C92979" w:rsidRPr="005126CF" w:rsidRDefault="00C92979" w:rsidP="00FC2D5B">
            <w:pPr>
              <w:pStyle w:val="Paprastasistekstas"/>
              <w:jc w:val="both"/>
              <w:rPr>
                <w:rFonts w:ascii="Times New Roman" w:hAnsi="Times New Roman"/>
                <w:b/>
                <w:bCs/>
                <w:sz w:val="24"/>
                <w:szCs w:val="24"/>
              </w:rPr>
            </w:pPr>
          </w:p>
          <w:p w14:paraId="5A589C61" w14:textId="77777777" w:rsidR="00C92979" w:rsidRPr="005126CF" w:rsidRDefault="00C92979" w:rsidP="00FC2D5B">
            <w:pPr>
              <w:pStyle w:val="Paprastasistekstas"/>
              <w:jc w:val="both"/>
              <w:rPr>
                <w:rFonts w:ascii="Times New Roman" w:hAnsi="Times New Roman"/>
                <w:b/>
                <w:bCs/>
                <w:sz w:val="24"/>
                <w:szCs w:val="24"/>
              </w:rPr>
            </w:pPr>
          </w:p>
          <w:p w14:paraId="14741C1E" w14:textId="77777777" w:rsidR="00C92979" w:rsidRPr="005126CF" w:rsidRDefault="00C92979" w:rsidP="00FC2D5B">
            <w:pPr>
              <w:pStyle w:val="Paprastasistekstas"/>
              <w:jc w:val="both"/>
              <w:rPr>
                <w:rFonts w:ascii="Times New Roman" w:hAnsi="Times New Roman"/>
                <w:b/>
                <w:bCs/>
                <w:sz w:val="24"/>
                <w:szCs w:val="24"/>
              </w:rPr>
            </w:pPr>
          </w:p>
          <w:p w14:paraId="45676D6F" w14:textId="77777777" w:rsidR="00C92979" w:rsidRPr="005126CF" w:rsidRDefault="00C92979" w:rsidP="00FC2D5B">
            <w:pPr>
              <w:pStyle w:val="Paprastasistekstas"/>
              <w:jc w:val="both"/>
              <w:rPr>
                <w:rFonts w:ascii="Times New Roman" w:hAnsi="Times New Roman"/>
                <w:b/>
                <w:bCs/>
                <w:sz w:val="24"/>
                <w:szCs w:val="24"/>
              </w:rPr>
            </w:pPr>
          </w:p>
          <w:p w14:paraId="661C6F85" w14:textId="77777777" w:rsidR="00127DBC" w:rsidRPr="005126CF" w:rsidRDefault="00127DBC" w:rsidP="00FC2D5B">
            <w:pPr>
              <w:pStyle w:val="Paprastasistekstas"/>
              <w:jc w:val="both"/>
              <w:rPr>
                <w:rFonts w:ascii="Times New Roman" w:hAnsi="Times New Roman"/>
                <w:b/>
                <w:bCs/>
                <w:sz w:val="24"/>
                <w:szCs w:val="24"/>
              </w:rPr>
            </w:pPr>
          </w:p>
          <w:p w14:paraId="2BDE208E" w14:textId="04AF0C4B" w:rsidR="00C92979" w:rsidRPr="005126CF" w:rsidRDefault="00C92979"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Pritar</w:t>
            </w:r>
            <w:r w:rsidR="0025581C" w:rsidRPr="005126CF">
              <w:rPr>
                <w:rFonts w:ascii="Times New Roman" w:hAnsi="Times New Roman"/>
                <w:b/>
                <w:bCs/>
                <w:sz w:val="24"/>
                <w:szCs w:val="24"/>
              </w:rPr>
              <w:t>tina, kad reikia inicijuoti atitinkamų įstatymų pakeitimus</w:t>
            </w:r>
            <w:r w:rsidRPr="005126CF">
              <w:rPr>
                <w:rFonts w:ascii="Times New Roman" w:hAnsi="Times New Roman"/>
                <w:b/>
                <w:bCs/>
                <w:sz w:val="24"/>
                <w:szCs w:val="24"/>
              </w:rPr>
              <w:t xml:space="preserve"> (dėl 2 pastraipos)</w:t>
            </w:r>
          </w:p>
          <w:p w14:paraId="0393AA47" w14:textId="4C3A2EDF" w:rsidR="00C92979" w:rsidRPr="005126CF" w:rsidRDefault="00C92979" w:rsidP="00FC2D5B">
            <w:pPr>
              <w:pStyle w:val="Paprastasistekstas"/>
              <w:jc w:val="both"/>
              <w:rPr>
                <w:rFonts w:ascii="Times New Roman" w:hAnsi="Times New Roman"/>
                <w:b/>
                <w:bCs/>
                <w:sz w:val="24"/>
                <w:szCs w:val="24"/>
              </w:rPr>
            </w:pPr>
            <w:r w:rsidRPr="005126CF">
              <w:rPr>
                <w:rFonts w:ascii="Times New Roman" w:eastAsia="Times New Roman" w:hAnsi="Times New Roman"/>
                <w:sz w:val="24"/>
                <w:szCs w:val="24"/>
                <w:lang w:eastAsia="lt-LT"/>
              </w:rPr>
              <w:t xml:space="preserve">Pažymėtina, kad </w:t>
            </w:r>
            <w:r w:rsidR="00127DBC" w:rsidRPr="005126CF">
              <w:rPr>
                <w:rFonts w:ascii="Times New Roman" w:eastAsia="Times New Roman" w:hAnsi="Times New Roman"/>
                <w:sz w:val="24"/>
                <w:szCs w:val="24"/>
                <w:lang w:eastAsia="lt-LT"/>
              </w:rPr>
              <w:t>Ministr</w:t>
            </w:r>
            <w:r w:rsidR="00110D27" w:rsidRPr="005126CF">
              <w:rPr>
                <w:rFonts w:ascii="Times New Roman" w:eastAsia="Times New Roman" w:hAnsi="Times New Roman"/>
                <w:sz w:val="24"/>
                <w:szCs w:val="24"/>
                <w:lang w:eastAsia="lt-LT"/>
              </w:rPr>
              <w:t>o</w:t>
            </w:r>
            <w:r w:rsidR="00127DBC" w:rsidRPr="005126CF">
              <w:rPr>
                <w:rFonts w:ascii="Times New Roman" w:eastAsia="Times New Roman" w:hAnsi="Times New Roman"/>
                <w:sz w:val="24"/>
                <w:szCs w:val="24"/>
                <w:lang w:eastAsia="lt-LT"/>
              </w:rPr>
              <w:t xml:space="preserve"> Pirminink</w:t>
            </w:r>
            <w:r w:rsidR="00110D27" w:rsidRPr="005126CF">
              <w:rPr>
                <w:rFonts w:ascii="Times New Roman" w:eastAsia="Times New Roman" w:hAnsi="Times New Roman"/>
                <w:sz w:val="24"/>
                <w:szCs w:val="24"/>
                <w:lang w:eastAsia="lt-LT"/>
              </w:rPr>
              <w:t xml:space="preserve">o pavedimu </w:t>
            </w:r>
            <w:r w:rsidR="004F409E" w:rsidRPr="005126CF">
              <w:rPr>
                <w:rFonts w:ascii="Times New Roman" w:eastAsia="Times New Roman" w:hAnsi="Times New Roman"/>
                <w:sz w:val="24"/>
                <w:szCs w:val="24"/>
                <w:lang w:eastAsia="lt-LT"/>
              </w:rPr>
              <w:t xml:space="preserve">įformintu </w:t>
            </w:r>
            <w:r w:rsidR="00110D27" w:rsidRPr="005126CF">
              <w:rPr>
                <w:rFonts w:ascii="Times New Roman" w:eastAsia="Times New Roman" w:hAnsi="Times New Roman"/>
                <w:sz w:val="24"/>
                <w:szCs w:val="24"/>
                <w:lang w:eastAsia="lt-LT"/>
              </w:rPr>
              <w:t>Vyriausybės kancleri</w:t>
            </w:r>
            <w:r w:rsidR="004F409E" w:rsidRPr="005126CF">
              <w:rPr>
                <w:rFonts w:ascii="Times New Roman" w:eastAsia="Times New Roman" w:hAnsi="Times New Roman"/>
                <w:sz w:val="24"/>
                <w:szCs w:val="24"/>
                <w:lang w:eastAsia="lt-LT"/>
              </w:rPr>
              <w:t>o</w:t>
            </w:r>
            <w:r w:rsidR="00127DBC" w:rsidRPr="005126CF">
              <w:rPr>
                <w:rFonts w:ascii="Times New Roman" w:eastAsia="Times New Roman" w:hAnsi="Times New Roman"/>
                <w:sz w:val="24"/>
                <w:szCs w:val="24"/>
                <w:lang w:eastAsia="lt-LT"/>
              </w:rPr>
              <w:t xml:space="preserve"> </w:t>
            </w:r>
            <w:r w:rsidRPr="005126CF">
              <w:rPr>
                <w:rFonts w:ascii="Times New Roman" w:eastAsia="Times New Roman" w:hAnsi="Times New Roman"/>
                <w:sz w:val="24"/>
                <w:szCs w:val="24"/>
                <w:lang w:eastAsia="lt-LT"/>
              </w:rPr>
              <w:t>2018-12-03 pavedimu Nr. S-4225 yra pave</w:t>
            </w:r>
            <w:r w:rsidR="004F409E" w:rsidRPr="005126CF">
              <w:rPr>
                <w:rFonts w:ascii="Times New Roman" w:eastAsia="Times New Roman" w:hAnsi="Times New Roman"/>
                <w:sz w:val="24"/>
                <w:szCs w:val="24"/>
                <w:lang w:eastAsia="lt-LT"/>
              </w:rPr>
              <w:t xml:space="preserve">sta </w:t>
            </w:r>
            <w:r w:rsidRPr="005126CF">
              <w:rPr>
                <w:rFonts w:ascii="Times New Roman" w:eastAsia="Times New Roman" w:hAnsi="Times New Roman"/>
                <w:sz w:val="24"/>
                <w:szCs w:val="24"/>
                <w:lang w:eastAsia="lt-LT"/>
              </w:rPr>
              <w:t xml:space="preserve">Krašto apsaugos ministerijai kartu su Vidaus reikalų, Ūkio ir Susisiekimo ministerijomis įvertinti elektroninės informacijos ir kitos su kibernetiniu saugumu  susijusios informacijos teikimo  pareiškėjams  teisinį reglamentavimą ir poreikį keisti teisės aktų projektus, o prireikus </w:t>
            </w:r>
            <w:r w:rsidR="0025581C" w:rsidRPr="005126CF">
              <w:rPr>
                <w:rFonts w:ascii="Times New Roman" w:eastAsia="Times New Roman" w:hAnsi="Times New Roman"/>
                <w:sz w:val="24"/>
                <w:szCs w:val="24"/>
                <w:lang w:eastAsia="lt-LT"/>
              </w:rPr>
              <w:t xml:space="preserve">juos </w:t>
            </w:r>
            <w:r w:rsidRPr="005126CF">
              <w:rPr>
                <w:rFonts w:ascii="Times New Roman" w:eastAsia="Times New Roman" w:hAnsi="Times New Roman"/>
                <w:sz w:val="24"/>
                <w:szCs w:val="24"/>
                <w:lang w:eastAsia="lt-LT"/>
              </w:rPr>
              <w:t xml:space="preserve">parengti bei pateikti Vyriausybei svarstyti. </w:t>
            </w:r>
          </w:p>
        </w:tc>
      </w:tr>
      <w:tr w:rsidR="00C92979" w:rsidRPr="005126CF" w14:paraId="70D950D2" w14:textId="77777777" w:rsidTr="00D40A59">
        <w:trPr>
          <w:trHeight w:val="423"/>
        </w:trPr>
        <w:tc>
          <w:tcPr>
            <w:tcW w:w="1702" w:type="dxa"/>
            <w:vMerge w:val="restart"/>
            <w:tcBorders>
              <w:top w:val="single" w:sz="4" w:space="0" w:color="auto"/>
            </w:tcBorders>
            <w:shd w:val="clear" w:color="auto" w:fill="auto"/>
          </w:tcPr>
          <w:p w14:paraId="10FA143F" w14:textId="77777777" w:rsidR="00C92979" w:rsidRPr="005126CF" w:rsidRDefault="00C92979" w:rsidP="00FC2D5B">
            <w:r w:rsidRPr="005126CF">
              <w:lastRenderedPageBreak/>
              <w:t>Finansų ministerijos 2019- 03-20 išvada Nr. (9.4E)-6K-1901623</w:t>
            </w:r>
          </w:p>
        </w:tc>
        <w:tc>
          <w:tcPr>
            <w:tcW w:w="8080" w:type="dxa"/>
            <w:shd w:val="clear" w:color="auto" w:fill="auto"/>
          </w:tcPr>
          <w:p w14:paraId="64E75C13" w14:textId="77777777" w:rsidR="00C92979" w:rsidRPr="005126CF" w:rsidRDefault="00C92979" w:rsidP="003B1836">
            <w:pPr>
              <w:jc w:val="both"/>
            </w:pPr>
            <w:r w:rsidRPr="005126CF">
              <w:t>1. LRV darbo reglamentas (Projekto 6 ir 7 punktai) pildomas kai kuriuos strateginio planavimo elementus nustatančiomis nuostatomis, pvz., subjektais – Ministro Pirmininko strateginių projektų portfelio komisija (LRV darbo reglamento 10</w:t>
            </w:r>
            <w:r w:rsidRPr="005126CF">
              <w:rPr>
                <w:vertAlign w:val="superscript"/>
              </w:rPr>
              <w:t>1</w:t>
            </w:r>
            <w:r w:rsidRPr="005126CF">
              <w:t xml:space="preserve"> punktas) ir institucijų projektų portfelio komisijomis (LRV darbo reglamento 10</w:t>
            </w:r>
            <w:r w:rsidRPr="005126CF">
              <w:rPr>
                <w:vertAlign w:val="superscript"/>
              </w:rPr>
              <w:t>2</w:t>
            </w:r>
            <w:r w:rsidRPr="005126CF">
              <w:t xml:space="preserve"> punktas). Siūlomos nuostatos yra visiškai naujos strateginio planavimo praktikoje ir nėra aišku kaip jos derės su jau galiojančiu strateginio planavimo teisiniu reguliavimu. Nėra atskleista, kokia tvarka ir kokiais kriterijais vadovaujantis turėtų būti sudaromi tiek Ministro Pirmininko strateginių projektų portfelis, tiek institucijų projektų portfeliai, nors Projekte numatoma, kad institucijos projektų portfelio komisija turės sudaryti ir tvirtinti tokį portfelį, valdyti rizikas (neaišku, kokias), prižiūrėti ir vertinti portfelių įgyvendinimą. Įvertinus tai, kad LRV darbo reglamento dalykas yra LRV darbo tvarka (LRV darbo reglamento 1 punktas), siūloma Projekte atsisakyti nuostatų, susijusių su strateginio planavimo atskirais elementais. Paisant teisėkūros aiškumo principo ir siekiant išlaikyti strateginio planavimo teisinio reguliavimo nuoseklumą, Projekto nuostatos, reglamentuojančios strateginio planavimo atskirus elementus, turėtų būti strateginio planavimo teisinius pagrindus nustatančiame teisės akte, o </w:t>
            </w:r>
            <w:r w:rsidRPr="005126CF">
              <w:lastRenderedPageBreak/>
              <w:t>ne atskiruose teisės aktuose.</w:t>
            </w:r>
          </w:p>
        </w:tc>
        <w:tc>
          <w:tcPr>
            <w:tcW w:w="5386" w:type="dxa"/>
            <w:shd w:val="clear" w:color="auto" w:fill="auto"/>
          </w:tcPr>
          <w:p w14:paraId="04722949" w14:textId="77777777" w:rsidR="00C92979" w:rsidRPr="005126CF" w:rsidRDefault="00BF36C2" w:rsidP="00FC2D5B">
            <w:pPr>
              <w:jc w:val="both"/>
              <w:rPr>
                <w:b/>
              </w:rPr>
            </w:pPr>
            <w:r w:rsidRPr="005126CF">
              <w:rPr>
                <w:b/>
              </w:rPr>
              <w:lastRenderedPageBreak/>
              <w:t>Neatsižvelgta</w:t>
            </w:r>
          </w:p>
          <w:p w14:paraId="73F9570B" w14:textId="3F8D39C8" w:rsidR="00F7110E" w:rsidRPr="005126CF" w:rsidRDefault="00C60653" w:rsidP="00FC2D5B">
            <w:pPr>
              <w:jc w:val="both"/>
            </w:pPr>
            <w:r w:rsidRPr="005126CF">
              <w:t xml:space="preserve">Siūlomi pakeitimai apima tik </w:t>
            </w:r>
            <w:r w:rsidR="000E2755" w:rsidRPr="005126CF">
              <w:t>Vyriausybės</w:t>
            </w:r>
            <w:r w:rsidRPr="005126CF">
              <w:t xml:space="preserve"> prioritetų </w:t>
            </w:r>
            <w:r w:rsidR="000E2755" w:rsidRPr="005126CF">
              <w:t xml:space="preserve">darbų </w:t>
            </w:r>
            <w:r w:rsidRPr="005126CF">
              <w:t xml:space="preserve">įgyvendinimo nuostatas, bet ne visus institucijų veiksmus, todėl siūlomi pakeitimai </w:t>
            </w:r>
            <w:r w:rsidR="00F7110E" w:rsidRPr="005126CF">
              <w:t>neprieštarauja</w:t>
            </w:r>
            <w:r w:rsidRPr="005126CF">
              <w:t xml:space="preserve"> Strateginio planavimo teisini</w:t>
            </w:r>
            <w:r w:rsidR="00F7110E" w:rsidRPr="005126CF">
              <w:t>am</w:t>
            </w:r>
            <w:r w:rsidRPr="005126CF">
              <w:t xml:space="preserve"> reguliavimu</w:t>
            </w:r>
            <w:r w:rsidR="00F7110E" w:rsidRPr="005126CF">
              <w:t>i</w:t>
            </w:r>
            <w:r w:rsidRPr="005126CF">
              <w:t>. Be to, Strateginio planavimo metodika nedetalizuoja veiksmų įgyvendinimo tvarkos</w:t>
            </w:r>
            <w:r w:rsidR="00F7110E" w:rsidRPr="005126CF">
              <w:t xml:space="preserve">. </w:t>
            </w:r>
          </w:p>
          <w:p w14:paraId="1AC41EAB" w14:textId="49655586" w:rsidR="00BF36C2" w:rsidRPr="005126CF" w:rsidRDefault="00F7110E" w:rsidP="00FC2D5B">
            <w:pPr>
              <w:jc w:val="both"/>
              <w:rPr>
                <w:b/>
              </w:rPr>
            </w:pPr>
            <w:r w:rsidRPr="005126CF">
              <w:t>Vyriausybės kanceliarijoje rengiamas kitas Vyriausybės nutarimas, nustatantis detalesnį šių santykių reguliavimą, kurį planuojama patvirtinti iki 2019 m. rugsėjo 1 d. (nukeliamas šių nuostatų įsigaliojimo terminas).</w:t>
            </w:r>
          </w:p>
        </w:tc>
      </w:tr>
      <w:tr w:rsidR="00C92979" w:rsidRPr="005126CF" w14:paraId="28E5B7FB" w14:textId="77777777" w:rsidTr="00D40A59">
        <w:trPr>
          <w:trHeight w:val="423"/>
        </w:trPr>
        <w:tc>
          <w:tcPr>
            <w:tcW w:w="1702" w:type="dxa"/>
            <w:vMerge/>
            <w:tcBorders>
              <w:top w:val="single" w:sz="4" w:space="0" w:color="auto"/>
            </w:tcBorders>
            <w:shd w:val="clear" w:color="auto" w:fill="auto"/>
          </w:tcPr>
          <w:p w14:paraId="5703841E" w14:textId="77777777" w:rsidR="00C92979" w:rsidRPr="005126CF" w:rsidRDefault="00C92979" w:rsidP="00FC2D5B"/>
        </w:tc>
        <w:tc>
          <w:tcPr>
            <w:tcW w:w="8080" w:type="dxa"/>
            <w:shd w:val="clear" w:color="auto" w:fill="auto"/>
          </w:tcPr>
          <w:p w14:paraId="3CF05AF9" w14:textId="77777777" w:rsidR="00C92979" w:rsidRPr="005126CF" w:rsidRDefault="00C92979" w:rsidP="003B1836">
            <w:pPr>
              <w:jc w:val="both"/>
              <w:rPr>
                <w:lang w:val="en-US"/>
              </w:rPr>
            </w:pPr>
            <w:r w:rsidRPr="005126CF">
              <w:t>3. LRV darbo reglamento 21 punkte (</w:t>
            </w:r>
            <w:r w:rsidRPr="005126CF">
              <w:rPr>
                <w:color w:val="2F2F2F"/>
              </w:rPr>
              <w:t xml:space="preserve">Projekto 15 punktas) numatyta, kad rašte, kuriuo teisės akto projektas teikiamas išvadoms gauti (toliau – lydraštis suinteresuotoms institucijoms), turi būti nurodyta &lt;... teisės akto projektą rengusio valstybės tarnautojo vardas ir pavardė, administracijos padalinio pavadinimas, telefonų numeriai, elektroninio pašto adresai; jeigu teisės akto projektą rengė Vyriausybės komisija arba darbo grupė, – Vyriausybės komisijos pirmininko arba darbo grupės vadovo pareigos, vardas ir pavardė, telefonų numeriai, elektroninio pašto adresai&gt;; &lt;... bei </w:t>
            </w:r>
            <w:r w:rsidRPr="005126CF">
              <w:rPr>
                <w:color w:val="000000"/>
              </w:rPr>
              <w:t>teisės akto projekto rengimą inicijavę, teisės akto projektą parengę ir (ar) rengiant teisės akto projektą dalyvavę asmenys, kurie nėra valstybės politikai, valstybės pareigūnai, profesinės karo tarnybos kariai, valstybės ar savivaldybių institucijų ar įstaigų valstybės tarnautojai (kai išvadoms gauti teikiamas įstatymo projektas, ši informacija nurodoma aiškinamajame rašte)&gt;.</w:t>
            </w:r>
          </w:p>
          <w:p w14:paraId="6BDEE7C2" w14:textId="77777777" w:rsidR="00C92979" w:rsidRPr="005126CF" w:rsidRDefault="00C92979" w:rsidP="00FC2D5B">
            <w:pPr>
              <w:ind w:firstLine="709"/>
              <w:jc w:val="both"/>
              <w:rPr>
                <w:lang w:val="en-US"/>
              </w:rPr>
            </w:pPr>
            <w:r w:rsidRPr="005126CF">
              <w:rPr>
                <w:color w:val="2F2F2F"/>
              </w:rPr>
              <w:t xml:space="preserve">Pažymėtina, kad pagal </w:t>
            </w:r>
            <w:r w:rsidRPr="005126CF">
              <w:rPr>
                <w:color w:val="000000"/>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Pr="005126CF">
              <w:t>BDAR</w:t>
            </w:r>
            <w:r w:rsidRPr="005126CF">
              <w:rPr>
                <w:color w:val="000000"/>
              </w:rPr>
              <w:t>)</w:t>
            </w:r>
            <w:r w:rsidRPr="005126CF">
              <w:rPr>
                <w:color w:val="2F2F2F"/>
              </w:rPr>
              <w:t xml:space="preserve"> </w:t>
            </w:r>
            <w:r w:rsidRPr="005126CF">
              <w:rPr>
                <w:color w:val="000000"/>
              </w:rPr>
              <w:t xml:space="preserve">6 straipsnio 3 dalį teisės akte, kuriuo įtvirtinami asmens duomenų teisėto tvarkymo pagrindai, numatyti BDAR 6 straipsnio 1 dalies c </w:t>
            </w:r>
            <w:r w:rsidRPr="005126CF">
              <w:t>arba e punktuose</w:t>
            </w:r>
            <w:r w:rsidRPr="005126CF">
              <w:rPr>
                <w:color w:val="000000"/>
              </w:rPr>
              <w:t xml:space="preserve">, turėtų būti nustatomas duomenų tvarkymo tikslas. </w:t>
            </w:r>
          </w:p>
          <w:p w14:paraId="616DED7E" w14:textId="77777777" w:rsidR="00C92979" w:rsidRPr="005126CF" w:rsidRDefault="00C92979" w:rsidP="00FC2D5B">
            <w:pPr>
              <w:ind w:firstLine="709"/>
              <w:jc w:val="both"/>
            </w:pPr>
            <w:r w:rsidRPr="005126CF">
              <w:rPr>
                <w:color w:val="000000"/>
              </w:rPr>
              <w:t>Siūloma: arba LRV darbo reglamente aptarti asmens duomenų tvarkymo tikslą (-</w:t>
            </w:r>
            <w:proofErr w:type="spellStart"/>
            <w:r w:rsidRPr="005126CF">
              <w:rPr>
                <w:color w:val="000000"/>
              </w:rPr>
              <w:t>us</w:t>
            </w:r>
            <w:proofErr w:type="spellEnd"/>
            <w:r w:rsidRPr="005126CF">
              <w:rPr>
                <w:color w:val="000000"/>
              </w:rPr>
              <w:t>); arba Projekte numatyti, kad lydraštyje suinteresuotoms institucijoms asmens duomenų iš viso nereikia nurodyti, nes teisės aktų projektai skelbiami TAIS, kur ir yra galimybė nurodyti teisės akto projekto rengėjus, teikėją ir pan. TAIS taikomi BDAR reikalavimai dėl asmens duomenų apsaugos.</w:t>
            </w:r>
          </w:p>
        </w:tc>
        <w:tc>
          <w:tcPr>
            <w:tcW w:w="5386" w:type="dxa"/>
            <w:shd w:val="clear" w:color="auto" w:fill="auto"/>
          </w:tcPr>
          <w:p w14:paraId="119F6242" w14:textId="30F6DB44" w:rsidR="005B09A8" w:rsidRPr="005126CF" w:rsidRDefault="00F863D0" w:rsidP="00FC2D5B">
            <w:pPr>
              <w:jc w:val="both"/>
              <w:rPr>
                <w:b/>
              </w:rPr>
            </w:pPr>
            <w:r w:rsidRPr="005126CF">
              <w:rPr>
                <w:b/>
              </w:rPr>
              <w:t>Neatsižvelgta</w:t>
            </w:r>
          </w:p>
          <w:p w14:paraId="513CE9E4" w14:textId="4261BA3B" w:rsidR="00E16E4F" w:rsidRPr="005126CF" w:rsidRDefault="00F863D0" w:rsidP="00FC2D5B">
            <w:pPr>
              <w:jc w:val="both"/>
            </w:pPr>
            <w:r w:rsidRPr="005126CF">
              <w:t>Šio tikslo nurodymas būtų perteklinis Teisėkūros pagrindų įstatymo 3 str</w:t>
            </w:r>
            <w:r w:rsidR="00AC7AC6" w:rsidRPr="005126CF">
              <w:t>.</w:t>
            </w:r>
            <w:r w:rsidRPr="005126CF">
              <w:t xml:space="preserve"> 2 d</w:t>
            </w:r>
            <w:r w:rsidR="00AC7AC6" w:rsidRPr="005126CF">
              <w:t>.</w:t>
            </w:r>
            <w:r w:rsidRPr="005126CF">
              <w:t xml:space="preserve"> 4 p</w:t>
            </w:r>
            <w:r w:rsidR="00AC7AC6" w:rsidRPr="005126CF">
              <w:t>.</w:t>
            </w:r>
            <w:r w:rsidRPr="005126CF">
              <w:t xml:space="preserve"> nustatytam </w:t>
            </w:r>
            <w:r w:rsidR="00214E85" w:rsidRPr="005126CF">
              <w:t xml:space="preserve">teisėkūros </w:t>
            </w:r>
            <w:r w:rsidRPr="005126CF">
              <w:rPr>
                <w:i/>
              </w:rPr>
              <w:t>atvirumo ir skaidrumo principui</w:t>
            </w:r>
            <w:r w:rsidRPr="005126CF">
              <w:t xml:space="preserve">, nes jis </w:t>
            </w:r>
            <w:r w:rsidR="00214E85" w:rsidRPr="005126CF">
              <w:t>reiškia ir tai, kad „</w:t>
            </w:r>
            <w:r w:rsidR="00214E85" w:rsidRPr="005126CF">
              <w:rPr>
                <w:color w:val="000000"/>
              </w:rPr>
              <w:t>turi būti žinomi teisės aktų projektų rengimą inicijavę, teisės aktų projektus parengę, numatomo teisinio reguliavimo poveikio vertinimą atlikę subjektai ir teisinio reguliavimo stebėseną atliekantys subjektai“. Teisėkūros principas išreiškia imperatyvius reikalavimus, keliamus teisėkūroje dalyvaujantiems asmenims ir jų perrašymas į įgyvendinamuosius teisės aktus būtų ydinga praktika.</w:t>
            </w:r>
          </w:p>
        </w:tc>
      </w:tr>
      <w:tr w:rsidR="00C92979" w:rsidRPr="005126CF" w14:paraId="66CDEACF" w14:textId="77777777" w:rsidTr="00D40A59">
        <w:trPr>
          <w:trHeight w:val="423"/>
        </w:trPr>
        <w:tc>
          <w:tcPr>
            <w:tcW w:w="1702" w:type="dxa"/>
            <w:vMerge/>
            <w:tcBorders>
              <w:top w:val="single" w:sz="4" w:space="0" w:color="auto"/>
            </w:tcBorders>
            <w:shd w:val="clear" w:color="auto" w:fill="auto"/>
          </w:tcPr>
          <w:p w14:paraId="026DE786" w14:textId="77777777" w:rsidR="00C92979" w:rsidRPr="005126CF" w:rsidRDefault="00C92979" w:rsidP="00FC2D5B"/>
        </w:tc>
        <w:tc>
          <w:tcPr>
            <w:tcW w:w="8080" w:type="dxa"/>
            <w:shd w:val="clear" w:color="auto" w:fill="auto"/>
          </w:tcPr>
          <w:p w14:paraId="4D57C19E" w14:textId="77777777" w:rsidR="00C92979" w:rsidRPr="005126CF" w:rsidRDefault="00C92979" w:rsidP="003B1836">
            <w:pPr>
              <w:ind w:firstLine="39"/>
              <w:jc w:val="both"/>
              <w:rPr>
                <w:lang w:val="en-US"/>
              </w:rPr>
            </w:pPr>
            <w:r w:rsidRPr="005126CF">
              <w:t>5. BDAR</w:t>
            </w:r>
            <w:r w:rsidRPr="005126CF">
              <w:rPr>
                <w:color w:val="000000"/>
              </w:rPr>
              <w:t xml:space="preserve"> 35 straipsnio 10 dalyje nustatyta, jeigu duomenų tvarkymas pagal BDAR 6 straipsnio 1 dalies c arba e punktą turi teisinį pagrindą Sąjungos arba valstybės narės teisėje, kuri yra taikoma duomenų valdytojui, ir tokia teisė reglamentuoja atitinkamą konkrečią duomenų tvarkymo operaciją ar operacijų seką, o poveikio duomenų apsaugai vertinimas jau buvo atliktas kaip dalis bendro poveikio vertinimo priimant tą teisinį pagrindą, BDAR 35 straipsnio 1–7 dalys netaikomos, išskyrus atvejus, kai valstybės narės mano, kad prieš pradedant duomenų tvarkymo veiklą būtina atlikti tokį vertinimą. Tuo atveju, jei poveikio duomenų apsaugai vertinimas neatliktas teisės akto rengimo etape, tuomet jį bus </w:t>
            </w:r>
            <w:r w:rsidRPr="005126CF">
              <w:rPr>
                <w:color w:val="000000"/>
              </w:rPr>
              <w:lastRenderedPageBreak/>
              <w:t xml:space="preserve">privaloma atlikti tam duomenų valdytojui, kuris atliks teisės akto projekte numatytą duomenų tvarkymą, o tai būtų nepageidautina administracinė našta. </w:t>
            </w:r>
          </w:p>
          <w:p w14:paraId="3AAB9E3F" w14:textId="77777777" w:rsidR="00C92979" w:rsidRPr="005126CF" w:rsidRDefault="00C92979" w:rsidP="00FC2D5B">
            <w:pPr>
              <w:ind w:firstLine="709"/>
              <w:jc w:val="both"/>
            </w:pPr>
            <w:r w:rsidRPr="005126CF">
              <w:rPr>
                <w:color w:val="000000"/>
              </w:rPr>
              <w:t xml:space="preserve">Siūloma papildyti Projektą numatant, kad kai teisės aktu nustatomos asmens duomenų tvarkymo operacijos ar operacijų sekos, kurioms pagal BDAR būtina atlikti poveikio duomenų apsaugai vertinimą, lydraštyje suinteresuotoms institucijoms </w:t>
            </w:r>
            <w:r w:rsidRPr="005126CF">
              <w:t xml:space="preserve">(LRV darbo reglamento 21 punktas) ir (arba) teikime Vyriausybei (LRV darbo reglamento 38 punktas) </w:t>
            </w:r>
            <w:r w:rsidRPr="005126CF">
              <w:rPr>
                <w:color w:val="000000"/>
              </w:rPr>
              <w:t>turėtų būti pateikiama informacija ir apie atliktą poveikio duomenų apsaugai vertinimą (tiek, kiek tokios informacijos atskleidimas neprieštarautų teisės aktams), jeigu toks vertinimas nebuvo atliktas kaip dalis bendro poveikio vertinimo priimant tą teisinį pagrindą.</w:t>
            </w:r>
          </w:p>
        </w:tc>
        <w:tc>
          <w:tcPr>
            <w:tcW w:w="5386" w:type="dxa"/>
            <w:shd w:val="clear" w:color="auto" w:fill="auto"/>
          </w:tcPr>
          <w:p w14:paraId="03F2CB57" w14:textId="77777777" w:rsidR="00C92979" w:rsidRPr="005126CF" w:rsidRDefault="006D0E97" w:rsidP="00FC2D5B">
            <w:pPr>
              <w:jc w:val="both"/>
              <w:rPr>
                <w:b/>
              </w:rPr>
            </w:pPr>
            <w:r w:rsidRPr="005126CF">
              <w:rPr>
                <w:b/>
              </w:rPr>
              <w:lastRenderedPageBreak/>
              <w:t>Neatsižvelgta</w:t>
            </w:r>
          </w:p>
          <w:p w14:paraId="64E2AB2E" w14:textId="1FB53320" w:rsidR="00B65377" w:rsidRPr="005126CF" w:rsidRDefault="00B65377" w:rsidP="00FC2D5B">
            <w:pPr>
              <w:jc w:val="both"/>
            </w:pPr>
            <w:r w:rsidRPr="005126CF">
              <w:t>Poveikio vertinimo, kuris turės būti atliekamas pagal BDAR, rezultatai turės būti surašyti kaip ir kiti poveikio vertinimo rezultatai, todėl detalesnės tvarkos nereikia. Be to, tai, koks poveikis atliekamas yra ne Reglamento reguli</w:t>
            </w:r>
            <w:r w:rsidR="00F72DCD" w:rsidRPr="005126CF">
              <w:t>avimo dalykas.</w:t>
            </w:r>
          </w:p>
        </w:tc>
      </w:tr>
      <w:tr w:rsidR="00C92979" w:rsidRPr="005126CF" w14:paraId="12C91BCA" w14:textId="77777777" w:rsidTr="00D40A59">
        <w:trPr>
          <w:trHeight w:val="423"/>
        </w:trPr>
        <w:tc>
          <w:tcPr>
            <w:tcW w:w="1702" w:type="dxa"/>
            <w:vMerge w:val="restart"/>
            <w:tcBorders>
              <w:top w:val="single" w:sz="4" w:space="0" w:color="auto"/>
            </w:tcBorders>
            <w:shd w:val="clear" w:color="auto" w:fill="auto"/>
          </w:tcPr>
          <w:p w14:paraId="46302AA4" w14:textId="2D56728A" w:rsidR="00C92979" w:rsidRPr="005126CF" w:rsidRDefault="00C92979" w:rsidP="00FC2D5B">
            <w:pPr>
              <w:jc w:val="both"/>
            </w:pPr>
            <w:r w:rsidRPr="005126CF">
              <w:t>Vidaus reikalų ministerijos 2019-03-19 išvada Nr. 2310</w:t>
            </w:r>
          </w:p>
        </w:tc>
        <w:tc>
          <w:tcPr>
            <w:tcW w:w="8080" w:type="dxa"/>
            <w:shd w:val="clear" w:color="auto" w:fill="auto"/>
          </w:tcPr>
          <w:p w14:paraId="40E0A4ED" w14:textId="69D1AEB1" w:rsidR="00C92979" w:rsidRPr="005126CF" w:rsidRDefault="00C92979" w:rsidP="003B1836">
            <w:pPr>
              <w:tabs>
                <w:tab w:val="left" w:pos="1134"/>
              </w:tabs>
              <w:ind w:firstLine="39"/>
              <w:jc w:val="both"/>
              <w:rPr>
                <w:bCs/>
              </w:rPr>
            </w:pPr>
            <w:r w:rsidRPr="005126CF">
              <w:rPr>
                <w:bCs/>
              </w:rPr>
              <w:t>1. Projekto 4 punktu Lietuvos Respublikos Vyriausybės darbo reglamento (toliau</w:t>
            </w:r>
            <w:r w:rsidR="003B1836" w:rsidRPr="005126CF">
              <w:rPr>
                <w:bCs/>
              </w:rPr>
              <w:t> </w:t>
            </w:r>
            <w:r w:rsidRPr="005126CF">
              <w:rPr>
                <w:bCs/>
              </w:rPr>
              <w:t xml:space="preserve">– Reglamentas) 8 punktas pildomas nauja pastraipa, reglamentuojančia Vyriausybės komiteto, komisijos ar darbo grupės posėdžio garso įrašo darymą. Atkreipiame dėmesį, kad siūlomoje įrašyti pastraipoje nenuosekliai vartojamos formuluotės – šioje pastraipoje kalbama tiek apie Vyriausybės komiteto, komisijos ar darbo grupės </w:t>
            </w:r>
            <w:r w:rsidRPr="005126CF">
              <w:rPr>
                <w:bCs/>
                <w:i/>
              </w:rPr>
              <w:t>posėdžius</w:t>
            </w:r>
            <w:r w:rsidRPr="005126CF">
              <w:rPr>
                <w:bCs/>
              </w:rPr>
              <w:t xml:space="preserve">, tiek apie atitinkamus </w:t>
            </w:r>
            <w:r w:rsidRPr="005126CF">
              <w:rPr>
                <w:bCs/>
                <w:i/>
              </w:rPr>
              <w:t>pasitarimus.</w:t>
            </w:r>
            <w:r w:rsidRPr="005126CF">
              <w:rPr>
                <w:bCs/>
              </w:rPr>
              <w:t xml:space="preserve"> Iš galiojančios redakcijos Reglamento II skyriaus nuostatų spręstina, kad Vyriausybės komiteto, komisijos ar darbo grupės pagrindinė veiklos forma yra posėdžiai, todėl nauja „pasitarimų“ sąvoka įneštų painiavos, nes nėra aišku, kuo šie pasitarimai skirtųsi nuo posėdžių. Manome, kad sąvokos turėtų būti suvienodintos ir vietoje „pasitarimų“ siūlome vartoti „posėdžių“ sąvoką. </w:t>
            </w:r>
          </w:p>
          <w:p w14:paraId="0523FFA7" w14:textId="77777777" w:rsidR="00C92979" w:rsidRPr="005126CF" w:rsidRDefault="00C92979" w:rsidP="00FC2D5B">
            <w:pPr>
              <w:tabs>
                <w:tab w:val="left" w:pos="1134"/>
              </w:tabs>
              <w:ind w:firstLine="851"/>
              <w:jc w:val="both"/>
              <w:rPr>
                <w:bCs/>
              </w:rPr>
            </w:pPr>
            <w:r w:rsidRPr="005126CF">
              <w:rPr>
                <w:bCs/>
              </w:rPr>
              <w:t>Siūlomoje įrašyti pastraipoje numatoma, kad</w:t>
            </w:r>
            <w:r w:rsidRPr="005126CF">
              <w:t xml:space="preserve"> </w:t>
            </w:r>
            <w:r w:rsidRPr="005126CF">
              <w:rPr>
                <w:bCs/>
              </w:rPr>
              <w:t>Vyriausybės komiteto, komisijos ar darbo grupės posėdžių</w:t>
            </w:r>
            <w:r w:rsidRPr="005126CF">
              <w:t xml:space="preserve"> garso </w:t>
            </w:r>
            <w:r w:rsidRPr="005126CF">
              <w:rPr>
                <w:bCs/>
              </w:rPr>
              <w:t>įrašai ištrinami ne vėliau kaip per 2 darbo dienas nuo atitinkamo pasitarimo (posėdžio) dienos. Praktikoje būna situacijų, kai posėdžio protokolas surašomas per ilgesnį terminą, be to, iki jo pasirašymo derinamas su komiteto, komisijos ar darbo grupės nariais. Kadangi Vyriausybės komiteto, komisijos ar darbo grupės posėdžio protokolas yra dokumentas, aprašantis posėdžio eigą bei priimtus nutarimus, siekiant užtikrinti tinkamą protokolų surašymą turėtų būti užtikrinama galimybė iki protokolo pasirašymo prireikus patikrinti, ar posėdžio protokole užfiksuoti sprendimai atitinka faktiškai priimtus posėdžio metu, t. y. išklausyti posėdžio garso įrašą. Todėl siūlome teisinio reguliavimo alternatyvą ‒ numatyti, kad posėdžių garso įrašai ištrinami ne vėliau kaip kitą darbo dieną nuo atitinkamo posėdžio protokolo pasirašymo dienos.</w:t>
            </w:r>
          </w:p>
          <w:p w14:paraId="51135E31" w14:textId="77777777" w:rsidR="00C92979" w:rsidRPr="005126CF" w:rsidRDefault="00C92979" w:rsidP="00FC2D5B">
            <w:pPr>
              <w:tabs>
                <w:tab w:val="left" w:pos="1134"/>
              </w:tabs>
              <w:ind w:firstLine="851"/>
              <w:jc w:val="both"/>
            </w:pPr>
            <w:r w:rsidRPr="005126CF">
              <w:rPr>
                <w:bCs/>
              </w:rPr>
              <w:t xml:space="preserve">Be to, šioje pastraipoje kalbama tik apie asmenį, atsakingą už garso įrašo </w:t>
            </w:r>
            <w:r w:rsidRPr="005126CF">
              <w:rPr>
                <w:bCs/>
              </w:rPr>
              <w:lastRenderedPageBreak/>
              <w:t>darymą bei jo ištrynimą, tačiau nėra nustatyta, kas yra atsakingas už jo saugojimą bei kur ir kaip iki jo sunaikinimo turi būti saugomas šis garso įrašas. Siūlome papildyti Reglamento 9 punkto trečiąją pastraipą nuostata, kad šiuos įrašus kartu su Vyriausybės komiteto, komisijos ar darbo grupės veiklos dokumentais saugo institucija ar įstaiga, ūkiškai ir techniškai aptarnaujanti Vyriausybės komitetą, komisiją ar darbo grupę</w:t>
            </w:r>
            <w:bookmarkStart w:id="3" w:name="_Hlk951976"/>
            <w:r w:rsidRPr="005126CF">
              <w:t xml:space="preserve"> </w:t>
            </w:r>
            <w:r w:rsidRPr="005126CF">
              <w:rPr>
                <w:rStyle w:val="st"/>
              </w:rPr>
              <w:t xml:space="preserve">2016 m. balandžio 27 d. Europos Parlamento ir Tarybos </w:t>
            </w:r>
            <w:r w:rsidRPr="005126CF">
              <w:rPr>
                <w:bCs/>
              </w:rPr>
              <w:t xml:space="preserve">reglamento (ES) 2016/679 </w:t>
            </w:r>
            <w:bookmarkEnd w:id="3"/>
            <w:r w:rsidRPr="005126CF">
              <w:rPr>
                <w:bCs/>
              </w:rPr>
              <w:t xml:space="preserve">ir Dokumentų ir archyvų įstatymo nustatyta tvarka.  </w:t>
            </w:r>
          </w:p>
        </w:tc>
        <w:tc>
          <w:tcPr>
            <w:tcW w:w="5386" w:type="dxa"/>
            <w:shd w:val="clear" w:color="auto" w:fill="auto"/>
          </w:tcPr>
          <w:p w14:paraId="6F11644D" w14:textId="77777777" w:rsidR="00C92979" w:rsidRPr="005126CF" w:rsidRDefault="00C92979" w:rsidP="00FC2D5B">
            <w:pPr>
              <w:jc w:val="both"/>
              <w:rPr>
                <w:b/>
              </w:rPr>
            </w:pPr>
            <w:r w:rsidRPr="005126CF">
              <w:rPr>
                <w:b/>
              </w:rPr>
              <w:lastRenderedPageBreak/>
              <w:t>Atsižvelgta iš dalies</w:t>
            </w:r>
          </w:p>
          <w:p w14:paraId="0941CA66" w14:textId="77777777" w:rsidR="00C92979" w:rsidRPr="005126CF" w:rsidRDefault="00C92979" w:rsidP="00FC2D5B">
            <w:pPr>
              <w:tabs>
                <w:tab w:val="left" w:pos="1134"/>
              </w:tabs>
              <w:jc w:val="both"/>
              <w:rPr>
                <w:bCs/>
              </w:rPr>
            </w:pPr>
            <w:r w:rsidRPr="005126CF">
              <w:t>Patikslinta</w:t>
            </w:r>
            <w:r w:rsidRPr="005126CF">
              <w:rPr>
                <w:bCs/>
              </w:rPr>
              <w:t xml:space="preserve"> vietoj „pasitarimų“ sąvokos įrašyta „posėdžių“ sąvoka. </w:t>
            </w:r>
          </w:p>
          <w:p w14:paraId="3BFE583D" w14:textId="77777777" w:rsidR="00C92979" w:rsidRPr="005126CF" w:rsidRDefault="00C92979" w:rsidP="00FC2D5B">
            <w:pPr>
              <w:tabs>
                <w:tab w:val="left" w:pos="1134"/>
              </w:tabs>
              <w:ind w:firstLine="851"/>
              <w:jc w:val="both"/>
              <w:rPr>
                <w:bCs/>
              </w:rPr>
            </w:pPr>
          </w:p>
          <w:p w14:paraId="278BE3F1" w14:textId="77777777" w:rsidR="00C92979" w:rsidRPr="005126CF" w:rsidRDefault="00C92979" w:rsidP="00FC2D5B">
            <w:pPr>
              <w:tabs>
                <w:tab w:val="left" w:pos="1134"/>
              </w:tabs>
              <w:ind w:firstLine="851"/>
              <w:jc w:val="both"/>
              <w:rPr>
                <w:bCs/>
              </w:rPr>
            </w:pPr>
          </w:p>
          <w:p w14:paraId="3CB46ED7" w14:textId="77777777" w:rsidR="00C92979" w:rsidRPr="005126CF" w:rsidRDefault="00C92979" w:rsidP="00FC2D5B">
            <w:pPr>
              <w:tabs>
                <w:tab w:val="left" w:pos="1134"/>
              </w:tabs>
              <w:ind w:firstLine="851"/>
              <w:jc w:val="both"/>
              <w:rPr>
                <w:bCs/>
              </w:rPr>
            </w:pPr>
          </w:p>
          <w:p w14:paraId="710D0339" w14:textId="77777777" w:rsidR="00C92979" w:rsidRPr="005126CF" w:rsidRDefault="00C92979" w:rsidP="00FC2D5B">
            <w:pPr>
              <w:tabs>
                <w:tab w:val="left" w:pos="1134"/>
              </w:tabs>
              <w:ind w:firstLine="851"/>
              <w:jc w:val="both"/>
              <w:rPr>
                <w:bCs/>
              </w:rPr>
            </w:pPr>
          </w:p>
          <w:p w14:paraId="1B4188BC" w14:textId="77777777" w:rsidR="00C92979" w:rsidRPr="005126CF" w:rsidRDefault="00C92979" w:rsidP="00FC2D5B">
            <w:pPr>
              <w:tabs>
                <w:tab w:val="left" w:pos="1134"/>
              </w:tabs>
              <w:ind w:firstLine="851"/>
              <w:jc w:val="both"/>
              <w:rPr>
                <w:bCs/>
              </w:rPr>
            </w:pPr>
          </w:p>
          <w:p w14:paraId="3C2764D8" w14:textId="77777777" w:rsidR="00C92979" w:rsidRPr="005126CF" w:rsidRDefault="00C92979" w:rsidP="00FC2D5B">
            <w:pPr>
              <w:tabs>
                <w:tab w:val="left" w:pos="1134"/>
              </w:tabs>
              <w:ind w:firstLine="851"/>
              <w:jc w:val="both"/>
              <w:rPr>
                <w:bCs/>
              </w:rPr>
            </w:pPr>
          </w:p>
          <w:p w14:paraId="4E54966C" w14:textId="77777777" w:rsidR="00C92979" w:rsidRPr="005126CF" w:rsidRDefault="00C92979" w:rsidP="00FC2D5B">
            <w:pPr>
              <w:tabs>
                <w:tab w:val="left" w:pos="1134"/>
              </w:tabs>
              <w:ind w:firstLine="851"/>
              <w:jc w:val="both"/>
              <w:rPr>
                <w:bCs/>
              </w:rPr>
            </w:pPr>
          </w:p>
          <w:p w14:paraId="1E1B92EA" w14:textId="77777777" w:rsidR="00C92979" w:rsidRPr="005126CF" w:rsidRDefault="00C92979" w:rsidP="00FC2D5B">
            <w:pPr>
              <w:tabs>
                <w:tab w:val="left" w:pos="1134"/>
              </w:tabs>
              <w:ind w:firstLine="851"/>
              <w:jc w:val="both"/>
              <w:rPr>
                <w:bCs/>
              </w:rPr>
            </w:pPr>
          </w:p>
          <w:p w14:paraId="22DFE125" w14:textId="77777777" w:rsidR="00C92979" w:rsidRPr="005126CF" w:rsidRDefault="00C92979" w:rsidP="00FC2D5B">
            <w:pPr>
              <w:tabs>
                <w:tab w:val="left" w:pos="1134"/>
              </w:tabs>
              <w:jc w:val="both"/>
              <w:rPr>
                <w:bCs/>
              </w:rPr>
            </w:pPr>
            <w:r w:rsidRPr="005126CF">
              <w:rPr>
                <w:bCs/>
              </w:rPr>
              <w:t>Prailgintas šis laiko terminas (3 darbo dienos), nes garso ištrynimo terminą susieti su veiksmu – posėdžio protokolo pasirašymo diena, kai nenustatytas šiam protokolui pasirašymo terminas, sukurs neapibrėžtą laiko terminą.</w:t>
            </w:r>
          </w:p>
          <w:p w14:paraId="01CCFC85" w14:textId="77777777" w:rsidR="00C92979" w:rsidRPr="005126CF" w:rsidRDefault="00C92979" w:rsidP="00FC2D5B">
            <w:pPr>
              <w:jc w:val="both"/>
            </w:pPr>
            <w:r w:rsidRPr="005126CF">
              <w:t xml:space="preserve"> </w:t>
            </w:r>
          </w:p>
          <w:p w14:paraId="30003702" w14:textId="77777777" w:rsidR="00C92979" w:rsidRPr="005126CF" w:rsidRDefault="00C92979" w:rsidP="00FC2D5B">
            <w:pPr>
              <w:jc w:val="both"/>
            </w:pPr>
          </w:p>
          <w:p w14:paraId="134B2684" w14:textId="77777777" w:rsidR="00C92979" w:rsidRPr="005126CF" w:rsidRDefault="00C92979" w:rsidP="00FC2D5B">
            <w:pPr>
              <w:jc w:val="both"/>
            </w:pPr>
          </w:p>
          <w:p w14:paraId="451157D1" w14:textId="77777777" w:rsidR="00C92979" w:rsidRPr="005126CF" w:rsidRDefault="00C92979" w:rsidP="00FC2D5B">
            <w:pPr>
              <w:jc w:val="both"/>
            </w:pPr>
          </w:p>
          <w:p w14:paraId="4562B9CD" w14:textId="77777777" w:rsidR="00C92979" w:rsidRPr="005126CF" w:rsidRDefault="00C92979" w:rsidP="00FC2D5B">
            <w:pPr>
              <w:jc w:val="both"/>
            </w:pPr>
          </w:p>
          <w:p w14:paraId="777ED53F" w14:textId="77777777" w:rsidR="00C92979" w:rsidRPr="005126CF" w:rsidRDefault="00C92979" w:rsidP="00FC2D5B">
            <w:pPr>
              <w:jc w:val="both"/>
            </w:pPr>
          </w:p>
          <w:p w14:paraId="57C7C1AE" w14:textId="77777777" w:rsidR="00C92979" w:rsidRPr="005126CF" w:rsidRDefault="00C92979" w:rsidP="00FC2D5B">
            <w:pPr>
              <w:jc w:val="both"/>
            </w:pPr>
          </w:p>
          <w:p w14:paraId="255E0A5A" w14:textId="77777777" w:rsidR="00C92979" w:rsidRPr="005126CF" w:rsidRDefault="00C92979" w:rsidP="00FC2D5B">
            <w:pPr>
              <w:jc w:val="both"/>
            </w:pPr>
          </w:p>
          <w:p w14:paraId="23BFE5E1" w14:textId="732B03B6" w:rsidR="006206A5" w:rsidRPr="005126CF" w:rsidRDefault="006206A5" w:rsidP="00FC2D5B">
            <w:pPr>
              <w:jc w:val="both"/>
              <w:rPr>
                <w:bCs/>
              </w:rPr>
            </w:pPr>
            <w:r w:rsidRPr="005126CF">
              <w:t xml:space="preserve">Argumentai nurodyti prie Teisingumo ministerijos </w:t>
            </w:r>
            <w:r w:rsidRPr="005126CF">
              <w:lastRenderedPageBreak/>
              <w:t>pastabos Nr.</w:t>
            </w:r>
            <w:bookmarkStart w:id="4" w:name="_Hlk5121465"/>
            <w:r w:rsidRPr="005126CF">
              <w:t>3</w:t>
            </w:r>
          </w:p>
          <w:p w14:paraId="7AC5D6A9" w14:textId="3AD0B135" w:rsidR="00C92979" w:rsidRPr="005126CF" w:rsidRDefault="00C92979" w:rsidP="00FC2D5B">
            <w:pPr>
              <w:jc w:val="both"/>
            </w:pPr>
            <w:r w:rsidRPr="005126CF">
              <w:rPr>
                <w:bCs/>
              </w:rPr>
              <w:t xml:space="preserve"> </w:t>
            </w:r>
            <w:bookmarkEnd w:id="4"/>
          </w:p>
        </w:tc>
      </w:tr>
      <w:tr w:rsidR="00C92979" w:rsidRPr="005126CF" w14:paraId="3CEEF5FF" w14:textId="77777777" w:rsidTr="00D40A59">
        <w:trPr>
          <w:trHeight w:val="423"/>
        </w:trPr>
        <w:tc>
          <w:tcPr>
            <w:tcW w:w="1702" w:type="dxa"/>
            <w:vMerge/>
            <w:shd w:val="clear" w:color="auto" w:fill="auto"/>
          </w:tcPr>
          <w:p w14:paraId="483BDABE" w14:textId="77777777" w:rsidR="00C92979" w:rsidRPr="005126CF" w:rsidRDefault="00C92979" w:rsidP="00FC2D5B">
            <w:pPr>
              <w:jc w:val="both"/>
            </w:pPr>
          </w:p>
        </w:tc>
        <w:tc>
          <w:tcPr>
            <w:tcW w:w="8080" w:type="dxa"/>
            <w:shd w:val="clear" w:color="auto" w:fill="auto"/>
          </w:tcPr>
          <w:p w14:paraId="3B437401" w14:textId="77777777" w:rsidR="00C92979" w:rsidRPr="005126CF" w:rsidRDefault="00C92979" w:rsidP="003B1836">
            <w:pPr>
              <w:tabs>
                <w:tab w:val="left" w:pos="1134"/>
              </w:tabs>
              <w:ind w:firstLine="39"/>
              <w:jc w:val="both"/>
            </w:pPr>
            <w:r w:rsidRPr="005126CF">
              <w:t xml:space="preserve">2. </w:t>
            </w:r>
            <w:r w:rsidRPr="005126CF">
              <w:rPr>
                <w:bCs/>
              </w:rPr>
              <w:t>Projekto 6 ir 7 punktais Reglamentas pildomas naujais 10</w:t>
            </w:r>
            <w:r w:rsidRPr="005126CF">
              <w:rPr>
                <w:bCs/>
                <w:vertAlign w:val="superscript"/>
              </w:rPr>
              <w:t>1</w:t>
            </w:r>
            <w:r w:rsidRPr="005126CF">
              <w:rPr>
                <w:bCs/>
              </w:rPr>
              <w:t xml:space="preserve"> ir 10</w:t>
            </w:r>
            <w:r w:rsidRPr="005126CF">
              <w:rPr>
                <w:bCs/>
                <w:vertAlign w:val="superscript"/>
              </w:rPr>
              <w:t xml:space="preserve">2 </w:t>
            </w:r>
            <w:r w:rsidRPr="005126CF">
              <w:rPr>
                <w:bCs/>
              </w:rPr>
              <w:t xml:space="preserve">punktais, reglamentuojančiais Ministro Pirmininko strateginių projektų portfelio ir Ministerijų, Vyriausybės įstaigų, Vyriausybės kanceliarijos ir kitų Vyriausybei atskaitingų institucijų projektų portfelių sudarymą, tvirtinimą ir valdymą. Pažymėtina, kad šias nuostatas siūloma įrašyti Reglamento </w:t>
            </w:r>
            <w:r w:rsidRPr="005126CF">
              <w:rPr>
                <w:bCs/>
              </w:rPr>
              <w:br/>
              <w:t>II skyriuje, kuris reglamentuoja Vyriausybės komitetų, komisijų ar darbo grupių darbo organizavimo tvarką, taigi siūlomos įrašyti nuostatos nėra šio skyriaus reguliavimo dalykas. Be to, atkreiptinas dėmesys, kad 10</w:t>
            </w:r>
            <w:r w:rsidRPr="005126CF">
              <w:rPr>
                <w:bCs/>
                <w:vertAlign w:val="superscript"/>
              </w:rPr>
              <w:t>1</w:t>
            </w:r>
            <w:r w:rsidRPr="005126CF">
              <w:rPr>
                <w:bCs/>
              </w:rPr>
              <w:t xml:space="preserve"> punkte siūlomos nustatyti Vyriausybės Strateginių projektų portfelio komisijos užduotys neatitinka </w:t>
            </w:r>
            <w:hyperlink r:id="rId8" w:history="1">
              <w:r w:rsidRPr="005126CF">
                <w:rPr>
                  <w:rStyle w:val="Hipersaitas"/>
                  <w:bCs/>
                  <w:color w:val="000000" w:themeColor="text1"/>
                </w:rPr>
                <w:t xml:space="preserve">Lietuvos Respublikos Vyriausybės 2017 m. rugpjūčio 23 d. nutarimu Nr. 696 „Dėl Lietuvos Respublikos Vyriausybės strateginių projektų portfelio komisijos sudarymo“ šiai komisijai nustatytų užduočių. </w:t>
              </w:r>
            </w:hyperlink>
            <w:r w:rsidRPr="005126CF">
              <w:rPr>
                <w:bCs/>
              </w:rPr>
              <w:t>Atsižvelgdami į tai, siūlome tikslinti Strateginių projektų portfelio komisijos funkcijas suderinant jas su Lietuvos Respublikos Vyriausybės 2017 m. rugpjūčio 23 d. nutarimo Nr. 696 nuostatomis arba svarstyti galimybę inicijuoti minimo nutarimo pakeitimą.</w:t>
            </w:r>
          </w:p>
        </w:tc>
        <w:tc>
          <w:tcPr>
            <w:tcW w:w="5386" w:type="dxa"/>
            <w:shd w:val="clear" w:color="auto" w:fill="auto"/>
          </w:tcPr>
          <w:p w14:paraId="58619574" w14:textId="40F7814D" w:rsidR="007532BB" w:rsidRPr="005126CF" w:rsidRDefault="007532BB" w:rsidP="007532BB">
            <w:pPr>
              <w:spacing w:line="320" w:lineRule="atLeast"/>
              <w:jc w:val="both"/>
              <w:rPr>
                <w:b/>
                <w:bCs/>
              </w:rPr>
            </w:pPr>
            <w:r w:rsidRPr="005126CF">
              <w:rPr>
                <w:b/>
                <w:bCs/>
              </w:rPr>
              <w:t>Neatsižvelgta</w:t>
            </w:r>
          </w:p>
          <w:p w14:paraId="509404A4" w14:textId="60272274" w:rsidR="007532BB" w:rsidRPr="005126CF" w:rsidRDefault="007532BB" w:rsidP="007532BB">
            <w:pPr>
              <w:spacing w:line="320" w:lineRule="atLeast"/>
              <w:jc w:val="both"/>
              <w:rPr>
                <w:bCs/>
              </w:rPr>
            </w:pPr>
            <w:r w:rsidRPr="005126CF">
              <w:rPr>
                <w:bCs/>
              </w:rPr>
              <w:t xml:space="preserve">Siūlomos nuostatos apibrėžia ir Vyriausybės komisijos organizavimo tvarką. </w:t>
            </w:r>
          </w:p>
          <w:p w14:paraId="25C6210F" w14:textId="3C961479" w:rsidR="00C92979" w:rsidRPr="005126CF" w:rsidRDefault="00035DD4" w:rsidP="00FC2D5B">
            <w:pPr>
              <w:pStyle w:val="Paprastasistekstas"/>
              <w:jc w:val="both"/>
              <w:rPr>
                <w:rFonts w:ascii="Times New Roman" w:hAnsi="Times New Roman"/>
                <w:bCs/>
                <w:color w:val="FF0000"/>
                <w:sz w:val="24"/>
                <w:szCs w:val="24"/>
              </w:rPr>
            </w:pPr>
            <w:r w:rsidRPr="005126CF">
              <w:rPr>
                <w:rFonts w:ascii="Times New Roman" w:hAnsi="Times New Roman"/>
                <w:sz w:val="24"/>
                <w:szCs w:val="24"/>
              </w:rPr>
              <w:t>Vyriausybės kanceliarijoje rengiamas kitas Vyriausybės nutarimas, nustatantis detalesnį šių santykių reguliavimą, kurį planuojama patvirtinti iki 2019 m. rugsėjo 1 d. (nukeliamas šių nuostatų įsigaliojimo terminas)</w:t>
            </w:r>
          </w:p>
        </w:tc>
      </w:tr>
      <w:tr w:rsidR="00C5074A" w:rsidRPr="005126CF" w14:paraId="67334AD6" w14:textId="77777777" w:rsidTr="00D40A59">
        <w:trPr>
          <w:trHeight w:val="553"/>
        </w:trPr>
        <w:tc>
          <w:tcPr>
            <w:tcW w:w="1702" w:type="dxa"/>
            <w:vMerge/>
            <w:shd w:val="clear" w:color="auto" w:fill="auto"/>
          </w:tcPr>
          <w:p w14:paraId="365FFE4C" w14:textId="77777777" w:rsidR="00C5074A" w:rsidRPr="005126CF" w:rsidRDefault="00C5074A" w:rsidP="00FC2D5B">
            <w:pPr>
              <w:jc w:val="both"/>
            </w:pPr>
          </w:p>
        </w:tc>
        <w:tc>
          <w:tcPr>
            <w:tcW w:w="8080" w:type="dxa"/>
            <w:shd w:val="clear" w:color="auto" w:fill="auto"/>
          </w:tcPr>
          <w:p w14:paraId="1BAB681A" w14:textId="77777777" w:rsidR="00C5074A" w:rsidRPr="005126CF" w:rsidRDefault="00C5074A" w:rsidP="003B1836">
            <w:pPr>
              <w:tabs>
                <w:tab w:val="left" w:pos="1134"/>
              </w:tabs>
              <w:jc w:val="both"/>
              <w:rPr>
                <w:bCs/>
              </w:rPr>
            </w:pPr>
            <w:r w:rsidRPr="005126CF">
              <w:rPr>
                <w:bCs/>
              </w:rPr>
              <w:t xml:space="preserve">3. Projekto 8 punktu Reglamento 11 punktas pildomas nauja pastraipa, nustatančia pareigą planuoti teisės aktų pateikimo Vyriausybei terminus atsižvelgiant į Vyriausybės pasiūlymuose dėl atitinkamos Seimo sesijos darbų programos nustatytus terminus. Mūsų nuomone, siūlomos nuostatos dėl teisės aktų projektų rengimo proceso planavimo yra deklaratyvios. Vien tik šių siūlomų nuostatų priėmimas savaime neužtikrins planavimo proceso pagerėjimo ir savalaikio įstatymų projektų pateikimo Seimui. Pažymėtina ir tai, kad dalis problemų, sudarančių kliūtis institucijai, rengiančiai teisės akto projektą, užtikrinti savalaikį projekto pateikimą, nepriklauso nuo šios institucijos (pvz., suinteresuotos institucijos vėluoja pateikti išvadas) – tai yra sisteminės problemos, sąlygotos šiuo metu teisės aktuose įtvirtinto teisėkūros mechanizmo. Todėl siūlomų nuostatų įrašymas nesukuria jokios pridėtinės vertės ir yra netikslingas.  </w:t>
            </w:r>
          </w:p>
          <w:p w14:paraId="19C573A8" w14:textId="77777777" w:rsidR="00C5074A" w:rsidRPr="005126CF" w:rsidRDefault="00C5074A" w:rsidP="00FC2D5B">
            <w:pPr>
              <w:tabs>
                <w:tab w:val="left" w:pos="1134"/>
              </w:tabs>
              <w:ind w:firstLine="851"/>
              <w:jc w:val="both"/>
            </w:pPr>
            <w:r w:rsidRPr="005126CF">
              <w:rPr>
                <w:bCs/>
              </w:rPr>
              <w:lastRenderedPageBreak/>
              <w:t xml:space="preserve">Be to, atkreiptinas dėmesys, kad Reglamento 11 punktas nustato subjektus, kurie turi teisę Vyriausybei teikti įstatymų, Vyriausybės nutarimų ir kitų teisės aktų projektus, o nuostatos, kurių turi laikytis teisės aktų projektus rengiančios institucijos (įskaitant nustatytų terminų laikymąsi), dėstomos Reglamento 17 punkte. Todėl tuo atveju, jeigu siūlomą nuostatą vis dėlto būtų nuspręsta palikti, laikantis nuoseklumo ji turėtų būti perkelta į 17 punktą.  </w:t>
            </w:r>
          </w:p>
        </w:tc>
        <w:tc>
          <w:tcPr>
            <w:tcW w:w="5386" w:type="dxa"/>
            <w:shd w:val="clear" w:color="auto" w:fill="auto"/>
          </w:tcPr>
          <w:p w14:paraId="3D627150" w14:textId="05149645"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04A1D213" w14:textId="77777777" w:rsidR="00C5074A" w:rsidRPr="005126CF" w:rsidRDefault="00C5074A"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Vyriausybės teisėkūra privalo būti planuojama, taip pat subjektai, rengiantys teisės aktų projektus, privalo juos rengti ne chaotiškai, o planuoti teisės aktų projektų rengimo etapus, numatyti tam tikrų etapų terminus, siekiant, kad reguliavimu nustatomų priemonių įgyvendinimo pradžia būtų nuosekli, savalaikė, deranti su kitomis susijusiomis priemonėmis ir pan. Ar ši nuostata bus tik deklaratyvi priklauso nuo teisės aktus rengiančių subjektų sąmoningumo. Jeigu teisės akto projekto rengėjas racionaliai planuos, įvertins visas galimas rizikas rengiant projektą ir skirs pakankamai laiko joms </w:t>
            </w:r>
            <w:r w:rsidRPr="005126CF">
              <w:rPr>
                <w:rFonts w:ascii="Times New Roman" w:hAnsi="Times New Roman"/>
                <w:bCs/>
                <w:sz w:val="24"/>
                <w:szCs w:val="24"/>
              </w:rPr>
              <w:lastRenderedPageBreak/>
              <w:t>suvaldyti, tokiu atveju suinteresuotų institucijų vėlavimas pateikti išvadas neįtakos savalaikio projekto pateikimo.</w:t>
            </w:r>
          </w:p>
          <w:p w14:paraId="46F2AF13" w14:textId="02EEDF5F"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Cs/>
                <w:sz w:val="24"/>
                <w:szCs w:val="24"/>
              </w:rPr>
              <w:t>Kadangi šia nauja pastraipa dėl teisėkūros planavimo įtvirtinamas bendras horizontalus principas, nuostata pateikiama dalyje „Bendrosios  nuostatos“ ir netikslinga ją perkelti į</w:t>
            </w:r>
            <w:r w:rsidR="008410E2" w:rsidRPr="005126CF">
              <w:rPr>
                <w:rFonts w:ascii="Times New Roman" w:hAnsi="Times New Roman"/>
                <w:bCs/>
                <w:sz w:val="24"/>
                <w:szCs w:val="24"/>
              </w:rPr>
              <w:t xml:space="preserve"> </w:t>
            </w:r>
            <w:r w:rsidRPr="005126CF">
              <w:rPr>
                <w:rFonts w:ascii="Times New Roman" w:hAnsi="Times New Roman"/>
                <w:bCs/>
                <w:sz w:val="24"/>
                <w:szCs w:val="24"/>
              </w:rPr>
              <w:t>17 punktą.</w:t>
            </w:r>
          </w:p>
        </w:tc>
      </w:tr>
      <w:tr w:rsidR="00C5074A" w:rsidRPr="005126CF" w14:paraId="51DFDB0A" w14:textId="77777777" w:rsidTr="00D40A59">
        <w:trPr>
          <w:trHeight w:val="423"/>
        </w:trPr>
        <w:tc>
          <w:tcPr>
            <w:tcW w:w="1702" w:type="dxa"/>
            <w:vMerge/>
            <w:shd w:val="clear" w:color="auto" w:fill="auto"/>
          </w:tcPr>
          <w:p w14:paraId="35CAD2E7" w14:textId="77777777" w:rsidR="00C5074A" w:rsidRPr="005126CF" w:rsidRDefault="00C5074A" w:rsidP="00FC2D5B">
            <w:pPr>
              <w:jc w:val="both"/>
            </w:pPr>
          </w:p>
        </w:tc>
        <w:tc>
          <w:tcPr>
            <w:tcW w:w="8080" w:type="dxa"/>
            <w:shd w:val="clear" w:color="auto" w:fill="auto"/>
          </w:tcPr>
          <w:p w14:paraId="4109B59E" w14:textId="77777777" w:rsidR="00C5074A" w:rsidRPr="005126CF" w:rsidRDefault="00C5074A" w:rsidP="003B1836">
            <w:pPr>
              <w:tabs>
                <w:tab w:val="left" w:pos="1134"/>
              </w:tabs>
              <w:jc w:val="both"/>
              <w:rPr>
                <w:bCs/>
              </w:rPr>
            </w:pPr>
            <w:r w:rsidRPr="005126CF">
              <w:rPr>
                <w:bCs/>
              </w:rPr>
              <w:t>4. Projekto 9 punkte Reglamentas pildomas nauju 12</w:t>
            </w:r>
            <w:r w:rsidRPr="005126CF">
              <w:rPr>
                <w:bCs/>
                <w:vertAlign w:val="superscript"/>
              </w:rPr>
              <w:t>1</w:t>
            </w:r>
            <w:r w:rsidRPr="005126CF">
              <w:rPr>
                <w:bCs/>
              </w:rPr>
              <w:t xml:space="preserve"> punktu, reglamentuojančiu konsultavimąsi su visuomene. Pagal šį punktą konsultavimasis su visuomene turėtų vykti</w:t>
            </w:r>
            <w:r w:rsidRPr="005126CF">
              <w:rPr>
                <w:b/>
                <w:bCs/>
              </w:rPr>
              <w:t xml:space="preserve"> </w:t>
            </w:r>
            <w:r w:rsidRPr="005126CF">
              <w:rPr>
                <w:bCs/>
              </w:rPr>
              <w:t xml:space="preserve">teisėkūros iniciatyvos pareiškimo ir teisės akto projekto rengimo stadijose paskelbiant apie tai portalo „Mano vyriausybė“ interneto svetainėje „E. pilietis“. Pažymėtina, kad savo esme konsultavimasis su suinteresuotais asmenimis ir tarpinstitucinis derinimas iš esmės yra tapatūs, nes jų metu siekiama tinkamai įvertinti ir išspręsti su suinteresuotų subjektų kompetencija ar teisėtais interesais susijusius klausimus, taip pat užtikrinti, kad teisinis reguliavimas būtų darnus, tvarus, neprieštaringas ir pagrįstas. Kadangi šiais procesais siekiami teisėkūros tikslai sutampa, efektyviausia būtų jų rezultatus gauti vienu metu. Vienu metu gavus tiek iš suinteresuotų institucijų, tiek iš kitų suinteresuotų subjektų pasiūlymus, galima sistemiškai ir kompleksiškai įvertinti parengtu projektu sprendžiamas problemas bei siūlomas priemones joms spręsti ir priimti geriausią sprendimą dėl projekto tobulinimo. Siūlomas konsultavimosi su suinteresuotais asmenimis modelis (išskiriant jį į atskirą etapą) iš esmės yra teisėkūros proceso fragmentavimas. </w:t>
            </w:r>
          </w:p>
          <w:p w14:paraId="2C89561A" w14:textId="77777777" w:rsidR="00C5074A" w:rsidRPr="005126CF" w:rsidRDefault="00C5074A" w:rsidP="00FC2D5B">
            <w:pPr>
              <w:tabs>
                <w:tab w:val="left" w:pos="1134"/>
              </w:tabs>
              <w:ind w:firstLine="851"/>
              <w:jc w:val="both"/>
              <w:rPr>
                <w:bCs/>
              </w:rPr>
            </w:pPr>
            <w:r w:rsidRPr="005126CF">
              <w:rPr>
                <w:bCs/>
              </w:rPr>
              <w:t xml:space="preserve">Pažymėtina, kad pagal Teisėkūros pagrindų įstatymą teisėkūros atvirumui, skaidrumui, koncentruotumui užtikrinti naudojama Lietuvos Respublikos Seimo kanceliarijos teisės aktų informacinė sistema (toliau – TAIS), kurioje tvarkoma ir skelbiama </w:t>
            </w:r>
            <w:proofErr w:type="spellStart"/>
            <w:r w:rsidRPr="005126CF">
              <w:rPr>
                <w:bCs/>
                <w:i/>
              </w:rPr>
              <w:t>inter</w:t>
            </w:r>
            <w:proofErr w:type="spellEnd"/>
            <w:r w:rsidRPr="005126CF">
              <w:rPr>
                <w:bCs/>
                <w:i/>
              </w:rPr>
              <w:t xml:space="preserve"> alia</w:t>
            </w:r>
            <w:r w:rsidRPr="005126CF">
              <w:rPr>
                <w:bCs/>
              </w:rPr>
              <w:t xml:space="preserve"> informacija apie konsultavimąsi su visuomene, įskaitant konsultavimosi laiką, būdą, rezultatus. Kadangi Projekto 9 punkte siūloma nustatyti naują konsultavimosi su visuomene būdą, siūlomas reguliavimas konkuruoja su Teisėkūros įstatyme nustatytu reguliavimu. Tokio reguliavimo poreikis nėra tinkamai pagrįstas (neargumentuojama duomenimis, nenurodomi įgyvendinimo kaštai ir nauda, nepateikiami jokie kiekybiniai ir (ar) kokybiniai vertinimai, nėra aišku, ar siūlomas nustatyti konsultavimosi būdas būtų taikomas kaip </w:t>
            </w:r>
            <w:r w:rsidRPr="005126CF">
              <w:rPr>
                <w:bCs/>
                <w:i/>
              </w:rPr>
              <w:t xml:space="preserve">papildoma </w:t>
            </w:r>
            <w:r w:rsidRPr="005126CF">
              <w:rPr>
                <w:bCs/>
              </w:rPr>
              <w:t>priemonė konsultavimosi su visuomene efektyvumui užtikrinti, ar abu šie būdai būtų taikomi alternatyviai ir kt.).</w:t>
            </w:r>
          </w:p>
          <w:p w14:paraId="2BB8E5E9" w14:textId="77777777" w:rsidR="00C5074A" w:rsidRPr="005126CF" w:rsidRDefault="00C5074A" w:rsidP="00FC2D5B">
            <w:pPr>
              <w:tabs>
                <w:tab w:val="left" w:pos="1134"/>
              </w:tabs>
              <w:jc w:val="both"/>
              <w:rPr>
                <w:bCs/>
              </w:rPr>
            </w:pPr>
            <w:r w:rsidRPr="005126CF">
              <w:rPr>
                <w:bCs/>
              </w:rPr>
              <w:lastRenderedPageBreak/>
              <w:tab/>
              <w:t>Mūsų nuomone, TAIS, kaip priemonė suinteresuotoms šalims įsitraukti į teisėkūros procesą, turi visus esminius reikalingus techninius funkcionalumus, taip pat atitinka Teisėkūros pagrindų įstatymo 7 straipsnyje nustatytus reikalavimus. Praktinės problemos, susijusios su galimai nepatenkinamu TAIS naudojimu suinteresuotoms šalims įtraukti į teisėkūros procesą, mūsų vertinimu, susijusios su kitais aspektais – visų pirma su šios priemonės viešinimo aspektais – keltinas klausimas, ar suinteresuotos šalys turi pakankamai informacijos apie galimybes TAIS priemonėmis įsitraukti į teisėkūros procesą. Kartu spręstinas ir klausimas dėl TAIS funkcionalumų tobulinimo, didinant TAIS interaktyvumą ir naudojimo patogumą.</w:t>
            </w:r>
          </w:p>
          <w:p w14:paraId="6F58D38A" w14:textId="77777777" w:rsidR="00C5074A" w:rsidRPr="005126CF" w:rsidRDefault="00C5074A" w:rsidP="00FC2D5B">
            <w:pPr>
              <w:tabs>
                <w:tab w:val="left" w:pos="1134"/>
              </w:tabs>
              <w:jc w:val="both"/>
            </w:pPr>
            <w:r w:rsidRPr="005126CF">
              <w:rPr>
                <w:bCs/>
              </w:rPr>
              <w:tab/>
              <w:t>Lydraštyje nurodomos problemos dėl nepakankamo suinteresuotų šalių įtraukimo į teisėkūros procesą turėtų būti sprendžiamos visų pirma tobulinant esamą mechanizmą ir funkcionalumus, užuot kūrus naujus teisėkūros proceso etapus, kurių pagrįstumas, kaip minėta, nėra tinkamai argumentuotas ir kurios kuria fragmentacijos riziką. Užtikrinus tinkamą TAIS naudojimo viešinimą ir patobulinus TAIS funkcionalumus, būtų išspręstos ne tik suinteresuotų šalių įtraukimo į teisėkūros procesą problemos, bet ir būtų teigiamai prisidėta prie visos teisėkūros kokybės.</w:t>
            </w:r>
          </w:p>
        </w:tc>
        <w:tc>
          <w:tcPr>
            <w:tcW w:w="5386" w:type="dxa"/>
            <w:shd w:val="clear" w:color="auto" w:fill="auto"/>
          </w:tcPr>
          <w:p w14:paraId="3DB8424E" w14:textId="4787F1C5"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673AECD3" w14:textId="3D8476C5" w:rsidR="00ED6DA0" w:rsidRPr="005126CF" w:rsidRDefault="000D675F" w:rsidP="00ED6DA0">
            <w:pPr>
              <w:jc w:val="both"/>
              <w:rPr>
                <w:bCs/>
              </w:rPr>
            </w:pPr>
            <w:r w:rsidRPr="005126CF">
              <w:rPr>
                <w:bCs/>
              </w:rPr>
              <w:t>Įstaigų praktika rodo, kad konsultacijos su visuomene neretai apsiriboja jau parengto teisės akto projekto paskelbimu Seimo kanceliarijos teisės aktų informacinėje sistemoje, kai teisinio reguliavimo kokybei ir tvarumui užtikrinti galėtų būti pasitelktos konsultacijos su visuomene dar ankstesnėje teisėkūros stadijoje. Atsižvelgiant į tai, Reglamento 12</w:t>
            </w:r>
            <w:r w:rsidR="00F81C60" w:rsidRPr="005126CF">
              <w:rPr>
                <w:bCs/>
                <w:vertAlign w:val="superscript"/>
              </w:rPr>
              <w:t>1</w:t>
            </w:r>
            <w:r w:rsidRPr="005126CF">
              <w:rPr>
                <w:bCs/>
              </w:rPr>
              <w:t xml:space="preserve"> p. siekiama įtvirtinti šį horizontalų viešųjų konsultacijų principą ir praktiką, kartu nurodant, kad  konsultacijos </w:t>
            </w:r>
            <w:r w:rsidRPr="005126CF">
              <w:rPr>
                <w:bCs/>
                <w:i/>
              </w:rPr>
              <w:t>gali būti</w:t>
            </w:r>
            <w:r w:rsidRPr="005126CF">
              <w:rPr>
                <w:bCs/>
              </w:rPr>
              <w:t xml:space="preserve"> skelbiamos ir (arba) vykdomos </w:t>
            </w:r>
            <w:r w:rsidRPr="005126CF">
              <w:rPr>
                <w:bCs/>
                <w:i/>
              </w:rPr>
              <w:t>ir</w:t>
            </w:r>
            <w:r w:rsidRPr="005126CF">
              <w:rPr>
                <w:bCs/>
              </w:rPr>
              <w:t xml:space="preserve"> portalo „Mano vyriausybė“ interneto svetainėje „E. pilietis“. Taip sudaroma alternatyvi galimybė konsultacijas papildomai vykdyti ir skelbti ne tik Seimo kanceliarijos teisės aktų informacinėje sistemoje, bet ir svetainėje „E. pilietis“.</w:t>
            </w:r>
            <w:r w:rsidR="00ED6DA0" w:rsidRPr="005126CF">
              <w:rPr>
                <w:bCs/>
              </w:rPr>
              <w:t xml:space="preserve"> </w:t>
            </w:r>
          </w:p>
          <w:p w14:paraId="5DC5A921" w14:textId="6D2EB644" w:rsidR="00ED6DA0" w:rsidRPr="005126CF" w:rsidRDefault="00ED6DA0" w:rsidP="00ED6DA0">
            <w:pPr>
              <w:jc w:val="both"/>
            </w:pPr>
            <w:r w:rsidRPr="005126CF">
              <w:rPr>
                <w:bCs/>
              </w:rPr>
              <w:t xml:space="preserve">Pažymėtina, kad nėra </w:t>
            </w:r>
            <w:r w:rsidRPr="005126CF">
              <w:t>siūloma svetainėje E. pilietis teikti informaciją apie konsultacijas dėl teisės akto projektų, paskelbtų Seimo kanceliarijos teisės aktų informacinėje sistemoje. Šioje svetainėje galėtų būti viešinamos ir vykdomos tos konsultacijos su visuomene, kurios vykdomos dar prieš teisės akto projekto parengimą.</w:t>
            </w:r>
          </w:p>
          <w:p w14:paraId="34134EFB" w14:textId="6DEEFC00" w:rsidR="00B25865" w:rsidRPr="005126CF" w:rsidRDefault="00B25865" w:rsidP="00ED6DA0">
            <w:pPr>
              <w:jc w:val="both"/>
            </w:pPr>
            <w:r w:rsidRPr="005126CF">
              <w:t>Sutinkame, jog reikalinga labiau viešinti Seimo kanceliarijos teisės aktų informacinės sistemos galimybes ir tobulinti jos funkcionalumus. Tačiau tai nėra Reglamento reguliavimo dalykas</w:t>
            </w:r>
            <w:r w:rsidR="002B3B70" w:rsidRPr="005126CF">
              <w:t>, o</w:t>
            </w:r>
            <w:r w:rsidRPr="005126CF">
              <w:t xml:space="preserve"> turėtų būti sprendžiamas kompleksiškai – kartu </w:t>
            </w:r>
            <w:r w:rsidR="002B3B70" w:rsidRPr="005126CF">
              <w:t xml:space="preserve">sistemiškai </w:t>
            </w:r>
            <w:r w:rsidR="002B3B70" w:rsidRPr="005126CF">
              <w:lastRenderedPageBreak/>
              <w:t>peržiūrint Teisėkūros pagrindų įstatymo nuostatas dėl veiksmingesnio konsultacijų vykdymo.</w:t>
            </w:r>
          </w:p>
          <w:p w14:paraId="102E1738" w14:textId="0180CC97" w:rsidR="000D675F" w:rsidRPr="005126CF" w:rsidRDefault="000D675F" w:rsidP="00FC2D5B">
            <w:pPr>
              <w:pStyle w:val="Paprastasistekstas"/>
              <w:jc w:val="both"/>
              <w:rPr>
                <w:rFonts w:ascii="Times New Roman" w:hAnsi="Times New Roman"/>
                <w:bCs/>
                <w:sz w:val="24"/>
                <w:szCs w:val="24"/>
              </w:rPr>
            </w:pPr>
          </w:p>
          <w:p w14:paraId="4552F16D" w14:textId="77777777" w:rsidR="000D675F" w:rsidRPr="005126CF" w:rsidRDefault="000D675F" w:rsidP="00FC2D5B">
            <w:pPr>
              <w:pStyle w:val="Paprastasistekstas"/>
              <w:jc w:val="both"/>
              <w:rPr>
                <w:rFonts w:ascii="Times New Roman" w:hAnsi="Times New Roman"/>
                <w:b/>
                <w:bCs/>
                <w:sz w:val="24"/>
                <w:szCs w:val="24"/>
              </w:rPr>
            </w:pPr>
          </w:p>
          <w:p w14:paraId="60D476D6" w14:textId="60560386" w:rsidR="00C5074A" w:rsidRPr="005126CF" w:rsidRDefault="00C5074A" w:rsidP="00FC2D5B">
            <w:pPr>
              <w:pStyle w:val="Paprastasistekstas"/>
              <w:jc w:val="both"/>
              <w:rPr>
                <w:rFonts w:ascii="Times New Roman" w:hAnsi="Times New Roman"/>
                <w:bCs/>
                <w:sz w:val="24"/>
                <w:szCs w:val="24"/>
              </w:rPr>
            </w:pPr>
          </w:p>
        </w:tc>
      </w:tr>
      <w:tr w:rsidR="00C5074A" w:rsidRPr="005126CF" w14:paraId="7AC2ABDB" w14:textId="77777777" w:rsidTr="00D40A59">
        <w:trPr>
          <w:trHeight w:val="423"/>
        </w:trPr>
        <w:tc>
          <w:tcPr>
            <w:tcW w:w="1702" w:type="dxa"/>
            <w:vMerge/>
            <w:shd w:val="clear" w:color="auto" w:fill="auto"/>
          </w:tcPr>
          <w:p w14:paraId="13E2ECAC" w14:textId="77777777" w:rsidR="00C5074A" w:rsidRPr="005126CF" w:rsidRDefault="00C5074A" w:rsidP="00FC2D5B">
            <w:pPr>
              <w:jc w:val="both"/>
            </w:pPr>
          </w:p>
        </w:tc>
        <w:tc>
          <w:tcPr>
            <w:tcW w:w="8080" w:type="dxa"/>
            <w:shd w:val="clear" w:color="auto" w:fill="auto"/>
          </w:tcPr>
          <w:p w14:paraId="039E3464" w14:textId="77777777" w:rsidR="00C5074A" w:rsidRPr="005126CF" w:rsidRDefault="00C5074A" w:rsidP="003B1836">
            <w:pPr>
              <w:tabs>
                <w:tab w:val="left" w:pos="1134"/>
              </w:tabs>
              <w:ind w:firstLine="39"/>
              <w:jc w:val="both"/>
              <w:rPr>
                <w:bCs/>
              </w:rPr>
            </w:pPr>
            <w:r w:rsidRPr="005126CF">
              <w:t xml:space="preserve">5. </w:t>
            </w:r>
            <w:r w:rsidRPr="005126CF">
              <w:rPr>
                <w:bCs/>
              </w:rPr>
              <w:t>Projekto 13 punkte Reglamento 18 punktas pildomas nuostata, kad paprastai teisės aktų projektai derinti suinteresuotoms institucijoms turi būti pateikti likus ne mažiau kaip 2 mėnesiams iki planuojamos pateikimo Vyriausybei dienos. Pažymėtina, kad šioje nuostatoje stokojama aiškumo, kur (kokiame planavimo dokumente ar pan.) ši pateikimo Vyriausybei diena turi būti užfiksuota, atitinkamai nežinia, kaip reikėtų užtikrinti, kad institucijos šio termino laikytųsi. Be to, kaip jau minėta šio rašto 3 pastaboje, siūlomos nuostatos dėl teisės aktų projektų derinimo proceso planavimo yra deklaratyvios. Vien tik šių siūlomų nuostatų priėmimas savaime neužtikrins planavimo proceso pagerėjimo ir savalaikio teisės aktų projektų pateikimo Vyriausybei. Pažymėtina, kad jau šiuo metu Reglamento 127 punktas nustato, kad Vyriausybės nutarimų, kaip įgyvendinamųjų teisės aktų, projektai Vyriausybei turi būti pateikti likus ne mažiau kaip 2 mėnesiams iki jų numatomo įsigaliojimo. Papildomi terminai, nustatantys, kada turi būti pradėtas derinimo su institucijomis procesas, siekiant užtikrinti savalaikį jų pateikimą Vyriausybei, tik papildomai formalizuotų teisėkūros procesą, tačiau, siekiant užtikrinti siūlomomis</w:t>
            </w:r>
            <w:r w:rsidRPr="005126CF">
              <w:rPr>
                <w:rFonts w:eastAsiaTheme="minorHAnsi"/>
              </w:rPr>
              <w:t xml:space="preserve"> </w:t>
            </w:r>
            <w:r w:rsidRPr="005126CF">
              <w:rPr>
                <w:bCs/>
              </w:rPr>
              <w:t xml:space="preserve">nuostatomis siekiamų tikslų realizavimą, turi būti keičiama esamų keičiamo Reglamento nuostatų dėl </w:t>
            </w:r>
            <w:r w:rsidRPr="005126CF">
              <w:rPr>
                <w:bCs/>
              </w:rPr>
              <w:lastRenderedPageBreak/>
              <w:t xml:space="preserve">teisės aktų projektų derinimo taikymo praktika. </w:t>
            </w:r>
          </w:p>
          <w:p w14:paraId="674C92C1" w14:textId="77777777" w:rsidR="00C5074A" w:rsidRPr="005126CF" w:rsidRDefault="00C5074A" w:rsidP="00FC2D5B">
            <w:pPr>
              <w:tabs>
                <w:tab w:val="left" w:pos="1134"/>
              </w:tabs>
              <w:ind w:firstLine="851"/>
              <w:jc w:val="both"/>
              <w:rPr>
                <w:bCs/>
              </w:rPr>
            </w:pPr>
            <w:r w:rsidRPr="005126CF">
              <w:rPr>
                <w:bCs/>
              </w:rPr>
              <w:t>Pavyzdžiui, keičiamo Reglamento 30 punktas nustato, kad jeigu išvadas teikiantis subjektas nustatytu laiku išvadų nepateikia, laikoma, kad jis teisės akto projektui pritaria. Praktikoje ši nuostata neveikia – neretai gaunamos pastabos, pateikiamos praleidus nustatytus terminus. Praktikoje taip pat pasitaiko, kad institucijos pastabų nepateikia derinimo metu, tačiau jas teikia projektų svarstymo Vyriausybės kanceliarijoje organizuojamų tarpinstitucinių pasitarimų metu – šiuo aspektu nėra laikomasi keičiamo reglamento 30 punkto nuostatos. Tokia ydinga praktika ypač apsunkina ir užvilkina teisėkūros procesą, taip pat neleidžia jo planuoti (nes nėra galimybių prognozuoti projekto eigos nežinant, ar pastabos bus pateiktos) ir savo ruožtu sudaro kliūčių projektus pateikti laiku.</w:t>
            </w:r>
            <w:r w:rsidRPr="005126CF">
              <w:rPr>
                <w:rFonts w:eastAsiaTheme="minorHAnsi"/>
                <w:color w:val="000000"/>
              </w:rPr>
              <w:t xml:space="preserve"> </w:t>
            </w:r>
            <w:r w:rsidRPr="005126CF">
              <w:rPr>
                <w:bCs/>
              </w:rPr>
              <w:t>Praktikoje taip pat pasitaiko, kad subjektai (tiek suinteresuotos institucijos, tiek Vyriausybės kanceliarija), tarpinstitucinių pasitarimų metu pakartotinai vertindami projektus, teikia naujas pastabas dėl projektų nuostatų, kurios nesikeitė nuo pirminio vertinimo. Tai vertintina kaip ydinga ir nekonstruktyvi praktika, kuri vėlgi apsunkina ir vilkina teisėkūros procesą ir, be kita ko, sudaro kliūčių projektus pateikti laiku.</w:t>
            </w:r>
          </w:p>
          <w:p w14:paraId="7FA6D951" w14:textId="77777777" w:rsidR="00C5074A" w:rsidRPr="005126CF" w:rsidRDefault="00C5074A" w:rsidP="00FC2D5B">
            <w:pPr>
              <w:tabs>
                <w:tab w:val="left" w:pos="1134"/>
              </w:tabs>
              <w:ind w:firstLine="851"/>
              <w:jc w:val="both"/>
            </w:pPr>
            <w:r w:rsidRPr="005126CF">
              <w:rPr>
                <w:bCs/>
              </w:rPr>
              <w:t xml:space="preserve">Viena iš priežasčių, mūsų nuomone, yra ta, kad 2017 m. nuo 10 darbo dienų iki 7 darbo dienų sutrumpinus terminą, per kurį institucijos turi pateikti savo pastabas, institucijos paprasčiausiai nespėja laiku įvertinti teisės aktų projektų. Todėl svarstytina galimybė pratęsti keičiamo Reglamento 27 punkto pirmojoje pastraipoje nurodomus minimalius terminus iki buvusių 10 darbo dienų ir (arba) keičiamą Reglamentą papildyti nuostata, kad institucijos, derinimo metu nepateikusios pastabų, jų neteikia ir tarpinstituciniame pasitarime (ar pateiktos pastabos nėra vertinamos), išskyrus atvejus, jeigu po derinimo teisės akto projektas pasikeitė iš esmės ar buvo papildytas nuostatomis, kurių nebuvo derinimo metu. </w:t>
            </w:r>
          </w:p>
        </w:tc>
        <w:tc>
          <w:tcPr>
            <w:tcW w:w="5386" w:type="dxa"/>
            <w:shd w:val="clear" w:color="auto" w:fill="auto"/>
          </w:tcPr>
          <w:p w14:paraId="49896221" w14:textId="5DEEBCD3"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4EA306F2" w14:textId="7413A59A" w:rsidR="00C60977" w:rsidRPr="005126CF" w:rsidRDefault="00C5074A"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Žiūrėti į pateiktus argumentus </w:t>
            </w:r>
            <w:r w:rsidR="00C60977" w:rsidRPr="005126CF">
              <w:rPr>
                <w:rFonts w:ascii="Times New Roman" w:hAnsi="Times New Roman"/>
                <w:bCs/>
                <w:sz w:val="24"/>
                <w:szCs w:val="24"/>
              </w:rPr>
              <w:t>prie Socialinės apsaugos ir darbo ministerijos pastabos Nr. 6, Teisingumo ministerijos pastabos Nr. 10.</w:t>
            </w:r>
          </w:p>
          <w:p w14:paraId="6BA246EC" w14:textId="5F4E5E42" w:rsidR="00C5074A" w:rsidRPr="005126CF" w:rsidRDefault="00C5074A" w:rsidP="00FC2D5B">
            <w:pPr>
              <w:pStyle w:val="Paprastasistekstas"/>
              <w:jc w:val="both"/>
              <w:rPr>
                <w:rFonts w:ascii="Times New Roman" w:hAnsi="Times New Roman"/>
                <w:bCs/>
                <w:sz w:val="24"/>
                <w:szCs w:val="24"/>
              </w:rPr>
            </w:pPr>
            <w:r w:rsidRPr="005126CF">
              <w:rPr>
                <w:rFonts w:ascii="Times New Roman" w:hAnsi="Times New Roman"/>
                <w:bCs/>
                <w:sz w:val="24"/>
                <w:szCs w:val="24"/>
              </w:rPr>
              <w:t>Kokiuose dokumentuose ar kokiomis kitomis  priemonėmis planuoti teisės aktų projektų rengimo etapus bei fiksuoti terminus (jei to nepadarė Vyriausybė), sprendimus priima patys teisės aktų projektus rengiantys subjektai. Nuo rengėjų sąmoningumo priklausys, kaip jie laikysis pačių nusistatytų terminų. Projektus rengiantys subjektai patys turėtų būti suinteresuoti pateikti projektus tokiais terminais, kokiais įsipareigojo ir nusistatyti savo vidinius kontrolės mechanizmus, kad būtų užtikrintas terminų laikymasis, o ne tik vykdyti įsipareigojimus, jeigu taikoma išorinė kontrolė.</w:t>
            </w:r>
          </w:p>
          <w:p w14:paraId="2FAB15C5" w14:textId="77777777" w:rsidR="00C5074A" w:rsidRPr="005126CF" w:rsidRDefault="00C5074A" w:rsidP="00FC2D5B">
            <w:pPr>
              <w:pStyle w:val="Paprastasistekstas"/>
              <w:jc w:val="both"/>
              <w:rPr>
                <w:rFonts w:ascii="Times New Roman" w:hAnsi="Times New Roman"/>
                <w:bCs/>
                <w:sz w:val="24"/>
                <w:szCs w:val="24"/>
              </w:rPr>
            </w:pPr>
          </w:p>
          <w:p w14:paraId="2B247F4F" w14:textId="77777777" w:rsidR="00C5074A" w:rsidRPr="005126CF" w:rsidRDefault="00C5074A" w:rsidP="00FC2D5B">
            <w:pPr>
              <w:pStyle w:val="Paprastasistekstas"/>
              <w:jc w:val="both"/>
              <w:rPr>
                <w:rFonts w:ascii="Times New Roman" w:hAnsi="Times New Roman"/>
                <w:bCs/>
                <w:sz w:val="24"/>
                <w:szCs w:val="24"/>
              </w:rPr>
            </w:pPr>
          </w:p>
          <w:p w14:paraId="2B293A68" w14:textId="77777777" w:rsidR="00C5074A" w:rsidRPr="005126CF" w:rsidRDefault="00C5074A" w:rsidP="00FC2D5B">
            <w:pPr>
              <w:pStyle w:val="Paprastasistekstas"/>
              <w:jc w:val="both"/>
              <w:rPr>
                <w:rFonts w:ascii="Times New Roman" w:hAnsi="Times New Roman"/>
                <w:bCs/>
                <w:sz w:val="24"/>
                <w:szCs w:val="24"/>
              </w:rPr>
            </w:pPr>
          </w:p>
          <w:p w14:paraId="45462C64" w14:textId="77777777" w:rsidR="00C5074A" w:rsidRPr="005126CF" w:rsidRDefault="00C5074A" w:rsidP="00FC2D5B">
            <w:pPr>
              <w:pStyle w:val="Paprastasistekstas"/>
              <w:jc w:val="both"/>
              <w:rPr>
                <w:rFonts w:ascii="Times New Roman" w:hAnsi="Times New Roman"/>
                <w:bCs/>
                <w:sz w:val="24"/>
                <w:szCs w:val="24"/>
              </w:rPr>
            </w:pPr>
          </w:p>
          <w:p w14:paraId="1E06DC18" w14:textId="77777777" w:rsidR="00C5074A" w:rsidRPr="005126CF" w:rsidRDefault="00C5074A" w:rsidP="00FC2D5B">
            <w:pPr>
              <w:pStyle w:val="Paprastasistekstas"/>
              <w:jc w:val="both"/>
              <w:rPr>
                <w:rFonts w:ascii="Times New Roman" w:hAnsi="Times New Roman"/>
                <w:bCs/>
                <w:sz w:val="24"/>
                <w:szCs w:val="24"/>
              </w:rPr>
            </w:pPr>
          </w:p>
          <w:p w14:paraId="271E9969" w14:textId="77777777" w:rsidR="00C5074A" w:rsidRPr="005126CF" w:rsidRDefault="00C5074A" w:rsidP="00FC2D5B">
            <w:pPr>
              <w:pStyle w:val="Paprastasistekstas"/>
              <w:jc w:val="both"/>
              <w:rPr>
                <w:rFonts w:ascii="Times New Roman" w:hAnsi="Times New Roman"/>
                <w:bCs/>
                <w:sz w:val="24"/>
                <w:szCs w:val="24"/>
              </w:rPr>
            </w:pPr>
          </w:p>
          <w:p w14:paraId="245DDD5F" w14:textId="77777777" w:rsidR="00C5074A" w:rsidRPr="005126CF" w:rsidRDefault="00C5074A" w:rsidP="00FC2D5B">
            <w:pPr>
              <w:pStyle w:val="Paprastasistekstas"/>
              <w:jc w:val="both"/>
              <w:rPr>
                <w:rFonts w:ascii="Times New Roman" w:hAnsi="Times New Roman"/>
                <w:bCs/>
                <w:sz w:val="24"/>
                <w:szCs w:val="24"/>
              </w:rPr>
            </w:pPr>
          </w:p>
          <w:p w14:paraId="343686B5" w14:textId="77777777" w:rsidR="00C5074A" w:rsidRPr="005126CF" w:rsidRDefault="00C5074A" w:rsidP="00FC2D5B">
            <w:pPr>
              <w:pStyle w:val="Paprastasistekstas"/>
              <w:jc w:val="both"/>
              <w:rPr>
                <w:rFonts w:ascii="Times New Roman" w:hAnsi="Times New Roman"/>
                <w:bCs/>
                <w:sz w:val="24"/>
                <w:szCs w:val="24"/>
              </w:rPr>
            </w:pPr>
          </w:p>
          <w:p w14:paraId="1FB5B6E7" w14:textId="77777777" w:rsidR="00C5074A" w:rsidRPr="005126CF" w:rsidRDefault="00C5074A" w:rsidP="00FC2D5B">
            <w:pPr>
              <w:pStyle w:val="Paprastasistekstas"/>
              <w:jc w:val="both"/>
              <w:rPr>
                <w:rFonts w:ascii="Times New Roman" w:hAnsi="Times New Roman"/>
                <w:bCs/>
                <w:sz w:val="24"/>
                <w:szCs w:val="24"/>
              </w:rPr>
            </w:pPr>
          </w:p>
          <w:p w14:paraId="5CD733C3" w14:textId="77777777" w:rsidR="00C5074A" w:rsidRPr="005126CF" w:rsidRDefault="00C5074A" w:rsidP="00FC2D5B">
            <w:pPr>
              <w:pStyle w:val="Paprastasistekstas"/>
              <w:jc w:val="both"/>
              <w:rPr>
                <w:rFonts w:ascii="Times New Roman" w:hAnsi="Times New Roman"/>
                <w:bCs/>
                <w:sz w:val="24"/>
                <w:szCs w:val="24"/>
              </w:rPr>
            </w:pPr>
          </w:p>
          <w:p w14:paraId="0B74517B" w14:textId="77777777" w:rsidR="00C5074A" w:rsidRPr="005126CF" w:rsidRDefault="00C5074A" w:rsidP="00FC2D5B">
            <w:pPr>
              <w:pStyle w:val="Paprastasistekstas"/>
              <w:jc w:val="both"/>
              <w:rPr>
                <w:rFonts w:ascii="Times New Roman" w:hAnsi="Times New Roman"/>
                <w:bCs/>
                <w:sz w:val="24"/>
                <w:szCs w:val="24"/>
              </w:rPr>
            </w:pPr>
          </w:p>
          <w:p w14:paraId="6197892D" w14:textId="77777777" w:rsidR="00C5074A" w:rsidRPr="005126CF" w:rsidRDefault="00C5074A" w:rsidP="00FC2D5B">
            <w:pPr>
              <w:pStyle w:val="Paprastasistekstas"/>
              <w:jc w:val="both"/>
              <w:rPr>
                <w:rFonts w:ascii="Times New Roman" w:hAnsi="Times New Roman"/>
                <w:bCs/>
                <w:sz w:val="24"/>
                <w:szCs w:val="24"/>
              </w:rPr>
            </w:pPr>
          </w:p>
          <w:p w14:paraId="14B60003" w14:textId="77777777" w:rsidR="00C5074A" w:rsidRPr="005126CF" w:rsidRDefault="00C5074A" w:rsidP="00FC2D5B">
            <w:pPr>
              <w:pStyle w:val="Paprastasistekstas"/>
              <w:jc w:val="both"/>
              <w:rPr>
                <w:rFonts w:ascii="Times New Roman" w:hAnsi="Times New Roman"/>
                <w:bCs/>
                <w:sz w:val="24"/>
                <w:szCs w:val="24"/>
              </w:rPr>
            </w:pPr>
          </w:p>
          <w:p w14:paraId="058162AF" w14:textId="77777777" w:rsidR="00C5074A" w:rsidRPr="005126CF" w:rsidRDefault="00C5074A" w:rsidP="00FC2D5B">
            <w:pPr>
              <w:pStyle w:val="Paprastasistekstas"/>
              <w:jc w:val="both"/>
              <w:rPr>
                <w:rFonts w:ascii="Times New Roman" w:hAnsi="Times New Roman"/>
                <w:bCs/>
                <w:sz w:val="24"/>
                <w:szCs w:val="24"/>
              </w:rPr>
            </w:pPr>
          </w:p>
          <w:p w14:paraId="3736998A" w14:textId="77777777" w:rsidR="00C5074A" w:rsidRPr="005126CF" w:rsidRDefault="00C5074A" w:rsidP="00FC2D5B">
            <w:pPr>
              <w:pStyle w:val="Paprastasistekstas"/>
              <w:jc w:val="both"/>
              <w:rPr>
                <w:rFonts w:ascii="Times New Roman" w:hAnsi="Times New Roman"/>
                <w:bCs/>
                <w:sz w:val="24"/>
                <w:szCs w:val="24"/>
              </w:rPr>
            </w:pPr>
          </w:p>
          <w:p w14:paraId="3F48F91F" w14:textId="77777777" w:rsidR="00C5074A" w:rsidRPr="005126CF" w:rsidRDefault="00C5074A" w:rsidP="00FC2D5B">
            <w:pPr>
              <w:pStyle w:val="Paprastasistekstas"/>
              <w:jc w:val="both"/>
              <w:rPr>
                <w:rFonts w:ascii="Times New Roman" w:hAnsi="Times New Roman"/>
                <w:bCs/>
                <w:sz w:val="24"/>
                <w:szCs w:val="24"/>
              </w:rPr>
            </w:pPr>
          </w:p>
          <w:p w14:paraId="73334C58" w14:textId="77777777" w:rsidR="00C5074A" w:rsidRPr="005126CF" w:rsidRDefault="00C5074A" w:rsidP="00FC2D5B">
            <w:pPr>
              <w:pStyle w:val="Paprastasistekstas"/>
              <w:jc w:val="both"/>
              <w:rPr>
                <w:rFonts w:ascii="Times New Roman" w:hAnsi="Times New Roman"/>
                <w:bCs/>
                <w:sz w:val="24"/>
                <w:szCs w:val="24"/>
              </w:rPr>
            </w:pPr>
          </w:p>
          <w:p w14:paraId="05B458F4" w14:textId="77777777" w:rsidR="003B1836" w:rsidRPr="005126CF" w:rsidRDefault="003B1836" w:rsidP="00FC2D5B">
            <w:pPr>
              <w:pStyle w:val="Paprastasistekstas"/>
              <w:jc w:val="both"/>
              <w:rPr>
                <w:rFonts w:ascii="Times New Roman" w:hAnsi="Times New Roman"/>
                <w:bCs/>
                <w:sz w:val="24"/>
                <w:szCs w:val="24"/>
              </w:rPr>
            </w:pPr>
          </w:p>
          <w:p w14:paraId="3EEBE526" w14:textId="1AFA0C3E" w:rsidR="00C5074A" w:rsidRPr="005126CF" w:rsidRDefault="00C5074A" w:rsidP="00FC2D5B">
            <w:pPr>
              <w:pStyle w:val="Paprastasistekstas"/>
              <w:jc w:val="both"/>
              <w:rPr>
                <w:rFonts w:ascii="Times New Roman" w:hAnsi="Times New Roman"/>
                <w:bCs/>
                <w:sz w:val="24"/>
                <w:szCs w:val="24"/>
              </w:rPr>
            </w:pPr>
            <w:r w:rsidRPr="005126CF">
              <w:rPr>
                <w:rFonts w:ascii="Times New Roman" w:hAnsi="Times New Roman"/>
                <w:bCs/>
                <w:sz w:val="24"/>
                <w:szCs w:val="24"/>
              </w:rPr>
              <w:t>Tarpinstitucinio pasitarimo formatas skirtas galutinai suderinti teisės akto projekto tekstą sudarant visiems galimai suinteresuotiems asmenims išsakyti savo nuomonę, todėl nuomonės išsakymo ribojimas prieštarautų šio pasitarimo tikslui. Taip pat atkreiptinas dėmesys, jeigu po derinimo teisės aktas pasikeičia iš esmės, jis turėtų būti pakartotinai teikiamas išvadoms gauti Reglamento nustatyta tvarka ir to nepadarius neturėtų būti teikiamas Vyriausybei svarstyti.</w:t>
            </w:r>
          </w:p>
        </w:tc>
      </w:tr>
      <w:tr w:rsidR="00C5074A" w:rsidRPr="005126CF" w14:paraId="222715AF" w14:textId="77777777" w:rsidTr="00D40A59">
        <w:trPr>
          <w:trHeight w:val="423"/>
        </w:trPr>
        <w:tc>
          <w:tcPr>
            <w:tcW w:w="1702" w:type="dxa"/>
            <w:vMerge/>
            <w:shd w:val="clear" w:color="auto" w:fill="auto"/>
          </w:tcPr>
          <w:p w14:paraId="1947F496" w14:textId="77777777" w:rsidR="00C5074A" w:rsidRPr="005126CF" w:rsidRDefault="00C5074A" w:rsidP="00FC2D5B">
            <w:pPr>
              <w:jc w:val="both"/>
            </w:pPr>
          </w:p>
        </w:tc>
        <w:tc>
          <w:tcPr>
            <w:tcW w:w="8080" w:type="dxa"/>
            <w:shd w:val="clear" w:color="auto" w:fill="auto"/>
          </w:tcPr>
          <w:p w14:paraId="787ED410" w14:textId="77777777" w:rsidR="00C5074A" w:rsidRPr="005126CF" w:rsidRDefault="00C5074A" w:rsidP="00FC2D5B">
            <w:pPr>
              <w:pStyle w:val="Preformatted"/>
              <w:tabs>
                <w:tab w:val="clear" w:pos="0"/>
                <w:tab w:val="clear" w:pos="959"/>
                <w:tab w:val="clear" w:pos="1918"/>
                <w:tab w:val="clear" w:pos="2877"/>
                <w:tab w:val="clear" w:pos="3836"/>
                <w:tab w:val="clear" w:pos="4795"/>
                <w:tab w:val="clear" w:pos="9590"/>
                <w:tab w:val="left" w:pos="1134"/>
              </w:tabs>
              <w:snapToGrid w:val="0"/>
              <w:ind w:left="31"/>
              <w:jc w:val="both"/>
              <w:rPr>
                <w:rFonts w:ascii="Times New Roman" w:hAnsi="Times New Roman"/>
                <w:sz w:val="24"/>
                <w:szCs w:val="24"/>
              </w:rPr>
            </w:pPr>
            <w:r w:rsidRPr="005126CF">
              <w:rPr>
                <w:rFonts w:ascii="Times New Roman" w:hAnsi="Times New Roman"/>
                <w:bCs/>
                <w:sz w:val="24"/>
                <w:szCs w:val="24"/>
              </w:rPr>
              <w:t>6. Projekto 15 punkte keičiamo Reglamento 21.2 papunktyje siūlome numatyti išlygą, kad, rengiant įstatymo projektą, nurodoma informacija gali būti nurodoma ir aiškinamajame rašte, kaip nustatyta Reglamento 12.6, 21.7 ar 21.9 papunkčiuose. Priešingu atveju būtų sudarytos prielaidos informaciją dubliuoti tiek lydraštyje, tiek aiškinamajame rašte.</w:t>
            </w:r>
          </w:p>
        </w:tc>
        <w:tc>
          <w:tcPr>
            <w:tcW w:w="5386" w:type="dxa"/>
            <w:shd w:val="clear" w:color="auto" w:fill="auto"/>
          </w:tcPr>
          <w:p w14:paraId="0450B4D1" w14:textId="552F6366"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Cs/>
                <w:sz w:val="24"/>
                <w:szCs w:val="24"/>
              </w:rPr>
              <w:t xml:space="preserve"> </w:t>
            </w:r>
            <w:r w:rsidRPr="005126CF">
              <w:rPr>
                <w:rFonts w:ascii="Times New Roman" w:hAnsi="Times New Roman"/>
                <w:b/>
                <w:bCs/>
                <w:sz w:val="24"/>
                <w:szCs w:val="24"/>
              </w:rPr>
              <w:t>Neatsižvelgta</w:t>
            </w:r>
          </w:p>
          <w:p w14:paraId="349A6525" w14:textId="4BBC4DA8" w:rsidR="00C5074A" w:rsidRPr="005126CF" w:rsidRDefault="002A6203" w:rsidP="00FC2D5B">
            <w:pPr>
              <w:pStyle w:val="Paprastasistekstas"/>
              <w:jc w:val="both"/>
              <w:rPr>
                <w:rFonts w:ascii="Times New Roman" w:hAnsi="Times New Roman"/>
                <w:bCs/>
                <w:sz w:val="24"/>
                <w:szCs w:val="24"/>
              </w:rPr>
            </w:pPr>
            <w:r w:rsidRPr="005126CF">
              <w:rPr>
                <w:rFonts w:ascii="Times New Roman" w:hAnsi="Times New Roman"/>
                <w:bCs/>
                <w:sz w:val="24"/>
                <w:szCs w:val="24"/>
              </w:rPr>
              <w:t>Žiūrėti į pateiktus argumentus prie Socialinės apsaugos ir darbo ministerijos pastabos Nr. 7.</w:t>
            </w:r>
          </w:p>
        </w:tc>
      </w:tr>
      <w:tr w:rsidR="00C5074A" w:rsidRPr="005126CF" w14:paraId="342DBC87" w14:textId="77777777" w:rsidTr="00D40A59">
        <w:trPr>
          <w:trHeight w:val="423"/>
        </w:trPr>
        <w:tc>
          <w:tcPr>
            <w:tcW w:w="1702" w:type="dxa"/>
            <w:vMerge/>
            <w:shd w:val="clear" w:color="auto" w:fill="auto"/>
          </w:tcPr>
          <w:p w14:paraId="50779ADD" w14:textId="77777777" w:rsidR="00C5074A" w:rsidRPr="005126CF" w:rsidRDefault="00C5074A" w:rsidP="00FC2D5B">
            <w:pPr>
              <w:jc w:val="both"/>
            </w:pPr>
          </w:p>
        </w:tc>
        <w:tc>
          <w:tcPr>
            <w:tcW w:w="8080" w:type="dxa"/>
            <w:shd w:val="clear" w:color="auto" w:fill="auto"/>
          </w:tcPr>
          <w:p w14:paraId="177CE448" w14:textId="77777777" w:rsidR="00C5074A" w:rsidRPr="005126CF" w:rsidRDefault="00C5074A" w:rsidP="00FC2D5B">
            <w:pPr>
              <w:tabs>
                <w:tab w:val="left" w:pos="1134"/>
              </w:tabs>
              <w:jc w:val="both"/>
            </w:pPr>
            <w:r w:rsidRPr="005126CF">
              <w:rPr>
                <w:bCs/>
              </w:rPr>
              <w:t xml:space="preserve">7. Projekto 17 punkte Reglamento 27 punktas pildomas nuostata, kad visuomenei pateikti pastabas ir pasiūlymus dėl teisės aktų projektų turi būti numatomas ne trumpesnis kaip 10 darbo dienų terminas. Tokiu būdu nustatomi skirtingi </w:t>
            </w:r>
            <w:r w:rsidRPr="005126CF">
              <w:rPr>
                <w:bCs/>
              </w:rPr>
              <w:lastRenderedPageBreak/>
              <w:t xml:space="preserve">terminai išvadoms pateikti visuomenei ir kitiems išvadas teikiantiems subjektams (Reglamento 27 punkto pirmoji pastraipa). Kadangi pagal dabartinį reguliavimą suinteresuotų institucijų išvadoms pateikti bendra tvarka nustatytas </w:t>
            </w:r>
            <w:r w:rsidRPr="005126CF">
              <w:rPr>
                <w:bCs/>
              </w:rPr>
              <w:br/>
              <w:t xml:space="preserve">7 darbo dienų terminas (išskyrus didelės apimties projektus), pagal siūlomą reguliavimą teisės akto projektą derinanti institucija, gavusi suinteresuotų institucijų išvadas nustatytais terminais, privalės prieš pateikdama jį Vyriausybei sulaukti nustatyto termino visuomenei pateikti pastabas ir pasiūlymus pasibaigimo, taigi bendras teisės aktų projektų derinimo terminas pailgėja. Tačiau iš esmės nėra aišku, kodėl siūloma prailginti terminą pateikti pastabas ir pasiūlymus dėl teisės aktų projektų tik visuomenei, o kitiems išvadas teikiantiems subjektams terminai nėra keičiami. Atsižvelgdami į praktiką ir atkreipdami dėmesį į tai, kad ministerijos turi pateikti kartu su ministerijai pavaldžiomis įstaigomis apibendrintas išvadas dėl teisės aktų projektų, manome, kad Reglamento 27 punkto pirmojoje pastraipoje nustatyti terminai yra per trumpi. Siūlytina atitinkamai pakeisti terminus ir kitiems išvadas teikiantiems subjektams.  </w:t>
            </w:r>
          </w:p>
        </w:tc>
        <w:tc>
          <w:tcPr>
            <w:tcW w:w="5386" w:type="dxa"/>
            <w:shd w:val="clear" w:color="auto" w:fill="auto"/>
          </w:tcPr>
          <w:p w14:paraId="064C4D0A" w14:textId="77777777"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443C8377" w14:textId="25608D3E" w:rsidR="00C5074A" w:rsidRPr="005126CF" w:rsidRDefault="00C5074A"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Reglamento 27 punkto </w:t>
            </w:r>
            <w:r w:rsidR="00A436DC" w:rsidRPr="005126CF">
              <w:rPr>
                <w:rFonts w:ascii="Times New Roman" w:hAnsi="Times New Roman"/>
                <w:bCs/>
                <w:sz w:val="24"/>
                <w:szCs w:val="24"/>
              </w:rPr>
              <w:t>pirmoji</w:t>
            </w:r>
            <w:r w:rsidR="00845FFC" w:rsidRPr="005126CF">
              <w:rPr>
                <w:rFonts w:ascii="Times New Roman" w:hAnsi="Times New Roman"/>
                <w:bCs/>
                <w:sz w:val="24"/>
                <w:szCs w:val="24"/>
              </w:rPr>
              <w:t>, antroji (t</w:t>
            </w:r>
            <w:r w:rsidR="00A436DC" w:rsidRPr="005126CF">
              <w:rPr>
                <w:rFonts w:ascii="Times New Roman" w:hAnsi="Times New Roman"/>
                <w:bCs/>
                <w:sz w:val="24"/>
                <w:szCs w:val="24"/>
              </w:rPr>
              <w:t>rečioji</w:t>
            </w:r>
            <w:r w:rsidR="00845FFC" w:rsidRPr="005126CF">
              <w:rPr>
                <w:rFonts w:ascii="Times New Roman" w:hAnsi="Times New Roman"/>
                <w:bCs/>
                <w:sz w:val="24"/>
                <w:szCs w:val="24"/>
              </w:rPr>
              <w:t xml:space="preserve"> pastraipa siūloma pripažinti netekusia galios derinant </w:t>
            </w:r>
            <w:r w:rsidR="00845FFC" w:rsidRPr="005126CF">
              <w:rPr>
                <w:rFonts w:ascii="Times New Roman" w:hAnsi="Times New Roman"/>
                <w:bCs/>
                <w:sz w:val="24"/>
                <w:szCs w:val="24"/>
              </w:rPr>
              <w:lastRenderedPageBreak/>
              <w:t>su Vyriausybės įstatymo 38 str</w:t>
            </w:r>
            <w:r w:rsidR="00DB4FAB" w:rsidRPr="005126CF">
              <w:rPr>
                <w:rFonts w:ascii="Times New Roman" w:hAnsi="Times New Roman"/>
                <w:bCs/>
                <w:sz w:val="24"/>
                <w:szCs w:val="24"/>
              </w:rPr>
              <w:t>.</w:t>
            </w:r>
            <w:r w:rsidR="00845FFC" w:rsidRPr="005126CF">
              <w:rPr>
                <w:rFonts w:ascii="Times New Roman" w:hAnsi="Times New Roman"/>
                <w:bCs/>
                <w:sz w:val="24"/>
                <w:szCs w:val="24"/>
              </w:rPr>
              <w:t xml:space="preserve"> 2 d</w:t>
            </w:r>
            <w:r w:rsidR="00DB4FAB" w:rsidRPr="005126CF">
              <w:rPr>
                <w:rFonts w:ascii="Times New Roman" w:hAnsi="Times New Roman"/>
                <w:bCs/>
                <w:sz w:val="24"/>
                <w:szCs w:val="24"/>
              </w:rPr>
              <w:t>.</w:t>
            </w:r>
            <w:r w:rsidR="00845FFC" w:rsidRPr="005126CF">
              <w:rPr>
                <w:rFonts w:ascii="Times New Roman" w:hAnsi="Times New Roman"/>
                <w:bCs/>
                <w:sz w:val="24"/>
                <w:szCs w:val="24"/>
              </w:rPr>
              <w:t xml:space="preserve">) </w:t>
            </w:r>
            <w:r w:rsidRPr="005126CF">
              <w:rPr>
                <w:rFonts w:ascii="Times New Roman" w:hAnsi="Times New Roman"/>
                <w:bCs/>
                <w:sz w:val="24"/>
                <w:szCs w:val="24"/>
              </w:rPr>
              <w:t xml:space="preserve">pastraipos nustato pareigą išvadas teikiantiems subjektams per nustatytą terminą pateikti išvadas dėl teisės aktų projektų. Tuo tarpu </w:t>
            </w:r>
            <w:r w:rsidR="00A436DC" w:rsidRPr="005126CF">
              <w:rPr>
                <w:rFonts w:ascii="Times New Roman" w:hAnsi="Times New Roman"/>
                <w:bCs/>
                <w:sz w:val="24"/>
                <w:szCs w:val="24"/>
              </w:rPr>
              <w:t xml:space="preserve">Reglamento </w:t>
            </w:r>
            <w:r w:rsidRPr="005126CF">
              <w:rPr>
                <w:rFonts w:ascii="Times New Roman" w:hAnsi="Times New Roman"/>
                <w:bCs/>
                <w:sz w:val="24"/>
                <w:szCs w:val="24"/>
              </w:rPr>
              <w:t>27</w:t>
            </w:r>
            <w:r w:rsidR="00DB4FAB" w:rsidRPr="005126CF">
              <w:rPr>
                <w:rFonts w:ascii="Times New Roman" w:hAnsi="Times New Roman"/>
                <w:bCs/>
                <w:sz w:val="24"/>
                <w:szCs w:val="24"/>
              </w:rPr>
              <w:t> </w:t>
            </w:r>
            <w:r w:rsidRPr="005126CF">
              <w:rPr>
                <w:rFonts w:ascii="Times New Roman" w:hAnsi="Times New Roman"/>
                <w:bCs/>
                <w:sz w:val="24"/>
                <w:szCs w:val="24"/>
              </w:rPr>
              <w:t>p</w:t>
            </w:r>
            <w:r w:rsidR="00DB4FAB" w:rsidRPr="005126CF">
              <w:rPr>
                <w:rFonts w:ascii="Times New Roman" w:hAnsi="Times New Roman"/>
                <w:bCs/>
                <w:sz w:val="24"/>
                <w:szCs w:val="24"/>
              </w:rPr>
              <w:t>.</w:t>
            </w:r>
            <w:r w:rsidRPr="005126CF">
              <w:rPr>
                <w:rFonts w:ascii="Times New Roman" w:hAnsi="Times New Roman"/>
                <w:bCs/>
                <w:sz w:val="24"/>
                <w:szCs w:val="24"/>
              </w:rPr>
              <w:t xml:space="preserve"> </w:t>
            </w:r>
            <w:r w:rsidR="00A436DC" w:rsidRPr="005126CF">
              <w:rPr>
                <w:rFonts w:ascii="Times New Roman" w:hAnsi="Times New Roman"/>
                <w:bCs/>
                <w:sz w:val="24"/>
                <w:szCs w:val="24"/>
              </w:rPr>
              <w:t>ketvirtosios</w:t>
            </w:r>
            <w:r w:rsidRPr="005126CF">
              <w:rPr>
                <w:rFonts w:ascii="Times New Roman" w:hAnsi="Times New Roman"/>
                <w:bCs/>
                <w:sz w:val="24"/>
                <w:szCs w:val="24"/>
              </w:rPr>
              <w:t xml:space="preserve"> pastraipos taikymo subjektas (patikslintam Reglamento </w:t>
            </w:r>
            <w:r w:rsidRPr="005126CF">
              <w:rPr>
                <w:rFonts w:ascii="Times New Roman" w:hAnsi="Times New Roman"/>
                <w:sz w:val="24"/>
                <w:szCs w:val="24"/>
              </w:rPr>
              <w:t>27</w:t>
            </w:r>
            <w:r w:rsidRPr="005126CF">
              <w:rPr>
                <w:rFonts w:ascii="Times New Roman" w:hAnsi="Times New Roman"/>
                <w:sz w:val="24"/>
                <w:szCs w:val="24"/>
                <w:vertAlign w:val="superscript"/>
              </w:rPr>
              <w:t>1</w:t>
            </w:r>
            <w:r w:rsidR="00A436DC" w:rsidRPr="005126CF">
              <w:rPr>
                <w:rFonts w:ascii="Times New Roman" w:hAnsi="Times New Roman"/>
                <w:sz w:val="24"/>
                <w:szCs w:val="24"/>
                <w:vertAlign w:val="superscript"/>
              </w:rPr>
              <w:t> </w:t>
            </w:r>
            <w:r w:rsidRPr="005126CF">
              <w:rPr>
                <w:rFonts w:ascii="Times New Roman" w:hAnsi="Times New Roman"/>
                <w:sz w:val="24"/>
                <w:szCs w:val="24"/>
              </w:rPr>
              <w:t>p</w:t>
            </w:r>
            <w:r w:rsidR="00A436DC" w:rsidRPr="005126CF">
              <w:rPr>
                <w:rFonts w:ascii="Times New Roman" w:hAnsi="Times New Roman"/>
                <w:sz w:val="24"/>
                <w:szCs w:val="24"/>
              </w:rPr>
              <w:t>.</w:t>
            </w:r>
            <w:r w:rsidRPr="005126CF">
              <w:rPr>
                <w:rFonts w:ascii="Times New Roman" w:hAnsi="Times New Roman"/>
                <w:sz w:val="24"/>
                <w:szCs w:val="24"/>
              </w:rPr>
              <w:t xml:space="preserve">) </w:t>
            </w:r>
            <w:r w:rsidRPr="005126CF">
              <w:rPr>
                <w:rFonts w:ascii="Times New Roman" w:hAnsi="Times New Roman"/>
                <w:bCs/>
                <w:sz w:val="24"/>
                <w:szCs w:val="24"/>
              </w:rPr>
              <w:t xml:space="preserve">– suinteresuoti asmenys, kurie nėra „išvadas teikiantys subjektai“. Teisės aktų projektų rengėjai patys nustato išvadas teikiančius subjektus. Išanalizavus </w:t>
            </w:r>
            <w:r w:rsidR="00A436DC" w:rsidRPr="005126CF">
              <w:rPr>
                <w:rFonts w:ascii="Times New Roman" w:hAnsi="Times New Roman"/>
                <w:bCs/>
                <w:sz w:val="24"/>
                <w:szCs w:val="24"/>
              </w:rPr>
              <w:t xml:space="preserve">valstybės ir savivaldybių institucijų (toliau – institucijos) </w:t>
            </w:r>
            <w:r w:rsidRPr="005126CF">
              <w:rPr>
                <w:rFonts w:ascii="Times New Roman" w:hAnsi="Times New Roman"/>
                <w:bCs/>
                <w:sz w:val="24"/>
                <w:szCs w:val="24"/>
              </w:rPr>
              <w:t>taikomą praktiką nustatyta, kad absoliučia dauguma atvejų kaip išvadas teikiantys subjektai pasirenkamos institucijos, kurių valdymo sritys vienaip ar kitaip yra susijusios su reguliavimo pakeitimais ir retu atveju išvadų dėl reguliavimo nuostatų teksto prašoma suinteresuotų asmenų (plačiąja prasme).</w:t>
            </w:r>
            <w:r w:rsidR="00A436DC" w:rsidRPr="005126CF">
              <w:rPr>
                <w:rFonts w:ascii="Times New Roman" w:hAnsi="Times New Roman"/>
                <w:bCs/>
                <w:sz w:val="24"/>
                <w:szCs w:val="24"/>
              </w:rPr>
              <w:t xml:space="preserve"> Institucijų </w:t>
            </w:r>
            <w:r w:rsidRPr="005126CF">
              <w:rPr>
                <w:rFonts w:ascii="Times New Roman" w:hAnsi="Times New Roman"/>
                <w:bCs/>
                <w:sz w:val="24"/>
                <w:szCs w:val="24"/>
              </w:rPr>
              <w:t xml:space="preserve">veiklą reglamentuojančiuose teisės aktuose joms yra nustatyta pareiga (funkcija) teikti išvadas dėl teisės aktų projektų. Tuo tarpu suinteresuoti asmenys (plačiąja prasme) nėra įpareigoti ir jiems nėra (ir negali būti) pavesta funkcija teikti pastabas, tai nėra jų </w:t>
            </w:r>
            <w:r w:rsidR="00E55108" w:rsidRPr="005126CF">
              <w:rPr>
                <w:rFonts w:ascii="Times New Roman" w:hAnsi="Times New Roman"/>
                <w:bCs/>
                <w:sz w:val="24"/>
                <w:szCs w:val="24"/>
              </w:rPr>
              <w:t>veikla</w:t>
            </w:r>
            <w:r w:rsidRPr="005126CF">
              <w:rPr>
                <w:rFonts w:ascii="Times New Roman" w:hAnsi="Times New Roman"/>
                <w:bCs/>
                <w:sz w:val="24"/>
                <w:szCs w:val="24"/>
              </w:rPr>
              <w:t>, už kur</w:t>
            </w:r>
            <w:r w:rsidR="00E55108" w:rsidRPr="005126CF">
              <w:rPr>
                <w:rFonts w:ascii="Times New Roman" w:hAnsi="Times New Roman"/>
                <w:bCs/>
                <w:sz w:val="24"/>
                <w:szCs w:val="24"/>
              </w:rPr>
              <w:t>ią</w:t>
            </w:r>
            <w:r w:rsidRPr="005126CF">
              <w:rPr>
                <w:rFonts w:ascii="Times New Roman" w:hAnsi="Times New Roman"/>
                <w:bCs/>
                <w:sz w:val="24"/>
                <w:szCs w:val="24"/>
              </w:rPr>
              <w:t xml:space="preserve"> mokamas darbo užmokestis. Tačiau valstybė privalo sudaryti sąlygas suinteresuotiems asmenims (plačiąja prasme) įsitraukti į teisės aktų projektų rengimo procesą. Suinteresuotiems asmenims sutelkti dalyvius ir susiorganizuoti pateikti pastabas per </w:t>
            </w:r>
            <w:r w:rsidRPr="005126CF">
              <w:rPr>
                <w:rFonts w:ascii="Times New Roman" w:hAnsi="Times New Roman"/>
                <w:bCs/>
                <w:sz w:val="24"/>
                <w:szCs w:val="24"/>
                <w:lang w:val="en-GB"/>
              </w:rPr>
              <w:t>7</w:t>
            </w:r>
            <w:r w:rsidRPr="005126CF">
              <w:rPr>
                <w:rFonts w:ascii="Times New Roman" w:hAnsi="Times New Roman"/>
                <w:bCs/>
                <w:sz w:val="24"/>
                <w:szCs w:val="24"/>
              </w:rPr>
              <w:t xml:space="preserve"> darbo dienas yra per trumpas laikas, tą ne kartą yra akcentavę ir Vyriausybės socialiniai ekonominiai partneriai, todėl jie net neinicijuoja šio proceso.</w:t>
            </w:r>
          </w:p>
          <w:p w14:paraId="014DC691" w14:textId="4D413DB9" w:rsidR="00C5074A" w:rsidRPr="005126CF" w:rsidRDefault="00C5074A" w:rsidP="00FC2D5B">
            <w:pPr>
              <w:pStyle w:val="Paprastasistekstas"/>
              <w:jc w:val="both"/>
              <w:rPr>
                <w:rFonts w:ascii="Times New Roman" w:hAnsi="Times New Roman"/>
                <w:bCs/>
                <w:sz w:val="24"/>
                <w:szCs w:val="24"/>
              </w:rPr>
            </w:pPr>
            <w:r w:rsidRPr="005126CF">
              <w:rPr>
                <w:rFonts w:ascii="Times New Roman" w:hAnsi="Times New Roman"/>
                <w:bCs/>
                <w:sz w:val="24"/>
                <w:szCs w:val="24"/>
              </w:rPr>
              <w:t xml:space="preserve">Septynioliktoji Vyriausybė yra iškėlusi tikslą </w:t>
            </w:r>
            <w:r w:rsidR="004A1B45" w:rsidRPr="005126CF">
              <w:rPr>
                <w:rFonts w:ascii="Times New Roman" w:hAnsi="Times New Roman"/>
                <w:bCs/>
                <w:sz w:val="24"/>
                <w:szCs w:val="24"/>
              </w:rPr>
              <w:t xml:space="preserve">siekti </w:t>
            </w:r>
            <w:r w:rsidRPr="005126CF">
              <w:rPr>
                <w:rFonts w:ascii="Times New Roman" w:hAnsi="Times New Roman"/>
                <w:bCs/>
                <w:i/>
                <w:sz w:val="24"/>
                <w:szCs w:val="24"/>
              </w:rPr>
              <w:t>atvir</w:t>
            </w:r>
            <w:r w:rsidR="004A1B45" w:rsidRPr="005126CF">
              <w:rPr>
                <w:rFonts w:ascii="Times New Roman" w:hAnsi="Times New Roman"/>
                <w:bCs/>
                <w:i/>
                <w:sz w:val="24"/>
                <w:szCs w:val="24"/>
              </w:rPr>
              <w:t xml:space="preserve">o </w:t>
            </w:r>
            <w:r w:rsidRPr="005126CF">
              <w:rPr>
                <w:rFonts w:ascii="Times New Roman" w:hAnsi="Times New Roman"/>
                <w:bCs/>
                <w:i/>
                <w:sz w:val="24"/>
                <w:szCs w:val="24"/>
              </w:rPr>
              <w:t>ir skaidr</w:t>
            </w:r>
            <w:r w:rsidR="004A1B45" w:rsidRPr="005126CF">
              <w:rPr>
                <w:rFonts w:ascii="Times New Roman" w:hAnsi="Times New Roman"/>
                <w:bCs/>
                <w:i/>
                <w:sz w:val="24"/>
                <w:szCs w:val="24"/>
              </w:rPr>
              <w:t>aus</w:t>
            </w:r>
            <w:r w:rsidRPr="005126CF">
              <w:rPr>
                <w:rFonts w:ascii="Times New Roman" w:hAnsi="Times New Roman"/>
                <w:bCs/>
                <w:i/>
                <w:sz w:val="24"/>
                <w:szCs w:val="24"/>
              </w:rPr>
              <w:t xml:space="preserve"> sprendimų priėmimo proces</w:t>
            </w:r>
            <w:r w:rsidR="004A1B45" w:rsidRPr="005126CF">
              <w:rPr>
                <w:rFonts w:ascii="Times New Roman" w:hAnsi="Times New Roman"/>
                <w:bCs/>
                <w:i/>
                <w:sz w:val="24"/>
                <w:szCs w:val="24"/>
              </w:rPr>
              <w:t>o</w:t>
            </w:r>
            <w:r w:rsidRPr="005126CF">
              <w:rPr>
                <w:rFonts w:ascii="Times New Roman" w:hAnsi="Times New Roman"/>
                <w:bCs/>
                <w:sz w:val="24"/>
                <w:szCs w:val="24"/>
              </w:rPr>
              <w:t xml:space="preserve">. Siekiant sudaryti palankesnes sąlygas visuomenei įsitraukti į teisėkūros procesą, siūloma suinteresuotiems asmenims (plačiąja prasme) sudaryti sąlygas pastabas pateikti per </w:t>
            </w:r>
            <w:r w:rsidRPr="005126CF">
              <w:rPr>
                <w:rFonts w:ascii="Times New Roman" w:hAnsi="Times New Roman"/>
                <w:bCs/>
                <w:sz w:val="24"/>
                <w:szCs w:val="24"/>
                <w:lang w:val="en-GB"/>
              </w:rPr>
              <w:t>10</w:t>
            </w:r>
            <w:r w:rsidRPr="005126CF">
              <w:rPr>
                <w:rFonts w:ascii="Times New Roman" w:hAnsi="Times New Roman"/>
                <w:bCs/>
                <w:sz w:val="24"/>
                <w:szCs w:val="24"/>
              </w:rPr>
              <w:t xml:space="preserve"> darbo dienų. </w:t>
            </w:r>
            <w:r w:rsidR="004A1B45" w:rsidRPr="005126CF">
              <w:rPr>
                <w:rFonts w:ascii="Times New Roman" w:hAnsi="Times New Roman"/>
                <w:bCs/>
                <w:sz w:val="24"/>
                <w:szCs w:val="24"/>
              </w:rPr>
              <w:lastRenderedPageBreak/>
              <w:t>M</w:t>
            </w:r>
            <w:r w:rsidRPr="005126CF">
              <w:rPr>
                <w:rFonts w:ascii="Times New Roman" w:hAnsi="Times New Roman"/>
                <w:bCs/>
                <w:sz w:val="24"/>
                <w:szCs w:val="24"/>
              </w:rPr>
              <w:t>ūsų nuomone, tai nesutrukdys ir nesustabdys teisėkūros proceso, jei projektus rengiančios institucijos atsakingai taikys kitas teisėkūros proceso koordinavimo priemones, apie kurias kalbama kitose Reglamento nuostatose. Per tą dienų skirtumą (</w:t>
            </w:r>
            <w:r w:rsidRPr="005126CF">
              <w:rPr>
                <w:rFonts w:ascii="Times New Roman" w:hAnsi="Times New Roman"/>
                <w:bCs/>
                <w:sz w:val="24"/>
                <w:szCs w:val="24"/>
                <w:lang w:val="en-GB"/>
              </w:rPr>
              <w:t>3</w:t>
            </w:r>
            <w:r w:rsidRPr="005126CF">
              <w:rPr>
                <w:rFonts w:ascii="Times New Roman" w:hAnsi="Times New Roman"/>
                <w:bCs/>
                <w:sz w:val="24"/>
                <w:szCs w:val="24"/>
              </w:rPr>
              <w:t xml:space="preserve"> darbo dienos) projektų rengėjas turėtų tikslinti teisės akto projektą pagal išvadas teikiančių subjektų pateiktas pastabas ir pasiūlymus, vykdyti papildomą projekto derinimą institucijos viduje.</w:t>
            </w:r>
          </w:p>
          <w:p w14:paraId="2D4E6963" w14:textId="4CCF9CC6" w:rsidR="006256D9" w:rsidRPr="005126CF" w:rsidRDefault="006256D9" w:rsidP="00FC2D5B">
            <w:pPr>
              <w:pStyle w:val="Paprastasistekstas"/>
              <w:jc w:val="both"/>
              <w:rPr>
                <w:rFonts w:ascii="Times New Roman" w:hAnsi="Times New Roman"/>
                <w:bCs/>
                <w:sz w:val="24"/>
                <w:szCs w:val="24"/>
              </w:rPr>
            </w:pPr>
            <w:r w:rsidRPr="005126CF">
              <w:rPr>
                <w:rFonts w:ascii="Times New Roman" w:hAnsi="Times New Roman"/>
                <w:bCs/>
                <w:sz w:val="24"/>
                <w:szCs w:val="24"/>
              </w:rPr>
              <w:t>Svarbu pažymėti ir tai, kad Lietuvo</w:t>
            </w:r>
            <w:r w:rsidR="004A1B45" w:rsidRPr="005126CF">
              <w:rPr>
                <w:rFonts w:ascii="Times New Roman" w:hAnsi="Times New Roman"/>
                <w:bCs/>
                <w:sz w:val="24"/>
                <w:szCs w:val="24"/>
              </w:rPr>
              <w:t>s</w:t>
            </w:r>
            <w:r w:rsidRPr="005126CF">
              <w:rPr>
                <w:rFonts w:ascii="Times New Roman" w:hAnsi="Times New Roman"/>
                <w:bCs/>
                <w:sz w:val="24"/>
                <w:szCs w:val="24"/>
              </w:rPr>
              <w:t xml:space="preserve"> </w:t>
            </w:r>
            <w:r w:rsidR="00372FE4" w:rsidRPr="005126CF">
              <w:rPr>
                <w:rFonts w:ascii="Times New Roman" w:hAnsi="Times New Roman"/>
                <w:bCs/>
                <w:sz w:val="24"/>
                <w:szCs w:val="24"/>
              </w:rPr>
              <w:t xml:space="preserve">praktikoje egzistuojantis </w:t>
            </w:r>
            <w:r w:rsidRPr="005126CF">
              <w:rPr>
                <w:rFonts w:ascii="Times New Roman" w:hAnsi="Times New Roman"/>
                <w:bCs/>
                <w:sz w:val="24"/>
                <w:szCs w:val="24"/>
              </w:rPr>
              <w:t xml:space="preserve">7 darbo dienų terminas suinteresuotiems asmenims (ne </w:t>
            </w:r>
            <w:r w:rsidR="00372FE4" w:rsidRPr="005126CF">
              <w:rPr>
                <w:rFonts w:ascii="Times New Roman" w:hAnsi="Times New Roman"/>
                <w:bCs/>
                <w:sz w:val="24"/>
                <w:szCs w:val="24"/>
              </w:rPr>
              <w:t xml:space="preserve">išvadas teikiantiems subjektams) pateikti pasiūlymus dėl numatomo reguliavimo yra trumpiausias </w:t>
            </w:r>
            <w:r w:rsidR="004A1B45" w:rsidRPr="005126CF">
              <w:rPr>
                <w:rFonts w:ascii="Times New Roman" w:hAnsi="Times New Roman"/>
                <w:bCs/>
                <w:sz w:val="24"/>
                <w:szCs w:val="24"/>
              </w:rPr>
              <w:t>nei kitų</w:t>
            </w:r>
            <w:r w:rsidR="00372FE4" w:rsidRPr="005126CF">
              <w:rPr>
                <w:rFonts w:ascii="Times New Roman" w:hAnsi="Times New Roman"/>
                <w:bCs/>
                <w:sz w:val="24"/>
                <w:szCs w:val="24"/>
              </w:rPr>
              <w:t xml:space="preserve"> Europos Sąjungos </w:t>
            </w:r>
            <w:r w:rsidR="004A1B45" w:rsidRPr="005126CF">
              <w:rPr>
                <w:rFonts w:ascii="Times New Roman" w:hAnsi="Times New Roman"/>
                <w:bCs/>
                <w:sz w:val="24"/>
                <w:szCs w:val="24"/>
              </w:rPr>
              <w:t>valstybių narių</w:t>
            </w:r>
            <w:r w:rsidR="00372FE4" w:rsidRPr="005126CF">
              <w:rPr>
                <w:rFonts w:ascii="Times New Roman" w:hAnsi="Times New Roman"/>
                <w:bCs/>
                <w:sz w:val="24"/>
                <w:szCs w:val="24"/>
              </w:rPr>
              <w:t>, todėl palyginti su kitomis šalimis, Lietuva atsilieka nuo kitų šalių sudarant sąlygas visuomenei įsitraukti, dalyvauti sprendimų priėmimo procese.</w:t>
            </w:r>
          </w:p>
        </w:tc>
      </w:tr>
      <w:tr w:rsidR="00C5074A" w:rsidRPr="005126CF" w14:paraId="24A89208" w14:textId="77777777" w:rsidTr="00D40A59">
        <w:trPr>
          <w:trHeight w:val="423"/>
        </w:trPr>
        <w:tc>
          <w:tcPr>
            <w:tcW w:w="1702" w:type="dxa"/>
            <w:vMerge/>
            <w:shd w:val="clear" w:color="auto" w:fill="auto"/>
          </w:tcPr>
          <w:p w14:paraId="59A65E68" w14:textId="77777777" w:rsidR="00C5074A" w:rsidRPr="005126CF" w:rsidRDefault="00C5074A" w:rsidP="00FC2D5B">
            <w:pPr>
              <w:jc w:val="both"/>
            </w:pPr>
          </w:p>
        </w:tc>
        <w:tc>
          <w:tcPr>
            <w:tcW w:w="8080" w:type="dxa"/>
            <w:shd w:val="clear" w:color="auto" w:fill="auto"/>
          </w:tcPr>
          <w:p w14:paraId="5E80B40A" w14:textId="77777777" w:rsidR="00C5074A" w:rsidRPr="005126CF" w:rsidRDefault="00C5074A" w:rsidP="00FC2D5B">
            <w:pPr>
              <w:pStyle w:val="Preformatted"/>
              <w:tabs>
                <w:tab w:val="clear" w:pos="0"/>
                <w:tab w:val="clear" w:pos="959"/>
                <w:tab w:val="clear" w:pos="1918"/>
                <w:tab w:val="clear" w:pos="2877"/>
                <w:tab w:val="clear" w:pos="3836"/>
                <w:tab w:val="clear" w:pos="4795"/>
                <w:tab w:val="clear" w:pos="9590"/>
                <w:tab w:val="left" w:pos="1134"/>
              </w:tabs>
              <w:snapToGrid w:val="0"/>
              <w:ind w:left="28"/>
              <w:jc w:val="both"/>
              <w:rPr>
                <w:rFonts w:ascii="Times New Roman" w:hAnsi="Times New Roman"/>
                <w:sz w:val="24"/>
                <w:szCs w:val="24"/>
              </w:rPr>
            </w:pPr>
            <w:r w:rsidRPr="005126CF">
              <w:rPr>
                <w:rFonts w:ascii="Times New Roman" w:hAnsi="Times New Roman"/>
                <w:bCs/>
                <w:sz w:val="24"/>
                <w:szCs w:val="24"/>
              </w:rPr>
              <w:t>8. Atkreipiame dėmesį, kad Projekto 40 punkte keičiamo Reglamento 72 punkte nėra sureguliuoti praktikoje gana dažnai pasitaikantys atvejai, kai Vyriausybės posėdžio darbotvarkė keičiama ministrui prieš pradedant svarstyti darbotvarkės klausimus kreipiantis į Ministrą Pirmininką su pasiūlymu išimti iš darbotvarkės į ją įtrauktą klausimą. Nėra aišku, ar tokiu atveju Ministras Pirmininkas turi pritarti ministro pasiūlymui ir ar tokiu atveju dėl to taip pat turi būti balsuojama. Kadangi Vyriausybė yra viešosios teisės subjektas, o viešosios teisės subjektams galioja principas, kad jie gali veikti tik nustatyto teisinio reguliavimo apimtyje, siūlytume nurodytą situaciją sureglamentuoti analogiškai, kaip dabar numatyta Reglamento 72 punkte papildomų klausimų įtraukimo atveju.</w:t>
            </w:r>
          </w:p>
        </w:tc>
        <w:tc>
          <w:tcPr>
            <w:tcW w:w="5386" w:type="dxa"/>
            <w:shd w:val="clear" w:color="auto" w:fill="auto"/>
          </w:tcPr>
          <w:p w14:paraId="165ADFE5" w14:textId="77777777" w:rsidR="00C5074A" w:rsidRPr="005126CF" w:rsidRDefault="00A436DC"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178D5953" w14:textId="6B9438AA" w:rsidR="00A436DC" w:rsidRPr="005126CF" w:rsidRDefault="00A436DC" w:rsidP="00FC2D5B">
            <w:pPr>
              <w:pStyle w:val="Paprastasistekstas"/>
              <w:jc w:val="both"/>
              <w:rPr>
                <w:rFonts w:ascii="Times New Roman" w:hAnsi="Times New Roman"/>
                <w:bCs/>
                <w:sz w:val="24"/>
                <w:szCs w:val="24"/>
              </w:rPr>
            </w:pPr>
            <w:r w:rsidRPr="005126CF">
              <w:rPr>
                <w:rFonts w:ascii="Times New Roman" w:hAnsi="Times New Roman"/>
                <w:bCs/>
                <w:sz w:val="24"/>
                <w:szCs w:val="24"/>
              </w:rPr>
              <w:t>Praktikoje dėl šio klausimo problemų nekyla, o ir visų situacijų neįmanoma aprašyti, nes Reglamentas taptų skrajute.</w:t>
            </w:r>
          </w:p>
        </w:tc>
      </w:tr>
      <w:tr w:rsidR="00C5074A" w:rsidRPr="005126CF" w14:paraId="3DD6CACD" w14:textId="77777777" w:rsidTr="00D40A59">
        <w:trPr>
          <w:trHeight w:val="423"/>
        </w:trPr>
        <w:tc>
          <w:tcPr>
            <w:tcW w:w="1702" w:type="dxa"/>
            <w:vMerge/>
            <w:shd w:val="clear" w:color="auto" w:fill="auto"/>
          </w:tcPr>
          <w:p w14:paraId="1739D074" w14:textId="77777777" w:rsidR="00C5074A" w:rsidRPr="005126CF" w:rsidRDefault="00C5074A" w:rsidP="00FC2D5B">
            <w:pPr>
              <w:jc w:val="both"/>
            </w:pPr>
          </w:p>
        </w:tc>
        <w:tc>
          <w:tcPr>
            <w:tcW w:w="8080" w:type="dxa"/>
            <w:shd w:val="clear" w:color="auto" w:fill="auto"/>
          </w:tcPr>
          <w:p w14:paraId="1FFEBBF3" w14:textId="77777777" w:rsidR="00C5074A" w:rsidRPr="005126CF" w:rsidRDefault="00C5074A" w:rsidP="00FC2D5B">
            <w:pPr>
              <w:pStyle w:val="Preformatted"/>
              <w:tabs>
                <w:tab w:val="left" w:pos="1134"/>
              </w:tabs>
              <w:snapToGrid w:val="0"/>
              <w:ind w:left="31"/>
              <w:jc w:val="both"/>
              <w:rPr>
                <w:rFonts w:ascii="Times New Roman" w:hAnsi="Times New Roman"/>
                <w:sz w:val="24"/>
                <w:szCs w:val="24"/>
              </w:rPr>
            </w:pPr>
            <w:r w:rsidRPr="005126CF">
              <w:rPr>
                <w:rFonts w:ascii="Times New Roman" w:hAnsi="Times New Roman"/>
                <w:sz w:val="24"/>
                <w:szCs w:val="24"/>
              </w:rPr>
              <w:t xml:space="preserve">11. Taip pat teikiame šį pasiūlymą, tiesiogiai nesusijusį su Projektu siūlomais pakeitimais. Mūsų nuomone, turi būti iš esmės sprendžiamas klausimas dėl teisės aktų projektų vertinimo Vyriausybės kanceliarijoje modelio ir Vyriausybės kanceliarijos vaidmens teisėkūroje. Esamas modelis yra orientuotas į procesą (pastabų pateikimą ir projekto grąžinimą), o ne į rezultatą (projekto suderinimą ir sklandžios, savalaikės eigos užtikrinimą). Pažymėtina, kad nors keičiamo reglamento 45.1 papunktyje yra aiškiai ir baigtiniu sąrašu apibrėžta Vyriausybės </w:t>
            </w:r>
            <w:r w:rsidRPr="005126CF">
              <w:rPr>
                <w:rFonts w:ascii="Times New Roman" w:hAnsi="Times New Roman"/>
                <w:sz w:val="24"/>
                <w:szCs w:val="24"/>
              </w:rPr>
              <w:lastRenderedPageBreak/>
              <w:t xml:space="preserve">kanceliarijos Teisės grupės kompetencija vertinti projektus (atitiktį įstatymams, Vyriausybės nutarimams ir teisinės technikos reikalavimams), praktikoje Teisės grupė neretai ją viršija. Neretai pastabose keliami klausimai dėl siūlomo reguliavimo tikslingumo, kvestionuojamos rengėjų siūlomos teisinio reguliavimo alternatyvos, keliamos nekonkrečios abejonės dėl pagrįstumo ir pan., t. y. ne tik nepaisoma keičiamo reglamento 45.1 papunkčio nuostatų, bet iš esmės ir įsiterpiama į politikos formavimą, kuris pagal Vyriausybės įstatymo 29 straipsnio 1 dalį pavestas ministrams. Nurodomas teisės akto projekto turinio, t. y. siūlomos valstybės politikos tam tikroje valdymo srityje, kvestionavimas, mūsų nuomone, nesuderinamas su ministrams nustatyta atsakomybe už jiems pavestas valdymo sritis. Šiuo aspektu taip pat kritikuotinos keičiamo reglamento 49 ir 50 punktų nuostatos, pagal kurias jei Vyriausybės kanceliarijos padaliniai pateikia esminių ir (ar) daug redakcinio pobūdžio pastabų, teisės akto projektas grąžinamas rengėjams ir turi būti derinamas bei teikiamas pakartotinai, kaip nekonstruktyvios ir biurokratiškos (neorientuotos į rezultatą). Visų pirma pažymėtina, kad taip sudaromos prielaidos be aiškių kriterijų ištęsti teisėkūros procesą (visiškai neaišku, kas laikytina „esmine“ pastaba, tai vertinamojo pobūdžio nuostata, kurios turinys keičiamame reglamente nėra tinkamai atskleidžiamas – ją atskleidžiant tiesiog nurodomi kiti vertinamieji kriterijai). Antra, redakcinio pobūdžio pastabos vien dėl jų skaičiaus nesudaro objektyvaus poreikio grąžinti projektą. Siekiant teisėkūros efektyvumo ir operatyvumo, taip pat nutarimo projektu siekiamų tikslų dėl savalaikio projektų parengimo, laikantis nustatytų reikalavimų Vyriausybei pateiktas ir Vyriausybės kanceliarijoje įvertintas teisės akto projektas nebeturėtų būti grąžinamas rengėjams. Vyriausybės kanceliarijos padaliniai, turintys pastabų, galėtų organizuoti teisės akto projekto suderinimą Vyriausybės kanceliarijoje taikant keičiamo reglamento 50 punkte nurodytus būdus, taip pat esant reikalui pasitelkiant ir kitas suinteresuotas institucijas, jei esama nesutarimų ir su jomis. Tai būtų kur kas greičiau, nei teisės akto projektą grąžinti ir jį pakartotinai teikti Vyriausybei. </w:t>
            </w:r>
          </w:p>
          <w:p w14:paraId="0A7D0989" w14:textId="7BD71C9E" w:rsidR="00C5074A" w:rsidRPr="005126CF" w:rsidRDefault="00C5074A" w:rsidP="00FC2D5B">
            <w:pPr>
              <w:pStyle w:val="Preformatted"/>
              <w:tabs>
                <w:tab w:val="left" w:pos="1134"/>
              </w:tabs>
              <w:snapToGrid w:val="0"/>
              <w:ind w:left="31"/>
              <w:jc w:val="both"/>
              <w:rPr>
                <w:rFonts w:ascii="Times New Roman" w:hAnsi="Times New Roman"/>
                <w:sz w:val="24"/>
                <w:szCs w:val="24"/>
              </w:rPr>
            </w:pPr>
            <w:r w:rsidRPr="005126CF">
              <w:rPr>
                <w:rFonts w:ascii="Times New Roman" w:hAnsi="Times New Roman"/>
                <w:sz w:val="24"/>
                <w:szCs w:val="24"/>
              </w:rPr>
              <w:tab/>
              <w:t xml:space="preserve">Atsižvelgę į pirmiau išdėstytus pasiūlymus, manome, kad turi būti keičiamas požiūris į Vyriausybės kanceliarijos vaidmenį teisėkūroje, pabrėžiant nesutarimų tarp projektą parengusios institucijos ir pastabų ar siūlymų projektui pateikusių subjektų sprendimą ir derinimą. Mūsų nuomone, Vyriausybės kanceliarija turėtų imtis lyderystės ir aktyvaus vaidmens sprendžiant nesutarimus ir tapti nesutarimų sprendimo platforma, užuot tik pateikusi pastabas ir grąžinusi </w:t>
            </w:r>
            <w:r w:rsidRPr="005126CF">
              <w:rPr>
                <w:rFonts w:ascii="Times New Roman" w:hAnsi="Times New Roman"/>
                <w:sz w:val="24"/>
                <w:szCs w:val="24"/>
              </w:rPr>
              <w:lastRenderedPageBreak/>
              <w:t>projektus. Klausimų nurodomais aspektais sprendimas prisidėtų prie lydraštyje nurodomų įsisenėjusių problemų sprendimo ir nutarimo projektu siekiamų tikslų</w:t>
            </w:r>
            <w:r w:rsidR="00370664" w:rsidRPr="005126CF">
              <w:rPr>
                <w:rFonts w:ascii="Times New Roman" w:hAnsi="Times New Roman"/>
                <w:sz w:val="24"/>
                <w:szCs w:val="24"/>
              </w:rPr>
              <w:t> </w:t>
            </w:r>
            <w:r w:rsidRPr="005126CF">
              <w:rPr>
                <w:rFonts w:ascii="Times New Roman" w:hAnsi="Times New Roman"/>
                <w:sz w:val="24"/>
                <w:szCs w:val="24"/>
              </w:rPr>
              <w:t>– savalaikio projektų parengimo ir jų priėmimo Vyriausybėje.</w:t>
            </w:r>
          </w:p>
        </w:tc>
        <w:tc>
          <w:tcPr>
            <w:tcW w:w="5386" w:type="dxa"/>
            <w:shd w:val="clear" w:color="auto" w:fill="auto"/>
          </w:tcPr>
          <w:p w14:paraId="79E37F58" w14:textId="77777777" w:rsidR="00C5074A" w:rsidRPr="005126CF" w:rsidRDefault="00C5074A" w:rsidP="00FC2D5B">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 xml:space="preserve">Neatsižvelgta. </w:t>
            </w:r>
          </w:p>
          <w:p w14:paraId="4089C05C" w14:textId="001D0352" w:rsidR="00C5074A" w:rsidRPr="005126CF" w:rsidRDefault="00C5074A" w:rsidP="00FC2D5B">
            <w:pPr>
              <w:pStyle w:val="Paprastasistekstas"/>
              <w:jc w:val="both"/>
              <w:rPr>
                <w:rFonts w:ascii="Times New Roman" w:hAnsi="Times New Roman"/>
                <w:sz w:val="24"/>
                <w:szCs w:val="24"/>
              </w:rPr>
            </w:pPr>
            <w:r w:rsidRPr="005126CF">
              <w:rPr>
                <w:rFonts w:ascii="Times New Roman" w:hAnsi="Times New Roman"/>
                <w:sz w:val="24"/>
                <w:szCs w:val="24"/>
              </w:rPr>
              <w:t>Vyriausybės kanceliarijos padaliniai, vertindami teisės akto projektus ir teikdami išvadas (pažymas), įgyvendina Vyriausybės įstatymo 44</w:t>
            </w:r>
            <w:r w:rsidRPr="005126CF">
              <w:rPr>
                <w:rFonts w:ascii="Times New Roman" w:hAnsi="Times New Roman"/>
                <w:sz w:val="24"/>
                <w:szCs w:val="24"/>
                <w:vertAlign w:val="superscript"/>
              </w:rPr>
              <w:t>1</w:t>
            </w:r>
            <w:r w:rsidRPr="005126CF">
              <w:rPr>
                <w:rFonts w:ascii="Times New Roman" w:hAnsi="Times New Roman"/>
                <w:sz w:val="24"/>
                <w:szCs w:val="24"/>
              </w:rPr>
              <w:t> str</w:t>
            </w:r>
            <w:r w:rsidR="00096F2E" w:rsidRPr="005126CF">
              <w:rPr>
                <w:rFonts w:ascii="Times New Roman" w:hAnsi="Times New Roman"/>
                <w:sz w:val="24"/>
                <w:szCs w:val="24"/>
              </w:rPr>
              <w:t>.</w:t>
            </w:r>
            <w:r w:rsidRPr="005126CF">
              <w:rPr>
                <w:rFonts w:ascii="Times New Roman" w:hAnsi="Times New Roman"/>
                <w:sz w:val="24"/>
                <w:szCs w:val="24"/>
              </w:rPr>
              <w:t xml:space="preserve"> 1 d</w:t>
            </w:r>
            <w:r w:rsidR="00096F2E" w:rsidRPr="005126CF">
              <w:rPr>
                <w:rFonts w:ascii="Times New Roman" w:hAnsi="Times New Roman"/>
                <w:sz w:val="24"/>
                <w:szCs w:val="24"/>
              </w:rPr>
              <w:t>.</w:t>
            </w:r>
            <w:r w:rsidRPr="005126CF">
              <w:rPr>
                <w:rFonts w:ascii="Times New Roman" w:hAnsi="Times New Roman"/>
                <w:sz w:val="24"/>
                <w:szCs w:val="24"/>
              </w:rPr>
              <w:t xml:space="preserve"> nustatytą veiklos tikslą – padėti vykdyti Vyriausybės ir Ministro Pirmininko funkcijas. Pagal Lietuvos Respublikos Vyriausybės kanceliarijos nuostatų, </w:t>
            </w:r>
            <w:r w:rsidRPr="005126CF">
              <w:rPr>
                <w:rFonts w:ascii="Times New Roman" w:hAnsi="Times New Roman"/>
                <w:sz w:val="24"/>
                <w:szCs w:val="24"/>
              </w:rPr>
              <w:lastRenderedPageBreak/>
              <w:t>patvirtintų Vyriausybės nutarimu 2013 m. kovo 27 d. nutarimu Nr. 254</w:t>
            </w:r>
            <w:r w:rsidR="00C3393A" w:rsidRPr="005126CF">
              <w:rPr>
                <w:rFonts w:ascii="Times New Roman" w:hAnsi="Times New Roman"/>
                <w:sz w:val="24"/>
                <w:szCs w:val="24"/>
              </w:rPr>
              <w:t xml:space="preserve">, </w:t>
            </w:r>
            <w:r w:rsidRPr="005126CF">
              <w:rPr>
                <w:rFonts w:ascii="Times New Roman" w:hAnsi="Times New Roman"/>
                <w:sz w:val="24"/>
                <w:szCs w:val="24"/>
              </w:rPr>
              <w:t>9.1 p</w:t>
            </w:r>
            <w:r w:rsidR="00096F2E" w:rsidRPr="005126CF">
              <w:rPr>
                <w:rFonts w:ascii="Times New Roman" w:hAnsi="Times New Roman"/>
                <w:sz w:val="24"/>
                <w:szCs w:val="24"/>
              </w:rPr>
              <w:t xml:space="preserve">. </w:t>
            </w:r>
            <w:r w:rsidRPr="005126CF">
              <w:rPr>
                <w:rFonts w:ascii="Times New Roman" w:hAnsi="Times New Roman"/>
                <w:sz w:val="24"/>
                <w:szCs w:val="24"/>
              </w:rPr>
              <w:t xml:space="preserve">Vyriausybės kanceliarija, siekdama minėto veiklos tikslo </w:t>
            </w:r>
            <w:r w:rsidRPr="005126CF">
              <w:rPr>
                <w:rFonts w:ascii="Times New Roman" w:hAnsi="Times New Roman"/>
                <w:i/>
                <w:sz w:val="24"/>
                <w:szCs w:val="24"/>
              </w:rPr>
              <w:t xml:space="preserve">vertina </w:t>
            </w:r>
            <w:r w:rsidRPr="005126CF">
              <w:rPr>
                <w:rFonts w:ascii="Times New Roman" w:hAnsi="Times New Roman"/>
                <w:sz w:val="24"/>
                <w:szCs w:val="24"/>
              </w:rPr>
              <w:t>Vyriausybei ir Ministrui Pirmininkui pateiktus teisės aktų projektus. Taigi, Vyriausybės kanceliarijai tokios funkcijos nustatytos jos veiklą reguliuojančiuose teisės aktuose, o siūlomi Reglamento pakeitimai tik užtikrina tinkamą šių funkcijų įgyvendinimą.</w:t>
            </w:r>
            <w:r w:rsidR="00AC2C08" w:rsidRPr="005126CF">
              <w:rPr>
                <w:rFonts w:ascii="Times New Roman" w:hAnsi="Times New Roman"/>
                <w:sz w:val="24"/>
                <w:szCs w:val="24"/>
              </w:rPr>
              <w:t xml:space="preserve"> </w:t>
            </w:r>
          </w:p>
          <w:p w14:paraId="2799441D" w14:textId="3948C548" w:rsidR="00AC2C08" w:rsidRPr="005126CF" w:rsidRDefault="004B642E" w:rsidP="00FC2D5B">
            <w:pPr>
              <w:pStyle w:val="Paprastasistekstas"/>
              <w:jc w:val="both"/>
              <w:rPr>
                <w:rFonts w:ascii="Times New Roman" w:hAnsi="Times New Roman"/>
                <w:sz w:val="24"/>
                <w:szCs w:val="24"/>
              </w:rPr>
            </w:pPr>
            <w:r w:rsidRPr="005126CF">
              <w:rPr>
                <w:rFonts w:ascii="Times New Roman" w:eastAsia="Times New Roman" w:hAnsi="Times New Roman"/>
                <w:sz w:val="24"/>
                <w:szCs w:val="24"/>
                <w:lang w:eastAsia="lt-LT"/>
              </w:rPr>
              <w:t>Pastaboje pateikti prieštaringi</w:t>
            </w:r>
            <w:r w:rsidR="007F45D5" w:rsidRPr="005126CF">
              <w:rPr>
                <w:rFonts w:ascii="Times New Roman" w:eastAsia="Times New Roman" w:hAnsi="Times New Roman"/>
                <w:sz w:val="24"/>
                <w:szCs w:val="24"/>
                <w:lang w:eastAsia="lt-LT"/>
              </w:rPr>
              <w:t xml:space="preserve"> ir nelogiški</w:t>
            </w:r>
            <w:r w:rsidRPr="005126CF">
              <w:rPr>
                <w:rFonts w:ascii="Times New Roman" w:eastAsia="Times New Roman" w:hAnsi="Times New Roman"/>
                <w:sz w:val="24"/>
                <w:szCs w:val="24"/>
                <w:lang w:eastAsia="lt-LT"/>
              </w:rPr>
              <w:t xml:space="preserve"> siūlymai, nes sakoma, kad Vyriausybės kanceliarijos Teisės grupė, teikdama išvadas, įsiterpia į politikos formavimą, </w:t>
            </w:r>
            <w:r w:rsidRPr="005126CF">
              <w:rPr>
                <w:rFonts w:ascii="Times New Roman" w:hAnsi="Times New Roman"/>
                <w:sz w:val="24"/>
                <w:szCs w:val="24"/>
              </w:rPr>
              <w:t>kuris pagal Vyriausybės įstatymo 29</w:t>
            </w:r>
            <w:r w:rsidR="003B1310" w:rsidRPr="005126CF">
              <w:rPr>
                <w:rFonts w:ascii="Times New Roman" w:hAnsi="Times New Roman"/>
                <w:sz w:val="24"/>
                <w:szCs w:val="24"/>
              </w:rPr>
              <w:t> </w:t>
            </w:r>
            <w:r w:rsidRPr="005126CF">
              <w:rPr>
                <w:rFonts w:ascii="Times New Roman" w:hAnsi="Times New Roman"/>
                <w:sz w:val="24"/>
                <w:szCs w:val="24"/>
              </w:rPr>
              <w:t xml:space="preserve">straipsnio 1 dalį pavestas ministrams, tačiau kartu siūloma </w:t>
            </w:r>
            <w:r w:rsidR="003B1310" w:rsidRPr="005126CF">
              <w:rPr>
                <w:rFonts w:ascii="Times New Roman" w:hAnsi="Times New Roman"/>
                <w:sz w:val="24"/>
                <w:szCs w:val="24"/>
              </w:rPr>
              <w:t xml:space="preserve">teisės akto projekto negrąžinti rengėjams, o pačiai </w:t>
            </w:r>
            <w:r w:rsidRPr="005126CF">
              <w:rPr>
                <w:rFonts w:ascii="Times New Roman" w:hAnsi="Times New Roman"/>
                <w:sz w:val="24"/>
                <w:szCs w:val="24"/>
              </w:rPr>
              <w:t>Vyriausybės kanceliarijai</w:t>
            </w:r>
            <w:r w:rsidR="007F45D5" w:rsidRPr="005126CF">
              <w:rPr>
                <w:rFonts w:ascii="Times New Roman" w:hAnsi="Times New Roman"/>
                <w:sz w:val="24"/>
                <w:szCs w:val="24"/>
              </w:rPr>
              <w:t>, o tai turėtų daryti Teisės grupė,</w:t>
            </w:r>
            <w:r w:rsidRPr="005126CF">
              <w:rPr>
                <w:rFonts w:ascii="Times New Roman" w:hAnsi="Times New Roman"/>
                <w:sz w:val="24"/>
                <w:szCs w:val="24"/>
              </w:rPr>
              <w:t xml:space="preserve"> </w:t>
            </w:r>
            <w:r w:rsidR="003B1310" w:rsidRPr="005126CF">
              <w:rPr>
                <w:rFonts w:ascii="Times New Roman" w:hAnsi="Times New Roman"/>
                <w:sz w:val="24"/>
                <w:szCs w:val="24"/>
              </w:rPr>
              <w:t xml:space="preserve">jį </w:t>
            </w:r>
            <w:r w:rsidRPr="005126CF">
              <w:rPr>
                <w:rFonts w:ascii="Times New Roman" w:hAnsi="Times New Roman"/>
                <w:sz w:val="24"/>
                <w:szCs w:val="24"/>
              </w:rPr>
              <w:t>tikslinti pagal savo pateiktas pastabas ir pasiūlymus</w:t>
            </w:r>
            <w:r w:rsidR="003B1310" w:rsidRPr="005126CF">
              <w:rPr>
                <w:rFonts w:ascii="Times New Roman" w:hAnsi="Times New Roman"/>
                <w:sz w:val="24"/>
                <w:szCs w:val="24"/>
              </w:rPr>
              <w:t>.</w:t>
            </w:r>
            <w:r w:rsidRPr="005126CF">
              <w:rPr>
                <w:rFonts w:ascii="Times New Roman" w:hAnsi="Times New Roman"/>
                <w:sz w:val="24"/>
                <w:szCs w:val="24"/>
              </w:rPr>
              <w:t xml:space="preserve"> </w:t>
            </w:r>
            <w:r w:rsidR="003B1310" w:rsidRPr="005126CF">
              <w:rPr>
                <w:rFonts w:ascii="Times New Roman" w:hAnsi="Times New Roman"/>
                <w:sz w:val="24"/>
                <w:szCs w:val="24"/>
              </w:rPr>
              <w:t>Pažymėtina, kad Vyriausybės kanceliarija pagal savo kompetenciją atsakinga ir suinteresuota teisėkūros rezultatu, tačiau pagal Reglamento nuostatas</w:t>
            </w:r>
            <w:r w:rsidR="003B1310" w:rsidRPr="005126CF">
              <w:rPr>
                <w:rFonts w:ascii="Times New Roman" w:eastAsia="Times New Roman" w:hAnsi="Times New Roman"/>
                <w:sz w:val="24"/>
                <w:szCs w:val="24"/>
                <w:lang w:eastAsia="lt-LT"/>
              </w:rPr>
              <w:t xml:space="preserve"> teisės akto projekto rengėjas turi užtikrinti teikiamo Vyriausybei teisės akto projekto tinkamą parengimą, numatomo teisinio reguliavimo poveikio vertinimą ir kita. Reglamente </w:t>
            </w:r>
            <w:r w:rsidR="005D063E" w:rsidRPr="005126CF">
              <w:rPr>
                <w:rFonts w:ascii="Times New Roman" w:eastAsia="Times New Roman" w:hAnsi="Times New Roman"/>
                <w:sz w:val="24"/>
                <w:szCs w:val="24"/>
                <w:lang w:eastAsia="lt-LT"/>
              </w:rPr>
              <w:t xml:space="preserve">nustatytas </w:t>
            </w:r>
            <w:r w:rsidR="003B1310" w:rsidRPr="005126CF">
              <w:rPr>
                <w:rFonts w:ascii="Times New Roman" w:eastAsia="Times New Roman" w:hAnsi="Times New Roman"/>
                <w:sz w:val="24"/>
                <w:szCs w:val="24"/>
                <w:lang w:eastAsia="lt-LT"/>
              </w:rPr>
              <w:t>teisinis reguliavimas yra pakankamas</w:t>
            </w:r>
            <w:r w:rsidR="005D063E" w:rsidRPr="005126CF">
              <w:rPr>
                <w:rFonts w:ascii="Times New Roman" w:eastAsia="Times New Roman" w:hAnsi="Times New Roman"/>
                <w:sz w:val="24"/>
                <w:szCs w:val="24"/>
                <w:lang w:eastAsia="lt-LT"/>
              </w:rPr>
              <w:t xml:space="preserve"> dėl</w:t>
            </w:r>
            <w:r w:rsidR="003B1310" w:rsidRPr="005126CF">
              <w:rPr>
                <w:rFonts w:ascii="Times New Roman" w:eastAsia="Times New Roman" w:hAnsi="Times New Roman"/>
                <w:sz w:val="24"/>
                <w:szCs w:val="24"/>
                <w:lang w:eastAsia="lt-LT"/>
              </w:rPr>
              <w:t xml:space="preserve">  Vyriausybės kanceliarijos ir teisės aktų projektų rengėjų bendradarbiavim</w:t>
            </w:r>
            <w:r w:rsidR="005D063E" w:rsidRPr="005126CF">
              <w:rPr>
                <w:rFonts w:ascii="Times New Roman" w:eastAsia="Times New Roman" w:hAnsi="Times New Roman"/>
                <w:sz w:val="24"/>
                <w:szCs w:val="24"/>
                <w:lang w:eastAsia="lt-LT"/>
              </w:rPr>
              <w:t>o</w:t>
            </w:r>
            <w:r w:rsidR="003B1310" w:rsidRPr="005126CF">
              <w:rPr>
                <w:rFonts w:ascii="Times New Roman" w:eastAsia="Times New Roman" w:hAnsi="Times New Roman"/>
                <w:sz w:val="24"/>
                <w:szCs w:val="24"/>
                <w:lang w:eastAsia="lt-LT"/>
              </w:rPr>
              <w:t>,</w:t>
            </w:r>
            <w:r w:rsidR="005D063E" w:rsidRPr="005126CF">
              <w:rPr>
                <w:rFonts w:ascii="Times New Roman" w:eastAsia="Times New Roman" w:hAnsi="Times New Roman"/>
                <w:sz w:val="24"/>
                <w:szCs w:val="24"/>
                <w:lang w:eastAsia="lt-LT"/>
              </w:rPr>
              <w:t xml:space="preserve"> todėl įgyvendinant jo nuostatas būtų</w:t>
            </w:r>
            <w:r w:rsidR="003B1310" w:rsidRPr="005126CF">
              <w:rPr>
                <w:rFonts w:ascii="Times New Roman" w:eastAsia="Times New Roman" w:hAnsi="Times New Roman"/>
                <w:sz w:val="24"/>
                <w:szCs w:val="24"/>
                <w:lang w:eastAsia="lt-LT"/>
              </w:rPr>
              <w:t xml:space="preserve"> užtikrin</w:t>
            </w:r>
            <w:r w:rsidR="005D063E" w:rsidRPr="005126CF">
              <w:rPr>
                <w:rFonts w:ascii="Times New Roman" w:eastAsia="Times New Roman" w:hAnsi="Times New Roman"/>
                <w:sz w:val="24"/>
                <w:szCs w:val="24"/>
                <w:lang w:eastAsia="lt-LT"/>
              </w:rPr>
              <w:t>ta</w:t>
            </w:r>
            <w:r w:rsidR="003B1310" w:rsidRPr="005126CF">
              <w:rPr>
                <w:rFonts w:ascii="Times New Roman" w:eastAsia="Times New Roman" w:hAnsi="Times New Roman"/>
                <w:sz w:val="24"/>
                <w:szCs w:val="24"/>
                <w:lang w:eastAsia="lt-LT"/>
              </w:rPr>
              <w:t xml:space="preserve"> rengiamų teisės aktų projektų kokyb</w:t>
            </w:r>
            <w:r w:rsidR="005D063E" w:rsidRPr="005126CF">
              <w:rPr>
                <w:rFonts w:ascii="Times New Roman" w:eastAsia="Times New Roman" w:hAnsi="Times New Roman"/>
                <w:sz w:val="24"/>
                <w:szCs w:val="24"/>
                <w:lang w:eastAsia="lt-LT"/>
              </w:rPr>
              <w:t>ė</w:t>
            </w:r>
            <w:r w:rsidR="003B1310" w:rsidRPr="005126CF">
              <w:rPr>
                <w:rFonts w:ascii="Times New Roman" w:eastAsia="Times New Roman" w:hAnsi="Times New Roman"/>
                <w:sz w:val="24"/>
                <w:szCs w:val="24"/>
                <w:lang w:eastAsia="lt-LT"/>
              </w:rPr>
              <w:t xml:space="preserve">. Tačiau ne visada teisės aktų projektų rengėjai šia galimybe pasinaudoja ir kreipiasi pagalbos į Vyriausybės kanceliariją, </w:t>
            </w:r>
            <w:r w:rsidR="005D063E" w:rsidRPr="005126CF">
              <w:rPr>
                <w:rFonts w:ascii="Times New Roman" w:eastAsia="Times New Roman" w:hAnsi="Times New Roman"/>
                <w:sz w:val="24"/>
                <w:szCs w:val="24"/>
                <w:lang w:eastAsia="lt-LT"/>
              </w:rPr>
              <w:t xml:space="preserve">kuri teikia konsultacijas tiek telefonu, tiek teisės aktų projektus </w:t>
            </w:r>
            <w:r w:rsidR="007D11E2" w:rsidRPr="005126CF">
              <w:rPr>
                <w:rFonts w:ascii="Times New Roman" w:eastAsia="Times New Roman" w:hAnsi="Times New Roman"/>
                <w:sz w:val="24"/>
                <w:szCs w:val="24"/>
                <w:lang w:eastAsia="lt-LT"/>
              </w:rPr>
              <w:t xml:space="preserve">derina </w:t>
            </w:r>
            <w:r w:rsidR="005D063E" w:rsidRPr="005126CF">
              <w:rPr>
                <w:rFonts w:ascii="Times New Roman" w:eastAsia="Times New Roman" w:hAnsi="Times New Roman"/>
                <w:sz w:val="24"/>
                <w:szCs w:val="24"/>
                <w:lang w:eastAsia="lt-LT"/>
              </w:rPr>
              <w:t>darbo tvarka.</w:t>
            </w:r>
            <w:r w:rsidR="00D95108" w:rsidRPr="005126CF">
              <w:rPr>
                <w:rFonts w:ascii="Times New Roman" w:eastAsia="Times New Roman" w:hAnsi="Times New Roman"/>
                <w:sz w:val="24"/>
                <w:szCs w:val="24"/>
                <w:lang w:eastAsia="lt-LT"/>
              </w:rPr>
              <w:t xml:space="preserve"> Siekiant perduoti teisėkūrą Kanceliarijai, turėtų būti peržiūrėtas ne tik teisinis reguliavimas, bet ir sprendžiamas žmogiškųjų išteklių klausimas. </w:t>
            </w:r>
          </w:p>
        </w:tc>
      </w:tr>
      <w:tr w:rsidR="00C5074A" w:rsidRPr="005126CF" w14:paraId="08444B28" w14:textId="77777777" w:rsidTr="00D40A59">
        <w:trPr>
          <w:trHeight w:val="423"/>
        </w:trPr>
        <w:tc>
          <w:tcPr>
            <w:tcW w:w="1702" w:type="dxa"/>
            <w:vMerge w:val="restart"/>
            <w:tcBorders>
              <w:top w:val="single" w:sz="4" w:space="0" w:color="auto"/>
            </w:tcBorders>
            <w:shd w:val="clear" w:color="auto" w:fill="auto"/>
          </w:tcPr>
          <w:p w14:paraId="742EF223" w14:textId="77777777" w:rsidR="00C5074A" w:rsidRPr="005126CF" w:rsidRDefault="00C5074A" w:rsidP="00FC2D5B">
            <w:pPr>
              <w:jc w:val="both"/>
            </w:pPr>
            <w:r w:rsidRPr="005126CF">
              <w:lastRenderedPageBreak/>
              <w:t>Sveikatos apsaugos ministerijos 2019- 03-26 išvada Nr. (1.1.5-141)10-2096</w:t>
            </w:r>
          </w:p>
        </w:tc>
        <w:tc>
          <w:tcPr>
            <w:tcW w:w="8080" w:type="dxa"/>
            <w:shd w:val="clear" w:color="auto" w:fill="auto"/>
          </w:tcPr>
          <w:p w14:paraId="480C167C" w14:textId="7B11C909" w:rsidR="00C5074A" w:rsidRPr="005126CF" w:rsidRDefault="00C5074A" w:rsidP="00FC2D5B">
            <w:pPr>
              <w:jc w:val="both"/>
            </w:pPr>
            <w:r w:rsidRPr="005126CF">
              <w:t>1. Projekto 13 p., kuriuo siūloma keisti Lietuvos Respublikos Vyriausybės darbo reglamento, patvirtinto Lietuvos Respublikos Vyriausybės 1994 m. rugpjūčio 11</w:t>
            </w:r>
            <w:r w:rsidR="0057440E" w:rsidRPr="005126CF">
              <w:t> </w:t>
            </w:r>
            <w:r w:rsidRPr="005126CF">
              <w:t xml:space="preserve">d. nutarimu Nr. 728 „Dėl Lietuvos Respublikos Vyriausybės darbo reglamento patvirtinimo“, (toliau – reglamentas) 18 p., nurodyta, kad „teisės aktų projektai suinteresuotoms institucijoms paprastai teikiami derinti ne vėliau kaip likus 2 mėnesiams iki planuojamos teisės akto projekto pateikimo Vyriausybei dienos“. Siūlytina minėtą nuostatą papildyti nurodant, kad teikimo derinti terminas pasirenkamas atsižvelgiant į derinamo teisės akto projekto apimtį, juo reguliuojamų santykių sudėtingumą ir kitus svarbius aspektus. </w:t>
            </w:r>
          </w:p>
        </w:tc>
        <w:tc>
          <w:tcPr>
            <w:tcW w:w="5386" w:type="dxa"/>
            <w:shd w:val="clear" w:color="auto" w:fill="auto"/>
          </w:tcPr>
          <w:p w14:paraId="74CBF4DC" w14:textId="77777777" w:rsidR="00E55108" w:rsidRPr="005126CF" w:rsidRDefault="00E55108" w:rsidP="00FC2D5B">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313B1DA7" w14:textId="77777777" w:rsidR="00C60977" w:rsidRPr="005126CF" w:rsidRDefault="00C60977" w:rsidP="00FC2D5B">
            <w:pPr>
              <w:pStyle w:val="Paprastasistekstas"/>
              <w:jc w:val="both"/>
              <w:rPr>
                <w:rFonts w:ascii="Times New Roman" w:hAnsi="Times New Roman"/>
                <w:bCs/>
                <w:sz w:val="24"/>
                <w:szCs w:val="24"/>
              </w:rPr>
            </w:pPr>
            <w:r w:rsidRPr="005126CF">
              <w:rPr>
                <w:rFonts w:ascii="Times New Roman" w:hAnsi="Times New Roman"/>
                <w:bCs/>
                <w:sz w:val="24"/>
                <w:szCs w:val="24"/>
              </w:rPr>
              <w:t>Žiūrėti į pateiktus argumentus prie Socialinės apsaugos ir darbo ministerijos pastabos Nr. 6, Teisingumo ministerijos pastabos Nr. 10.</w:t>
            </w:r>
          </w:p>
          <w:p w14:paraId="12C770EF" w14:textId="0D7DE15B" w:rsidR="00C5074A" w:rsidRPr="005126CF" w:rsidRDefault="00C5074A" w:rsidP="00FC2D5B">
            <w:pPr>
              <w:jc w:val="both"/>
            </w:pPr>
          </w:p>
        </w:tc>
      </w:tr>
      <w:tr w:rsidR="00C5074A" w:rsidRPr="005126CF" w14:paraId="7614A2C0" w14:textId="77777777" w:rsidTr="00D40A59">
        <w:trPr>
          <w:trHeight w:val="423"/>
        </w:trPr>
        <w:tc>
          <w:tcPr>
            <w:tcW w:w="1702" w:type="dxa"/>
            <w:vMerge/>
            <w:tcBorders>
              <w:top w:val="single" w:sz="4" w:space="0" w:color="auto"/>
            </w:tcBorders>
            <w:shd w:val="clear" w:color="auto" w:fill="auto"/>
          </w:tcPr>
          <w:p w14:paraId="3F03F833" w14:textId="77777777" w:rsidR="00C5074A" w:rsidRPr="005126CF" w:rsidRDefault="00C5074A" w:rsidP="00FC2D5B">
            <w:pPr>
              <w:jc w:val="both"/>
            </w:pPr>
          </w:p>
        </w:tc>
        <w:tc>
          <w:tcPr>
            <w:tcW w:w="8080" w:type="dxa"/>
            <w:shd w:val="clear" w:color="auto" w:fill="auto"/>
          </w:tcPr>
          <w:p w14:paraId="16559EFC" w14:textId="77777777" w:rsidR="00C5074A" w:rsidRPr="005126CF" w:rsidRDefault="00C5074A" w:rsidP="00FC2D5B">
            <w:pPr>
              <w:jc w:val="both"/>
              <w:rPr>
                <w:lang w:val="en-US"/>
              </w:rPr>
            </w:pPr>
            <w:r w:rsidRPr="005126CF">
              <w:t xml:space="preserve">          2. Projekto 17 p. pateikiama nuoroda į reglamento 72 p., tačiau jame nėra nurodytas pastabų ir pasiūlymų dėl teisės aktų projektų teikimo terminas. Taip pat neaišku, per kiek laiko turi būti pateikiamos pastabos, kai teisės aktų projektuose atliekami redakciniai ir (ar) teisės technikos pakeitimai. Jei norima pasakyti, kad tokiais bei reglamento 72 p. nurodytais atvejais suinteresuotiems asmenims teisės aktų projektai neturi būti teikiami (neturi būti nustatomas terminas pastaboms pateikti), siūlytina tikslinti formuluotę. </w:t>
            </w:r>
          </w:p>
          <w:p w14:paraId="6DC0F6F2" w14:textId="77777777" w:rsidR="00C5074A" w:rsidRPr="005126CF" w:rsidRDefault="00C5074A" w:rsidP="00FC2D5B">
            <w:pPr>
              <w:jc w:val="both"/>
            </w:pPr>
            <w:r w:rsidRPr="005126CF">
              <w:t xml:space="preserve">          Be to, neaišku, kaip reikėtų įgyvendinti projekto 17 p. nuostatas – t. y. kaip nurodyti TAIS pastabų ir pasiūlymų pateikimo terminą (nes pagal reglamento 27 p. pirmąją ir ketvirtąją pastraipas terminai skirtingiems subjektams bus skirtingi). Ar, pvz., pasibaigus reglamento 27 p. pirmojoje pastraipoje nurodytam pastabų teikimo terminui (pvz., 7 darbo dienoms), reikėtų palaukti dar 3 darbo dienas ir tik tuomet teikti projektą Vyriausybei. </w:t>
            </w:r>
          </w:p>
        </w:tc>
        <w:tc>
          <w:tcPr>
            <w:tcW w:w="5386" w:type="dxa"/>
            <w:shd w:val="clear" w:color="auto" w:fill="auto"/>
          </w:tcPr>
          <w:p w14:paraId="2AF650E4" w14:textId="40A2F501" w:rsidR="00170BC3" w:rsidRPr="005126CF" w:rsidRDefault="00170BC3" w:rsidP="00FC2D5B">
            <w:pPr>
              <w:pStyle w:val="Paprastasistekstas"/>
              <w:jc w:val="both"/>
              <w:rPr>
                <w:rFonts w:ascii="Times New Roman" w:hAnsi="Times New Roman"/>
                <w:bCs/>
                <w:sz w:val="24"/>
                <w:szCs w:val="24"/>
              </w:rPr>
            </w:pPr>
            <w:r w:rsidRPr="005126CF">
              <w:rPr>
                <w:rFonts w:ascii="Times New Roman" w:hAnsi="Times New Roman"/>
                <w:b/>
                <w:bCs/>
                <w:sz w:val="24"/>
                <w:szCs w:val="24"/>
              </w:rPr>
              <w:t>Atsižvelgta</w:t>
            </w:r>
            <w:r w:rsidR="00A436DC" w:rsidRPr="005126CF">
              <w:rPr>
                <w:rFonts w:ascii="Times New Roman" w:hAnsi="Times New Roman"/>
                <w:b/>
                <w:bCs/>
                <w:sz w:val="24"/>
                <w:szCs w:val="24"/>
              </w:rPr>
              <w:t xml:space="preserve"> iš dalies</w:t>
            </w:r>
          </w:p>
          <w:p w14:paraId="396B07F3" w14:textId="468A0648" w:rsidR="00C5074A" w:rsidRPr="005126CF" w:rsidRDefault="00170BC3" w:rsidP="00FC2D5B">
            <w:pPr>
              <w:pStyle w:val="Paprastasistekstas"/>
              <w:jc w:val="both"/>
              <w:rPr>
                <w:rFonts w:ascii="Times New Roman" w:hAnsi="Times New Roman"/>
                <w:b/>
                <w:sz w:val="24"/>
                <w:szCs w:val="24"/>
              </w:rPr>
            </w:pPr>
            <w:r w:rsidRPr="005126CF">
              <w:rPr>
                <w:rFonts w:ascii="Times New Roman" w:hAnsi="Times New Roman"/>
                <w:bCs/>
                <w:sz w:val="24"/>
                <w:szCs w:val="24"/>
              </w:rPr>
              <w:t>Patikslinta redakcija</w:t>
            </w:r>
          </w:p>
          <w:p w14:paraId="1E59828A" w14:textId="77777777" w:rsidR="00E55108" w:rsidRPr="005126CF" w:rsidRDefault="00E55108" w:rsidP="00FC2D5B">
            <w:pPr>
              <w:pStyle w:val="Paprastasistekstas"/>
              <w:jc w:val="both"/>
              <w:rPr>
                <w:rFonts w:ascii="Times New Roman" w:hAnsi="Times New Roman"/>
                <w:b/>
                <w:sz w:val="24"/>
                <w:szCs w:val="24"/>
              </w:rPr>
            </w:pPr>
          </w:p>
          <w:p w14:paraId="52A938CF" w14:textId="77777777" w:rsidR="00E55108" w:rsidRPr="005126CF" w:rsidRDefault="00E55108" w:rsidP="00FC2D5B">
            <w:pPr>
              <w:pStyle w:val="Paprastasistekstas"/>
              <w:jc w:val="both"/>
              <w:rPr>
                <w:rFonts w:ascii="Times New Roman" w:hAnsi="Times New Roman"/>
                <w:b/>
                <w:sz w:val="24"/>
                <w:szCs w:val="24"/>
              </w:rPr>
            </w:pPr>
          </w:p>
          <w:p w14:paraId="19B7D308" w14:textId="77777777" w:rsidR="00E55108" w:rsidRPr="005126CF" w:rsidRDefault="00E55108" w:rsidP="00FC2D5B">
            <w:pPr>
              <w:pStyle w:val="Paprastasistekstas"/>
              <w:jc w:val="both"/>
              <w:rPr>
                <w:rFonts w:ascii="Times New Roman" w:hAnsi="Times New Roman"/>
                <w:b/>
                <w:sz w:val="24"/>
                <w:szCs w:val="24"/>
              </w:rPr>
            </w:pPr>
          </w:p>
          <w:p w14:paraId="52D1AA20" w14:textId="77777777" w:rsidR="00E55108" w:rsidRPr="005126CF" w:rsidRDefault="00E55108" w:rsidP="00FC2D5B">
            <w:pPr>
              <w:pStyle w:val="Paprastasistekstas"/>
              <w:jc w:val="both"/>
              <w:rPr>
                <w:rFonts w:ascii="Times New Roman" w:hAnsi="Times New Roman"/>
                <w:b/>
                <w:sz w:val="24"/>
                <w:szCs w:val="24"/>
              </w:rPr>
            </w:pPr>
          </w:p>
          <w:p w14:paraId="39DAA73A" w14:textId="77777777" w:rsidR="00E55108" w:rsidRPr="005126CF" w:rsidRDefault="00E55108" w:rsidP="00FC2D5B">
            <w:pPr>
              <w:pStyle w:val="Paprastasistekstas"/>
              <w:jc w:val="both"/>
              <w:rPr>
                <w:rFonts w:ascii="Times New Roman" w:hAnsi="Times New Roman"/>
                <w:b/>
                <w:sz w:val="24"/>
                <w:szCs w:val="24"/>
              </w:rPr>
            </w:pPr>
          </w:p>
          <w:p w14:paraId="1ECE941B" w14:textId="3EC0F4CF" w:rsidR="00E55108" w:rsidRPr="005126CF" w:rsidRDefault="00010670" w:rsidP="00FC2D5B">
            <w:pPr>
              <w:pStyle w:val="Paprastasistekstas"/>
              <w:jc w:val="both"/>
              <w:rPr>
                <w:rFonts w:ascii="Times New Roman" w:hAnsi="Times New Roman"/>
                <w:b/>
                <w:sz w:val="24"/>
                <w:szCs w:val="24"/>
              </w:rPr>
            </w:pPr>
            <w:r w:rsidRPr="005126CF">
              <w:rPr>
                <w:rFonts w:ascii="Times New Roman" w:hAnsi="Times New Roman"/>
                <w:bCs/>
                <w:sz w:val="24"/>
                <w:szCs w:val="24"/>
              </w:rPr>
              <w:t>Žiūrėti į pateiktus argumentus prie Vidaus reikalų ministerijos pastabos Nr. 7.</w:t>
            </w:r>
          </w:p>
        </w:tc>
      </w:tr>
      <w:tr w:rsidR="00D56EAC" w:rsidRPr="005126CF" w14:paraId="5D27A135" w14:textId="77777777" w:rsidTr="00D40A59">
        <w:trPr>
          <w:trHeight w:val="423"/>
        </w:trPr>
        <w:tc>
          <w:tcPr>
            <w:tcW w:w="1702" w:type="dxa"/>
            <w:vMerge w:val="restart"/>
            <w:tcBorders>
              <w:top w:val="single" w:sz="4" w:space="0" w:color="auto"/>
            </w:tcBorders>
            <w:shd w:val="clear" w:color="auto" w:fill="auto"/>
          </w:tcPr>
          <w:p w14:paraId="51C54070" w14:textId="77777777" w:rsidR="00D56EAC" w:rsidRPr="005126CF" w:rsidRDefault="00D56EAC" w:rsidP="00D56EAC">
            <w:pPr>
              <w:jc w:val="both"/>
            </w:pPr>
            <w:r w:rsidRPr="005126CF">
              <w:t>Susisiekimo ministerijos 2019-03-15 išvada Nr. 2-1272</w:t>
            </w:r>
          </w:p>
        </w:tc>
        <w:tc>
          <w:tcPr>
            <w:tcW w:w="8080" w:type="dxa"/>
            <w:shd w:val="clear" w:color="auto" w:fill="auto"/>
          </w:tcPr>
          <w:p w14:paraId="1745EDC5" w14:textId="59881EB6" w:rsidR="00D56EAC" w:rsidRPr="005126CF" w:rsidRDefault="00D56EAC" w:rsidP="003B1836">
            <w:pPr>
              <w:jc w:val="both"/>
            </w:pPr>
            <w:r w:rsidRPr="005126CF">
              <w:t>2. Siūlytina Projekto 15 punkte, kuriuo keičiamas Reglamento 21 punktas papildomai detalizuoti, kokie kiekybiniai ir (ar) kokybiniai vertinimai turėtų būti atlikti rengiant teisės akto projektą, taip pat nurodant minėtų vertinimų atlikimo tvarką.</w:t>
            </w:r>
          </w:p>
        </w:tc>
        <w:tc>
          <w:tcPr>
            <w:tcW w:w="5386" w:type="dxa"/>
            <w:shd w:val="clear" w:color="auto" w:fill="auto"/>
          </w:tcPr>
          <w:p w14:paraId="181CBDB2" w14:textId="77777777" w:rsidR="00D56EAC" w:rsidRPr="005126CF" w:rsidRDefault="00D56EAC" w:rsidP="00D56EAC">
            <w:pPr>
              <w:jc w:val="both"/>
              <w:rPr>
                <w:b/>
                <w:bCs/>
              </w:rPr>
            </w:pPr>
            <w:r w:rsidRPr="005126CF">
              <w:rPr>
                <w:b/>
                <w:bCs/>
              </w:rPr>
              <w:t>Neatsižvelgta.</w:t>
            </w:r>
          </w:p>
          <w:p w14:paraId="5B801EBA" w14:textId="1F75AAB0" w:rsidR="00D56EAC" w:rsidRPr="005126CF" w:rsidRDefault="00D56EAC" w:rsidP="00D56EAC">
            <w:pPr>
              <w:jc w:val="both"/>
            </w:pPr>
            <w:r w:rsidRPr="005126CF">
              <w:rPr>
                <w:bCs/>
              </w:rPr>
              <w:t xml:space="preserve">Kiekvienu atveju, priklausomai nuo sprendžiamos viešosios politikos problemos ir siūlomų priemonių jai spręsti, gali skirtis tiek atliekamų vertinimų pobūdis, tiek apimtis. Kadangi teisės aktų projektų rengimas nėra savitikslis, o skirtas spręsti viešosios politikos problemas, todėl, manytina, rengėjai jau prieš rengdami projektą turi surinkę/disponuoja duomenimis, kurie pagrindžia problemos buvimą. Kaip ir kokius duomenis surinkti sprendimą priima </w:t>
            </w:r>
            <w:r w:rsidRPr="005126CF">
              <w:rPr>
                <w:bCs/>
              </w:rPr>
              <w:lastRenderedPageBreak/>
              <w:t>rengėjas – tai gali būti institucijos renkami administraciniai duomenys, tarptautiniai rodikliai, viešųjų konsultacijų su galimai veikiamais subjektais metu surinkti duomenys, kt. Atitinkamai, siekiant atskleisti siūlomo reguliavimo naudas, šie duomenų pokytis turėtų būti interpretuojamas / įvertintas siūlomų priemonių kontekste. Pažymėtina, kad kokybiniai ir (ar) kokybiniai vertinimai turėtų būti atliekami vadovaujantis proporcingumo principu, t. y. priklausomai nuo sprendžiamos problemos masto ir siūlomų sprendimų galimų pasekmių masto. Atkreiptinas dėmesys, kad Numatomo teisinio reguliavimo poveikio vertinimo metodikoje numatyta kaip, kokiais principais vadovaujantis turėtų būti atliekami vertinimai, kokie aspektai vertinami, pateikiami klausimynai, kuriais vadovaujantis rengėjas gali įvertinti atskirus poveikio aspektus, taip pat nuorodos į kitas atliekant poveikio vertinimą aktualias metodikas.</w:t>
            </w:r>
          </w:p>
        </w:tc>
      </w:tr>
      <w:tr w:rsidR="00D56EAC" w:rsidRPr="005126CF" w14:paraId="5DAD3665" w14:textId="77777777" w:rsidTr="00D40A59">
        <w:trPr>
          <w:trHeight w:val="411"/>
        </w:trPr>
        <w:tc>
          <w:tcPr>
            <w:tcW w:w="1702" w:type="dxa"/>
            <w:vMerge/>
            <w:shd w:val="clear" w:color="auto" w:fill="auto"/>
          </w:tcPr>
          <w:p w14:paraId="000FEAF8" w14:textId="77777777" w:rsidR="00D56EAC" w:rsidRPr="005126CF" w:rsidRDefault="00D56EAC" w:rsidP="00D56EAC">
            <w:pPr>
              <w:jc w:val="both"/>
            </w:pPr>
          </w:p>
        </w:tc>
        <w:tc>
          <w:tcPr>
            <w:tcW w:w="8080" w:type="dxa"/>
            <w:shd w:val="clear" w:color="auto" w:fill="auto"/>
          </w:tcPr>
          <w:p w14:paraId="7DB5ED34" w14:textId="77777777" w:rsidR="00D56EAC" w:rsidRPr="005126CF" w:rsidRDefault="00D56EAC" w:rsidP="003B1836">
            <w:pPr>
              <w:ind w:firstLine="181"/>
              <w:jc w:val="both"/>
            </w:pPr>
            <w:r w:rsidRPr="005126CF">
              <w:t>3. Atsižvelgiant į tai, kad Projekto 16 punktu keičiamame Reglamento 27 punkte siekiama nustatyti, kad suinteresuotiems asmenims pateikti pastabas ir pasiūlymus dėl teisės aktų projekto turi būti numatomas ne trumpesnis kaip 10 darbo dienų terminas, siūlytina dėl aiškumo ir teisinio reguliavimo nuoseklumo analogišką terminą nustatyti ir išvadas teikiantiems subjektams, kurie privalo pateikti savo išvadas dėl jiems pateiktų teisės aktų projektų.</w:t>
            </w:r>
          </w:p>
        </w:tc>
        <w:tc>
          <w:tcPr>
            <w:tcW w:w="5386" w:type="dxa"/>
            <w:shd w:val="clear" w:color="auto" w:fill="auto"/>
          </w:tcPr>
          <w:p w14:paraId="49B26CEA"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4759DE2D" w14:textId="5532034B"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Žiūrėti į pateiktus argumentus prie Vidaus reikalų ministerijos pastabos Nr. 7.</w:t>
            </w:r>
          </w:p>
        </w:tc>
      </w:tr>
      <w:tr w:rsidR="00D56EAC" w:rsidRPr="005126CF" w14:paraId="7B71E582" w14:textId="77777777" w:rsidTr="00D40A59">
        <w:trPr>
          <w:trHeight w:val="423"/>
        </w:trPr>
        <w:tc>
          <w:tcPr>
            <w:tcW w:w="1702" w:type="dxa"/>
            <w:vMerge/>
            <w:shd w:val="clear" w:color="auto" w:fill="auto"/>
          </w:tcPr>
          <w:p w14:paraId="590C968F" w14:textId="77777777" w:rsidR="00D56EAC" w:rsidRPr="005126CF" w:rsidRDefault="00D56EAC" w:rsidP="00D56EAC">
            <w:pPr>
              <w:jc w:val="both"/>
            </w:pPr>
          </w:p>
        </w:tc>
        <w:tc>
          <w:tcPr>
            <w:tcW w:w="8080" w:type="dxa"/>
            <w:shd w:val="clear" w:color="auto" w:fill="auto"/>
          </w:tcPr>
          <w:p w14:paraId="52F8CBEE" w14:textId="77777777" w:rsidR="00D56EAC" w:rsidRPr="005126CF" w:rsidRDefault="00D56EAC" w:rsidP="003B1836">
            <w:pPr>
              <w:jc w:val="both"/>
            </w:pPr>
            <w:r w:rsidRPr="005126CF">
              <w:t xml:space="preserve">4.  Siūlome tarpusavyje suderinti Projekto 17 punktą, kuriuo keičiamas Reglamento 27 punktas, su Reglamento 18 punktu, kuriuo keičiamas Reglamento 28 punktas, t. y., kad teisės aktų projektai teikiami derinti ne tik suinteresuotoms institucijoms, bet ir suinteresuotiems subjektams. </w:t>
            </w:r>
          </w:p>
        </w:tc>
        <w:tc>
          <w:tcPr>
            <w:tcW w:w="5386" w:type="dxa"/>
            <w:shd w:val="clear" w:color="auto" w:fill="auto"/>
          </w:tcPr>
          <w:p w14:paraId="4A662CEF" w14:textId="527462E1"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2DB45D74" w14:textId="3209556C"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Pažymime, kad sąvoka „suinteresuotos institucijos“ suprantama kaip ji apibrėžta Reglamento 25 ir 26 punktuose. Tuo tarpu sąvoka „suinteresuoti asmenys“ apima visus likusius subjektus, neįtrauktus į išvadas teikiančių subjektų sąrašą, kurie galimai yra / gali būti suinteresuoti pateikti pastabas ir pasiūlymus dėl konkretaus teisės akto projekto teksto.</w:t>
            </w:r>
          </w:p>
        </w:tc>
      </w:tr>
      <w:tr w:rsidR="00D56EAC" w:rsidRPr="005126CF" w14:paraId="3F4CAD69" w14:textId="77777777" w:rsidTr="00D40A59">
        <w:trPr>
          <w:trHeight w:val="423"/>
        </w:trPr>
        <w:tc>
          <w:tcPr>
            <w:tcW w:w="1702" w:type="dxa"/>
            <w:vMerge/>
            <w:shd w:val="clear" w:color="auto" w:fill="auto"/>
          </w:tcPr>
          <w:p w14:paraId="179EE2A0" w14:textId="77777777" w:rsidR="00D56EAC" w:rsidRPr="005126CF" w:rsidRDefault="00D56EAC" w:rsidP="00D56EAC">
            <w:pPr>
              <w:jc w:val="both"/>
            </w:pPr>
          </w:p>
        </w:tc>
        <w:tc>
          <w:tcPr>
            <w:tcW w:w="8080" w:type="dxa"/>
            <w:shd w:val="clear" w:color="auto" w:fill="auto"/>
          </w:tcPr>
          <w:p w14:paraId="4568DD1B" w14:textId="77777777" w:rsidR="00D56EAC" w:rsidRPr="005126CF" w:rsidRDefault="00D56EAC" w:rsidP="003B1836">
            <w:pPr>
              <w:ind w:firstLine="39"/>
              <w:jc w:val="both"/>
            </w:pPr>
            <w:r w:rsidRPr="005126CF">
              <w:t xml:space="preserve">6. Siūlome papildomai pakeisti Reglamento 127 punktą, pagal kurį ministerijos ne vėliau kaip per 10 darbo dienų nuo šios informacijos gavimo praneša </w:t>
            </w:r>
            <w:r w:rsidRPr="005126CF">
              <w:lastRenderedPageBreak/>
              <w:t>Vyriausybės kanceliarijai, kokie Vyriausybės nutarimų projektai bus teikiami Vyriausybei įgyvendinant įstatymą ar kitą Seimo priimtą teisės aktą. Pažymėtina, kad Vyriausybei teikiami nutarimų projektai yra aptariami rengiant įstatymo projektą jo aiškinamajame rašte. Todėl ministerijos Vyriausybės kanceliariją turėtų informuoti tik tuo atveju, jei informacija, nurodyta aiškinamajame rašte, yra netiksli arba pakito. Atsižvelgiant į tai, siūlome atsisakyti Reglamento 127 punkto pirmoje pastraipoje nustatytos minėtos pareigos ministerijoms.</w:t>
            </w:r>
          </w:p>
        </w:tc>
        <w:tc>
          <w:tcPr>
            <w:tcW w:w="5386" w:type="dxa"/>
            <w:shd w:val="clear" w:color="auto" w:fill="auto"/>
          </w:tcPr>
          <w:p w14:paraId="42E11D1B"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62F72B80" w14:textId="3312327E"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 xml:space="preserve">Įvertinant tai, kad ministrai yra atsakingi už jiems </w:t>
            </w:r>
            <w:r w:rsidRPr="005126CF">
              <w:rPr>
                <w:rFonts w:ascii="Times New Roman" w:hAnsi="Times New Roman"/>
                <w:bCs/>
                <w:sz w:val="24"/>
                <w:szCs w:val="24"/>
              </w:rPr>
              <w:lastRenderedPageBreak/>
              <w:t>pavestas valdymo sritis, taip pat atsižvelgiant į tai, kad teisėkūros procesas yra pakankamai ilgas ir per tą laiką, kai Vyriausybė pateikia Seimui atitinkamą įstatymo projektą iki to projekto priėmimo, neretai pasikeičia ir teisinis reguliavimas, todėl aiškinamajame rašte pateikta informacija gali nebeatitikti realios situacijos apie galiojančius teisės aktus, taip pat įvertinant tai, kad dalis įstatymų projektų yra inicijuojami ne Vyriausybės,  ministerijos turi turėti pareigą informuoti Vyriausybės kanceliariją apie jų ministro valdymo srities keistinus teisės aktus.</w:t>
            </w:r>
          </w:p>
        </w:tc>
      </w:tr>
      <w:tr w:rsidR="00D56EAC" w:rsidRPr="005126CF" w14:paraId="7C86D25A" w14:textId="77777777" w:rsidTr="00D40A59">
        <w:trPr>
          <w:trHeight w:val="423"/>
        </w:trPr>
        <w:tc>
          <w:tcPr>
            <w:tcW w:w="1702" w:type="dxa"/>
            <w:vMerge w:val="restart"/>
            <w:tcBorders>
              <w:top w:val="single" w:sz="4" w:space="0" w:color="auto"/>
            </w:tcBorders>
            <w:shd w:val="clear" w:color="auto" w:fill="auto"/>
          </w:tcPr>
          <w:p w14:paraId="7BA55BCC" w14:textId="77777777" w:rsidR="00D56EAC" w:rsidRPr="005126CF" w:rsidRDefault="00D56EAC" w:rsidP="00D56EAC">
            <w:pPr>
              <w:jc w:val="both"/>
            </w:pPr>
            <w:bookmarkStart w:id="5" w:name="_Hlk4747835"/>
            <w:r w:rsidRPr="005126CF">
              <w:lastRenderedPageBreak/>
              <w:t>Švietimo, mokslo ir sporto ministerijos 2019-03-28 išvada Nr.SR-1201</w:t>
            </w:r>
          </w:p>
        </w:tc>
        <w:tc>
          <w:tcPr>
            <w:tcW w:w="8080" w:type="dxa"/>
            <w:shd w:val="clear" w:color="auto" w:fill="auto"/>
          </w:tcPr>
          <w:p w14:paraId="11BFAC54" w14:textId="77777777" w:rsidR="00D56EAC" w:rsidRPr="005126CF" w:rsidRDefault="00D56EAC" w:rsidP="003B1836">
            <w:pPr>
              <w:overflowPunct w:val="0"/>
              <w:autoSpaceDE w:val="0"/>
              <w:autoSpaceDN w:val="0"/>
              <w:ind w:firstLine="39"/>
              <w:jc w:val="both"/>
            </w:pPr>
            <w:r w:rsidRPr="005126CF">
              <w:t>1. Siūlytina tikslinti Projekto 6 ir 7 punktus, kuriais Lietuvos Respublikos Vyriausybės darbo reglamentas, patvirtintas Lietuvos Respublikos Vyriausybės 1994 m. rugpjūčio 11 d. nutarimu Nr. 728 „Dėl Lietuvos Respublikos Vyriausybės darbo reglamento patvirtinimo“, (toliau – Reglamentas) papildomas 10</w:t>
            </w:r>
            <w:r w:rsidRPr="005126CF">
              <w:rPr>
                <w:vertAlign w:val="superscript"/>
              </w:rPr>
              <w:t>1</w:t>
            </w:r>
            <w:r w:rsidRPr="005126CF">
              <w:t xml:space="preserve"> p. ir 10</w:t>
            </w:r>
            <w:r w:rsidRPr="005126CF">
              <w:rPr>
                <w:vertAlign w:val="superscript"/>
              </w:rPr>
              <w:t>2</w:t>
            </w:r>
            <w:r w:rsidRPr="005126CF">
              <w:t xml:space="preserve"> p. Pastarųjų keičiamo Reglamento punktų nuostatas siūlytina tikslinti apibrėžiant formuluotes „valdo rizikas“, „vertina portfelio projektų įgyvendinimą“, „portfelio projektai“ (manytina, kad turėtų būti kalbama apie projektų rengimą ir teikimą ar šių procesų koordinavimą ir kontroliavimą, o ne apie projektų įgyvendinimą, o kas tai yra „portfelio projektai“ apskritai neapibrėžiama).</w:t>
            </w:r>
          </w:p>
        </w:tc>
        <w:tc>
          <w:tcPr>
            <w:tcW w:w="5386" w:type="dxa"/>
            <w:shd w:val="clear" w:color="auto" w:fill="auto"/>
          </w:tcPr>
          <w:p w14:paraId="745A7A44" w14:textId="77777777" w:rsidR="00D56EAC" w:rsidRPr="005126CF" w:rsidRDefault="00D56EAC" w:rsidP="00D56EAC">
            <w:pPr>
              <w:jc w:val="both"/>
              <w:rPr>
                <w:b/>
              </w:rPr>
            </w:pPr>
            <w:r w:rsidRPr="005126CF">
              <w:rPr>
                <w:b/>
              </w:rPr>
              <w:t>Atsižvelgta iš dalies</w:t>
            </w:r>
          </w:p>
          <w:p w14:paraId="0142D8E1" w14:textId="57A34788" w:rsidR="00D56EAC" w:rsidRPr="005126CF" w:rsidRDefault="00D56EAC" w:rsidP="00D56EAC">
            <w:pPr>
              <w:jc w:val="both"/>
            </w:pPr>
            <w:r w:rsidRPr="005126CF">
              <w:t>Patikslintos vartojamos sąvokos</w:t>
            </w:r>
          </w:p>
        </w:tc>
      </w:tr>
      <w:tr w:rsidR="00D56EAC" w:rsidRPr="005126CF" w14:paraId="2B83C2A1" w14:textId="77777777" w:rsidTr="00D40A59">
        <w:trPr>
          <w:trHeight w:val="423"/>
        </w:trPr>
        <w:tc>
          <w:tcPr>
            <w:tcW w:w="1702" w:type="dxa"/>
            <w:vMerge/>
            <w:tcBorders>
              <w:top w:val="single" w:sz="4" w:space="0" w:color="auto"/>
            </w:tcBorders>
            <w:shd w:val="clear" w:color="auto" w:fill="auto"/>
          </w:tcPr>
          <w:p w14:paraId="5B40C3C0" w14:textId="77777777" w:rsidR="00D56EAC" w:rsidRPr="005126CF" w:rsidRDefault="00D56EAC" w:rsidP="00D56EAC">
            <w:pPr>
              <w:jc w:val="both"/>
            </w:pPr>
          </w:p>
        </w:tc>
        <w:tc>
          <w:tcPr>
            <w:tcW w:w="8080" w:type="dxa"/>
            <w:shd w:val="clear" w:color="auto" w:fill="auto"/>
          </w:tcPr>
          <w:p w14:paraId="5EA28845" w14:textId="77777777" w:rsidR="00D56EAC" w:rsidRPr="005126CF" w:rsidRDefault="00D56EAC" w:rsidP="003B1836">
            <w:pPr>
              <w:overflowPunct w:val="0"/>
              <w:autoSpaceDE w:val="0"/>
              <w:autoSpaceDN w:val="0"/>
              <w:jc w:val="both"/>
            </w:pPr>
            <w:r w:rsidRPr="005126CF">
              <w:t>2. Keičiamo Reglamento 21.2 p. nuostatos lems aiškinamuosiuose raštuose teikiamos informacijos dubliavimą lydraščiuose. Atsižvelgiant į tai, siūlome palikti išlygą tiems atvejams, kai atitinkama informacija būtų pateikiama aiškinamajame rašte.</w:t>
            </w:r>
          </w:p>
        </w:tc>
        <w:tc>
          <w:tcPr>
            <w:tcW w:w="5386" w:type="dxa"/>
            <w:shd w:val="clear" w:color="auto" w:fill="auto"/>
          </w:tcPr>
          <w:p w14:paraId="4B45BD4F" w14:textId="3840DAFC"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1C52B202" w14:textId="5FCD14AF" w:rsidR="00D56EAC" w:rsidRPr="005126CF" w:rsidRDefault="00D56EAC" w:rsidP="00D56EAC">
            <w:pPr>
              <w:jc w:val="both"/>
            </w:pPr>
            <w:r w:rsidRPr="005126CF">
              <w:rPr>
                <w:bCs/>
              </w:rPr>
              <w:t>Žiūrėti į pateiktus argumentus prie Socialinės apsaugos ir darbo ministerijos pastabos Nr. 7.</w:t>
            </w:r>
          </w:p>
        </w:tc>
      </w:tr>
      <w:tr w:rsidR="00D56EAC" w:rsidRPr="005126CF" w14:paraId="51A25150" w14:textId="77777777" w:rsidTr="00D40A59">
        <w:trPr>
          <w:trHeight w:val="423"/>
        </w:trPr>
        <w:tc>
          <w:tcPr>
            <w:tcW w:w="1702" w:type="dxa"/>
            <w:vMerge/>
            <w:tcBorders>
              <w:top w:val="single" w:sz="4" w:space="0" w:color="auto"/>
            </w:tcBorders>
            <w:shd w:val="clear" w:color="auto" w:fill="auto"/>
          </w:tcPr>
          <w:p w14:paraId="78CE7466" w14:textId="77777777" w:rsidR="00D56EAC" w:rsidRPr="005126CF" w:rsidRDefault="00D56EAC" w:rsidP="00D56EAC">
            <w:pPr>
              <w:jc w:val="both"/>
            </w:pPr>
          </w:p>
        </w:tc>
        <w:tc>
          <w:tcPr>
            <w:tcW w:w="8080" w:type="dxa"/>
            <w:shd w:val="clear" w:color="auto" w:fill="auto"/>
          </w:tcPr>
          <w:p w14:paraId="23546C0F" w14:textId="77777777" w:rsidR="00D56EAC" w:rsidRPr="005126CF" w:rsidRDefault="00D56EAC" w:rsidP="003B1836">
            <w:pPr>
              <w:overflowPunct w:val="0"/>
              <w:autoSpaceDE w:val="0"/>
              <w:autoSpaceDN w:val="0"/>
              <w:jc w:val="both"/>
            </w:pPr>
            <w:r w:rsidRPr="005126CF">
              <w:t>3. Siūlytina keičiamo Reglamento 21 p. nuostatose papildomai detalizuoti, kokie kiekybiniai ir (ar) kokybiniai vertinimai turėtų būti atlikti rengiant teisės akto projektą, taip pat nurodant minėtų vertinimų atlikimo tvarką.</w:t>
            </w:r>
          </w:p>
        </w:tc>
        <w:tc>
          <w:tcPr>
            <w:tcW w:w="5386" w:type="dxa"/>
            <w:shd w:val="clear" w:color="auto" w:fill="auto"/>
          </w:tcPr>
          <w:p w14:paraId="35A95EA2" w14:textId="52AC54DF" w:rsidR="00D56EAC" w:rsidRPr="005126CF" w:rsidRDefault="00D56EAC" w:rsidP="00D56EAC">
            <w:pPr>
              <w:jc w:val="both"/>
              <w:rPr>
                <w:b/>
                <w:bCs/>
              </w:rPr>
            </w:pPr>
            <w:r w:rsidRPr="005126CF">
              <w:rPr>
                <w:b/>
                <w:bCs/>
              </w:rPr>
              <w:t>Neatsižvelgta</w:t>
            </w:r>
          </w:p>
          <w:p w14:paraId="78C250CA" w14:textId="37A3FF8C" w:rsidR="00D56EAC" w:rsidRPr="005126CF" w:rsidRDefault="00D56EAC" w:rsidP="00D56EAC">
            <w:pPr>
              <w:jc w:val="both"/>
            </w:pPr>
            <w:r w:rsidRPr="005126CF">
              <w:rPr>
                <w:bCs/>
              </w:rPr>
              <w:t>Žiūrėti į pateiktus argumentus prie Susiekimo ministerijos pastabos Nr. 2.</w:t>
            </w:r>
          </w:p>
        </w:tc>
      </w:tr>
      <w:tr w:rsidR="00D56EAC" w:rsidRPr="005126CF" w14:paraId="30D43489" w14:textId="77777777" w:rsidTr="00D40A59">
        <w:trPr>
          <w:trHeight w:val="423"/>
        </w:trPr>
        <w:tc>
          <w:tcPr>
            <w:tcW w:w="1702" w:type="dxa"/>
            <w:vMerge/>
            <w:shd w:val="clear" w:color="auto" w:fill="auto"/>
          </w:tcPr>
          <w:p w14:paraId="5B1654AF" w14:textId="77777777" w:rsidR="00D56EAC" w:rsidRPr="005126CF" w:rsidRDefault="00D56EAC" w:rsidP="00D56EAC">
            <w:pPr>
              <w:jc w:val="both"/>
            </w:pPr>
          </w:p>
        </w:tc>
        <w:tc>
          <w:tcPr>
            <w:tcW w:w="8080" w:type="dxa"/>
            <w:shd w:val="clear" w:color="auto" w:fill="auto"/>
          </w:tcPr>
          <w:p w14:paraId="02BBA9A0" w14:textId="77777777" w:rsidR="00D56EAC" w:rsidRPr="005126CF" w:rsidRDefault="00D56EAC" w:rsidP="003B1836">
            <w:pPr>
              <w:overflowPunct w:val="0"/>
              <w:autoSpaceDE w:val="0"/>
              <w:autoSpaceDN w:val="0"/>
              <w:ind w:firstLine="39"/>
              <w:jc w:val="both"/>
            </w:pPr>
            <w:r w:rsidRPr="005126CF">
              <w:t xml:space="preserve">4. Taip pat siūlome papildomai pakeisti Reglamento 127 punktą, pagal kurį ministerijos ne vėliau kaip per 10 darbo dienų nuo šios informacijos gavimo praneša Vyriausybės kanceliarijai, kokie Vyriausybės nutarimų projektai bus teikiami Vyriausybei įgyvendinant įstatymą ar kitą Seimo priimtą teisės aktą. Pažymėtina, kad Vyriausybei teikiami nutarimų projektai yra aptariami rengiant įstatymo projektą jo aiškinamajame rašte. Todėl ministerijos Vyriausybės </w:t>
            </w:r>
            <w:r w:rsidRPr="005126CF">
              <w:lastRenderedPageBreak/>
              <w:t>kanceliariją turėtų informuoti tik tuo atveju, jei informacija, nurodyta aiškinamajame rašte, yra netiksli arba pakito. Atsižvelgiant į tai, siūlome atsisakyti Reglamento 127 punkto pirmoje pastraipoje nustatytos minėtos pareigos ministerijoms.</w:t>
            </w:r>
          </w:p>
        </w:tc>
        <w:tc>
          <w:tcPr>
            <w:tcW w:w="5386" w:type="dxa"/>
            <w:shd w:val="clear" w:color="auto" w:fill="auto"/>
          </w:tcPr>
          <w:p w14:paraId="50F30438" w14:textId="77777777" w:rsidR="00D56EAC" w:rsidRPr="005126CF" w:rsidRDefault="00D56EAC" w:rsidP="00D56EAC">
            <w:pPr>
              <w:jc w:val="both"/>
              <w:rPr>
                <w:b/>
                <w:bCs/>
              </w:rPr>
            </w:pPr>
            <w:r w:rsidRPr="005126CF">
              <w:rPr>
                <w:b/>
                <w:bCs/>
              </w:rPr>
              <w:lastRenderedPageBreak/>
              <w:t>Neatsižvelgta</w:t>
            </w:r>
          </w:p>
          <w:p w14:paraId="74670FC0" w14:textId="08E21FC8"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Žiūrėti į pateiktus argumentus prie Susiekimo ministerijos pastabos Nr. 6.</w:t>
            </w:r>
          </w:p>
        </w:tc>
      </w:tr>
      <w:bookmarkEnd w:id="5"/>
      <w:tr w:rsidR="00D56EAC" w:rsidRPr="005126CF" w14:paraId="422A5D81" w14:textId="77777777" w:rsidTr="00D40A59">
        <w:trPr>
          <w:trHeight w:val="423"/>
        </w:trPr>
        <w:tc>
          <w:tcPr>
            <w:tcW w:w="1702" w:type="dxa"/>
            <w:vMerge w:val="restart"/>
            <w:tcBorders>
              <w:top w:val="single" w:sz="4" w:space="0" w:color="auto"/>
            </w:tcBorders>
            <w:shd w:val="clear" w:color="auto" w:fill="auto"/>
          </w:tcPr>
          <w:p w14:paraId="57F03905" w14:textId="77777777" w:rsidR="00D56EAC" w:rsidRPr="005126CF" w:rsidRDefault="00D56EAC" w:rsidP="00D56EAC">
            <w:pPr>
              <w:jc w:val="both"/>
            </w:pPr>
            <w:r w:rsidRPr="005126CF">
              <w:t>Krašto apsaugos ministerijos 2019-03-27 išvados Nr. 12-01-497</w:t>
            </w:r>
          </w:p>
        </w:tc>
        <w:tc>
          <w:tcPr>
            <w:tcW w:w="8080" w:type="dxa"/>
            <w:shd w:val="clear" w:color="auto" w:fill="auto"/>
          </w:tcPr>
          <w:p w14:paraId="35C85912" w14:textId="77777777" w:rsidR="00D56EAC" w:rsidRPr="005126CF" w:rsidRDefault="00D56EAC" w:rsidP="003B1836">
            <w:pPr>
              <w:jc w:val="both"/>
              <w:rPr>
                <w:lang w:val="en-US"/>
              </w:rPr>
            </w:pPr>
            <w:r w:rsidRPr="005126CF">
              <w:t>1. Lietuvos Respublikos teisėkūros pagrindų įstatymas nenumato įstatymo taikymo išimčių rengiant teisės aktų projektus, kuriuose yra komercinę paslaptį sudarančios informacijos ar kuriuose yra konfidencialios informacijos pagal Lietuvos Respublikos nacionaliniam saugumui užtikrinti svarbių objektų apsaugos įstatymą arba asmens duomenų,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todėl manytina, kad siūlomo keisti Lietuvos Respublikos Vyriausybės darbo reglamento (toliau – Reglamentas) 16 punkto ir kitų punktų, kurie numato teisės aktų projektų rengimo išimtis, nuostatos būtų galimos tik pakeitus Teisėkūros pagrindų įstatymą.</w:t>
            </w:r>
          </w:p>
          <w:p w14:paraId="620DE2BA" w14:textId="77777777" w:rsidR="00D56EAC" w:rsidRPr="005126CF" w:rsidRDefault="00D56EAC" w:rsidP="00D56EAC">
            <w:pPr>
              <w:ind w:firstLine="737"/>
              <w:jc w:val="both"/>
            </w:pPr>
            <w:r w:rsidRPr="005126CF">
              <w:t>Taip pat atkreiptinas dėmesys, kad Lietuvos Respublikos įstatymai numato platesnį ratą informacijos, kuri neturėtų būti viešinama. Pagal Lietuvos Respublikos visuomenės informavimo įstatymo 18 straipsnį ir Lietuvos Respublikos teisės gauti informaciją iš valstybės ir savivaldybių įstaigų įstatymo 2 straipsnio 2 dalį, informacija, kuri pagal įstatymus yra valstybės, tarnybos, profesinė, komercinė, banko paslaptis, privataus pobūdžio informacija arba informacija, kurią teikti draudžia įstatymai, nes jos suteikimas pakenktų valstybės saugumo ir gynybos interesams, baudžiamajam asmenų persekiojimui, skatintų pažeisti valstybės teritorijos vientisumą ar viešąją tvarką arba jos nesuteikimas užkirstų kelią teisės pažeidimams ar būtų labai svarbus žmonių sveikatai apsaugoti, yra neteikiama asmenims ar viešosios informacijos rengėjams. Todėl tobulinant teisėkūros procesą siūlytina įvertinti ir atsižvelgti į šias nuostatas.</w:t>
            </w:r>
          </w:p>
        </w:tc>
        <w:tc>
          <w:tcPr>
            <w:tcW w:w="5386" w:type="dxa"/>
            <w:shd w:val="clear" w:color="auto" w:fill="auto"/>
          </w:tcPr>
          <w:p w14:paraId="769E6E99" w14:textId="0D6079E4" w:rsidR="00D56EAC" w:rsidRPr="005126CF" w:rsidRDefault="00EF12D1" w:rsidP="00D56EAC">
            <w:pPr>
              <w:jc w:val="both"/>
              <w:rPr>
                <w:b/>
              </w:rPr>
            </w:pPr>
            <w:r w:rsidRPr="005126CF">
              <w:rPr>
                <w:b/>
              </w:rPr>
              <w:t>Atsižvelgta i</w:t>
            </w:r>
            <w:r w:rsidR="00D56EAC" w:rsidRPr="005126CF">
              <w:rPr>
                <w:b/>
              </w:rPr>
              <w:t xml:space="preserve">š dalies. </w:t>
            </w:r>
          </w:p>
          <w:p w14:paraId="34EF9413" w14:textId="0994132D" w:rsidR="00D56EAC" w:rsidRPr="005126CF" w:rsidRDefault="00D56EAC" w:rsidP="00D56EAC">
            <w:pPr>
              <w:jc w:val="both"/>
            </w:pPr>
            <w:r w:rsidRPr="005126CF">
              <w:t>Patikslintos Reglamento 16, 18 ir kitų punktų redakcijos</w:t>
            </w:r>
            <w:r w:rsidR="00EF12D1" w:rsidRPr="005126CF">
              <w:t>.</w:t>
            </w:r>
          </w:p>
          <w:p w14:paraId="5F719110" w14:textId="77777777" w:rsidR="00D56EAC" w:rsidRPr="005126CF" w:rsidRDefault="00D56EAC" w:rsidP="00D56EAC"/>
          <w:p w14:paraId="22D70E26" w14:textId="77777777" w:rsidR="00D56EAC" w:rsidRPr="005126CF" w:rsidRDefault="00D56EAC" w:rsidP="00D56EAC"/>
          <w:p w14:paraId="2F467A88" w14:textId="77777777" w:rsidR="00D56EAC" w:rsidRPr="005126CF" w:rsidRDefault="00D56EAC" w:rsidP="00D56EAC"/>
          <w:p w14:paraId="3DD78C1F" w14:textId="77777777" w:rsidR="00D56EAC" w:rsidRPr="005126CF" w:rsidRDefault="00D56EAC" w:rsidP="00D56EAC"/>
          <w:p w14:paraId="11275D80" w14:textId="77777777" w:rsidR="00D56EAC" w:rsidRPr="005126CF" w:rsidRDefault="00D56EAC" w:rsidP="00D56EAC"/>
          <w:p w14:paraId="2E3AC1FB" w14:textId="77777777" w:rsidR="00D56EAC" w:rsidRPr="005126CF" w:rsidRDefault="00D56EAC" w:rsidP="00D56EAC"/>
          <w:p w14:paraId="1F3082CB" w14:textId="77777777" w:rsidR="00D56EAC" w:rsidRPr="005126CF" w:rsidRDefault="00D56EAC" w:rsidP="00D56EAC"/>
          <w:p w14:paraId="003D4A15" w14:textId="77777777" w:rsidR="00D56EAC" w:rsidRPr="005126CF" w:rsidRDefault="00D56EAC" w:rsidP="00D56EAC"/>
          <w:p w14:paraId="4A4FB94E" w14:textId="77777777" w:rsidR="00D56EAC" w:rsidRPr="005126CF" w:rsidRDefault="00D56EAC" w:rsidP="00D56EAC"/>
          <w:p w14:paraId="6F84CF95" w14:textId="1AB5654C" w:rsidR="00D56EAC" w:rsidRPr="005126CF" w:rsidRDefault="00D56EAC" w:rsidP="00D56EAC">
            <w:pPr>
              <w:rPr>
                <w:b/>
              </w:rPr>
            </w:pPr>
            <w:r w:rsidRPr="005126CF">
              <w:rPr>
                <w:b/>
              </w:rPr>
              <w:t>Pritartina, kad reikia inicijuoti atitinkamų įstatymų pakeitimus.</w:t>
            </w:r>
          </w:p>
          <w:p w14:paraId="551C8515" w14:textId="0D7CD42E" w:rsidR="00D56EAC" w:rsidRPr="005126CF" w:rsidRDefault="00D56EAC" w:rsidP="00D56EAC">
            <w:pPr>
              <w:jc w:val="both"/>
            </w:pPr>
            <w:r w:rsidRPr="005126CF">
              <w:t>Pažymėtina, kad Ministro Pirmininko pavedimu, įformintu Vyriausybės kanclerio 2018-12-03 pavedimu Nr. S-4225 yra pavesta Krašto apsaugos ministerijai kartu su Vidaus reikalų, Ekonomikos ir inovacijų ir Susisiekimo ministerijomis įvertinti elektroninės informacijos ir kitos su kibernetiniu saugumu susijusios informacijos teikimo  pareiškėjams teisinį reglamentavimą ir poreikį keisti teisės aktų projektus, o prireikus juos parengti bei pateikti Vyriausybei svarstyti.</w:t>
            </w:r>
          </w:p>
        </w:tc>
      </w:tr>
      <w:tr w:rsidR="00D56EAC" w:rsidRPr="005126CF" w14:paraId="5B4FE059" w14:textId="77777777" w:rsidTr="00D40A59">
        <w:trPr>
          <w:trHeight w:val="423"/>
        </w:trPr>
        <w:tc>
          <w:tcPr>
            <w:tcW w:w="1702" w:type="dxa"/>
            <w:vMerge/>
            <w:shd w:val="clear" w:color="auto" w:fill="auto"/>
          </w:tcPr>
          <w:p w14:paraId="6C85D7BA" w14:textId="77777777" w:rsidR="00D56EAC" w:rsidRPr="005126CF" w:rsidRDefault="00D56EAC" w:rsidP="00D56EAC">
            <w:pPr>
              <w:jc w:val="both"/>
            </w:pPr>
          </w:p>
        </w:tc>
        <w:tc>
          <w:tcPr>
            <w:tcW w:w="8080" w:type="dxa"/>
            <w:shd w:val="clear" w:color="auto" w:fill="auto"/>
          </w:tcPr>
          <w:p w14:paraId="65B1F6A6" w14:textId="77777777" w:rsidR="00D56EAC" w:rsidRPr="005126CF" w:rsidRDefault="00D56EAC" w:rsidP="003B1836">
            <w:pPr>
              <w:ind w:firstLine="39"/>
              <w:jc w:val="both"/>
              <w:rPr>
                <w:lang w:eastAsia="en-US"/>
              </w:rPr>
            </w:pPr>
            <w:r w:rsidRPr="005126CF">
              <w:t xml:space="preserve">4. Atsižvelgiant į tai, kad Reglamento 11 punkto 2 pastraipoje nustatyta, kaip teisės aktų projektai planuojami ir kokiais terminais teikiami Vyriausybei, Reglamento 18 punkto nuostata, kad teisės aktų projektai suinteresuotoms institucijoms teikiami derinti ne vėliau kaip likus 2 mėnesiams iki planuojamo teisės akto projekto pateikimo Vyriausybei dienos, dubliuoja 11 punkto reguliavimą, todėl siūlytina atsisakyti šios nuostatos kaip perteklinės.  </w:t>
            </w:r>
          </w:p>
        </w:tc>
        <w:tc>
          <w:tcPr>
            <w:tcW w:w="5386" w:type="dxa"/>
            <w:shd w:val="clear" w:color="auto" w:fill="auto"/>
          </w:tcPr>
          <w:p w14:paraId="2B1DC592" w14:textId="6E2D48ED"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775036B6" w14:textId="57097A23"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Reglamento 18 p</w:t>
            </w:r>
            <w:r w:rsidR="00EF12D1" w:rsidRPr="005126CF">
              <w:rPr>
                <w:rFonts w:ascii="Times New Roman" w:hAnsi="Times New Roman"/>
                <w:bCs/>
                <w:sz w:val="24"/>
                <w:szCs w:val="24"/>
              </w:rPr>
              <w:t>.</w:t>
            </w:r>
            <w:r w:rsidRPr="005126CF">
              <w:rPr>
                <w:rFonts w:ascii="Times New Roman" w:hAnsi="Times New Roman"/>
                <w:bCs/>
                <w:sz w:val="24"/>
                <w:szCs w:val="24"/>
              </w:rPr>
              <w:t xml:space="preserve"> nuostata nedubliuoja Reglamento 11 p</w:t>
            </w:r>
            <w:r w:rsidR="00EF12D1" w:rsidRPr="005126CF">
              <w:rPr>
                <w:rFonts w:ascii="Times New Roman" w:hAnsi="Times New Roman"/>
                <w:bCs/>
                <w:sz w:val="24"/>
                <w:szCs w:val="24"/>
              </w:rPr>
              <w:t>.</w:t>
            </w:r>
            <w:r w:rsidRPr="005126CF">
              <w:rPr>
                <w:rFonts w:ascii="Times New Roman" w:hAnsi="Times New Roman"/>
                <w:bCs/>
                <w:sz w:val="24"/>
                <w:szCs w:val="24"/>
              </w:rPr>
              <w:t xml:space="preserve"> nuostatų, nes 18 p</w:t>
            </w:r>
            <w:r w:rsidR="00EF12D1" w:rsidRPr="005126CF">
              <w:rPr>
                <w:rFonts w:ascii="Times New Roman" w:hAnsi="Times New Roman"/>
                <w:bCs/>
                <w:sz w:val="24"/>
                <w:szCs w:val="24"/>
              </w:rPr>
              <w:t>.</w:t>
            </w:r>
            <w:r w:rsidRPr="005126CF">
              <w:rPr>
                <w:rFonts w:ascii="Times New Roman" w:hAnsi="Times New Roman"/>
                <w:bCs/>
                <w:sz w:val="24"/>
                <w:szCs w:val="24"/>
              </w:rPr>
              <w:t xml:space="preserve"> kalbama apie pateikimo derinti suinteresuotoms institucijoms terminus, o Reglamento 11 p</w:t>
            </w:r>
            <w:r w:rsidR="00EF12D1" w:rsidRPr="005126CF">
              <w:rPr>
                <w:rFonts w:ascii="Times New Roman" w:hAnsi="Times New Roman"/>
                <w:bCs/>
                <w:sz w:val="24"/>
                <w:szCs w:val="24"/>
              </w:rPr>
              <w:t>.</w:t>
            </w:r>
            <w:r w:rsidRPr="005126CF">
              <w:rPr>
                <w:rFonts w:ascii="Times New Roman" w:hAnsi="Times New Roman"/>
                <w:bCs/>
                <w:sz w:val="24"/>
                <w:szCs w:val="24"/>
              </w:rPr>
              <w:t xml:space="preserve"> antrojoje pastraipoje kalbama apie teisės aktų projektų rengimo ir pateikimo Vyriausybei terminų planavimą, siekiant užtikrinti </w:t>
            </w:r>
            <w:r w:rsidRPr="005126CF">
              <w:rPr>
                <w:rFonts w:ascii="Times New Roman" w:hAnsi="Times New Roman"/>
                <w:bCs/>
                <w:sz w:val="24"/>
                <w:szCs w:val="24"/>
              </w:rPr>
              <w:lastRenderedPageBreak/>
              <w:t>numatytų pateikimo Seimui terminų laikymąsi.</w:t>
            </w:r>
          </w:p>
        </w:tc>
      </w:tr>
      <w:tr w:rsidR="00D56EAC" w:rsidRPr="005126CF" w14:paraId="23D0619E" w14:textId="77777777" w:rsidTr="00D40A59">
        <w:trPr>
          <w:trHeight w:val="423"/>
        </w:trPr>
        <w:tc>
          <w:tcPr>
            <w:tcW w:w="1702" w:type="dxa"/>
            <w:vMerge/>
            <w:shd w:val="clear" w:color="auto" w:fill="auto"/>
          </w:tcPr>
          <w:p w14:paraId="225E9678" w14:textId="77777777" w:rsidR="00D56EAC" w:rsidRPr="005126CF" w:rsidRDefault="00D56EAC" w:rsidP="00D56EAC">
            <w:pPr>
              <w:jc w:val="both"/>
            </w:pPr>
          </w:p>
        </w:tc>
        <w:tc>
          <w:tcPr>
            <w:tcW w:w="8080" w:type="dxa"/>
            <w:shd w:val="clear" w:color="auto" w:fill="auto"/>
          </w:tcPr>
          <w:p w14:paraId="21BF2ECC" w14:textId="77777777" w:rsidR="00D56EAC" w:rsidRPr="005126CF" w:rsidRDefault="00D56EAC" w:rsidP="003B1836">
            <w:pPr>
              <w:ind w:firstLine="39"/>
              <w:jc w:val="both"/>
            </w:pPr>
            <w:r w:rsidRPr="005126CF">
              <w:t>5. Siūlytina atsisakyti Reglamento 21.8 papunkčio nuostatos, kad teisės akto projekto teikime turi būti nurodytas konsultavimosi su visuomene tikslas, nes iš šio papunkčio dėstymo (teikime turi būti nurodytas terminas, per kurį teikiamos pastabos ir pasiūlymai) akivaizdu, kad konsultavimosi tikslas yra gauti pastabų ir pasiūlymų dėl teisės akto projekto.  </w:t>
            </w:r>
          </w:p>
        </w:tc>
        <w:tc>
          <w:tcPr>
            <w:tcW w:w="5386" w:type="dxa"/>
            <w:shd w:val="clear" w:color="auto" w:fill="auto"/>
          </w:tcPr>
          <w:p w14:paraId="3E72FA3D"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5BF6BD7E" w14:textId="366F29DE"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Atsižvelgiant į siūlomas Reglamento 12</w:t>
            </w:r>
            <w:r w:rsidRPr="005126CF">
              <w:rPr>
                <w:rFonts w:ascii="Times New Roman" w:hAnsi="Times New Roman"/>
                <w:bCs/>
                <w:sz w:val="24"/>
                <w:szCs w:val="24"/>
                <w:vertAlign w:val="superscript"/>
              </w:rPr>
              <w:t>1</w:t>
            </w:r>
            <w:r w:rsidRPr="005126CF">
              <w:rPr>
                <w:rFonts w:ascii="Times New Roman" w:hAnsi="Times New Roman"/>
                <w:bCs/>
                <w:sz w:val="24"/>
                <w:szCs w:val="24"/>
              </w:rPr>
              <w:t xml:space="preserve"> p</w:t>
            </w:r>
            <w:r w:rsidR="00EF12D1" w:rsidRPr="005126CF">
              <w:rPr>
                <w:rFonts w:ascii="Times New Roman" w:hAnsi="Times New Roman"/>
                <w:bCs/>
                <w:sz w:val="24"/>
                <w:szCs w:val="24"/>
              </w:rPr>
              <w:t>.</w:t>
            </w:r>
            <w:r w:rsidRPr="005126CF">
              <w:rPr>
                <w:rFonts w:ascii="Times New Roman" w:hAnsi="Times New Roman"/>
                <w:bCs/>
                <w:sz w:val="24"/>
                <w:szCs w:val="24"/>
              </w:rPr>
              <w:t xml:space="preserve"> nuostatas, konsultacijos gali būti vykdomos ne tik dėl jau parengto teisės akto projekto, tačiau ir dėl teisėkūros iniciatyvos ar kitų nebūtinai su teisiniu reguliavimu susijusių klausimų/sprendimų, kuriems pagrįsti reikalinga suinteresuotų asmenų nuomonė. Reglamento 21.8 p</w:t>
            </w:r>
            <w:r w:rsidR="00EF12D1" w:rsidRPr="005126CF">
              <w:rPr>
                <w:rFonts w:ascii="Times New Roman" w:hAnsi="Times New Roman"/>
                <w:bCs/>
                <w:sz w:val="24"/>
                <w:szCs w:val="24"/>
              </w:rPr>
              <w:t>.</w:t>
            </w:r>
            <w:r w:rsidRPr="005126CF">
              <w:rPr>
                <w:rFonts w:ascii="Times New Roman" w:hAnsi="Times New Roman"/>
                <w:bCs/>
                <w:sz w:val="24"/>
                <w:szCs w:val="24"/>
              </w:rPr>
              <w:t xml:space="preserve"> siūloma nurodyti konkretų konsultacijos tikslą/ klausimą.</w:t>
            </w:r>
          </w:p>
        </w:tc>
      </w:tr>
      <w:tr w:rsidR="00D56EAC" w:rsidRPr="005126CF" w14:paraId="46EFF71D" w14:textId="77777777" w:rsidTr="00D40A59">
        <w:trPr>
          <w:trHeight w:val="423"/>
        </w:trPr>
        <w:tc>
          <w:tcPr>
            <w:tcW w:w="1702" w:type="dxa"/>
            <w:vMerge/>
            <w:shd w:val="clear" w:color="auto" w:fill="auto"/>
          </w:tcPr>
          <w:p w14:paraId="0C3DB1E2" w14:textId="77777777" w:rsidR="00D56EAC" w:rsidRPr="005126CF" w:rsidRDefault="00D56EAC" w:rsidP="00D56EAC">
            <w:pPr>
              <w:jc w:val="both"/>
            </w:pPr>
          </w:p>
        </w:tc>
        <w:tc>
          <w:tcPr>
            <w:tcW w:w="8080" w:type="dxa"/>
            <w:shd w:val="clear" w:color="auto" w:fill="auto"/>
          </w:tcPr>
          <w:p w14:paraId="35DDE985" w14:textId="77777777" w:rsidR="00D56EAC" w:rsidRPr="005126CF" w:rsidRDefault="00D56EAC" w:rsidP="003B1836">
            <w:pPr>
              <w:ind w:firstLine="39"/>
              <w:jc w:val="both"/>
            </w:pPr>
            <w:r w:rsidRPr="005126CF">
              <w:t xml:space="preserve">6. Reglamento 27 punkte nurodytas terminas (ne trumpesnis kaip 10 darbo dienų) suprantamas, kad suinteresuoti asmenys gali pateikti savo pastabas per neapibrėžtą terminą. Toks reglamentavimas gali turėti neigiamą poveikį planuojant teisėkūros procesą, nustatytą Reglamento 11 punkte. Atsižvelgiant į tai, siūlytina apibrėžti, iki kada vėliausiai suinteresuoti asmenys gali pateikti savo pasiūlymus. </w:t>
            </w:r>
          </w:p>
        </w:tc>
        <w:tc>
          <w:tcPr>
            <w:tcW w:w="5386" w:type="dxa"/>
            <w:shd w:val="clear" w:color="auto" w:fill="auto"/>
          </w:tcPr>
          <w:p w14:paraId="2F53CE92" w14:textId="5847F98A"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1D54528F" w14:textId="5377BBEF"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Reglamento 27</w:t>
            </w:r>
            <w:r w:rsidRPr="005126CF">
              <w:rPr>
                <w:rFonts w:ascii="Times New Roman" w:hAnsi="Times New Roman"/>
                <w:bCs/>
                <w:sz w:val="24"/>
                <w:szCs w:val="24"/>
                <w:vertAlign w:val="superscript"/>
              </w:rPr>
              <w:t>1</w:t>
            </w:r>
            <w:r w:rsidRPr="005126CF">
              <w:rPr>
                <w:rFonts w:ascii="Times New Roman" w:hAnsi="Times New Roman"/>
                <w:bCs/>
                <w:sz w:val="24"/>
                <w:szCs w:val="24"/>
              </w:rPr>
              <w:t xml:space="preserve"> p</w:t>
            </w:r>
            <w:r w:rsidR="00EF12D1" w:rsidRPr="005126CF">
              <w:rPr>
                <w:rFonts w:ascii="Times New Roman" w:hAnsi="Times New Roman"/>
                <w:bCs/>
                <w:sz w:val="24"/>
                <w:szCs w:val="24"/>
              </w:rPr>
              <w:t>.</w:t>
            </w:r>
            <w:r w:rsidRPr="005126CF">
              <w:rPr>
                <w:rFonts w:ascii="Times New Roman" w:hAnsi="Times New Roman"/>
                <w:bCs/>
                <w:sz w:val="24"/>
                <w:szCs w:val="24"/>
              </w:rPr>
              <w:t xml:space="preserve"> numatytas terminas reiškia, kad institucija, kuri nustato per kiek laiko suinteresuoti asmenys gali pateikti pastabas, turi numatyti mažiausiai 10 darbo dienų terminą pastaboms pateikti, tačiau institucija gali nustatyti ir ilgesnį terminą pastaboms pateikti. Taigi, jeigu institucija nenustato ilgesnio termino pastaboms pateikti, tai suinteresuoti asmenys pastabas turi pateikti ne vėliau kaip per 10 darbo dienų.</w:t>
            </w:r>
          </w:p>
        </w:tc>
      </w:tr>
      <w:tr w:rsidR="00D56EAC" w:rsidRPr="005126CF" w14:paraId="1C5AA91D" w14:textId="77777777" w:rsidTr="00D40A59">
        <w:trPr>
          <w:trHeight w:val="423"/>
        </w:trPr>
        <w:tc>
          <w:tcPr>
            <w:tcW w:w="1702" w:type="dxa"/>
            <w:vMerge w:val="restart"/>
            <w:tcBorders>
              <w:top w:val="single" w:sz="4" w:space="0" w:color="auto"/>
            </w:tcBorders>
            <w:shd w:val="clear" w:color="auto" w:fill="auto"/>
          </w:tcPr>
          <w:p w14:paraId="1602B3DF" w14:textId="77777777" w:rsidR="00D56EAC" w:rsidRPr="005126CF" w:rsidRDefault="00D56EAC" w:rsidP="00D56EAC">
            <w:pPr>
              <w:jc w:val="both"/>
            </w:pPr>
            <w:r w:rsidRPr="005126CF">
              <w:t>Ekonomikos ir inovacijų  ministerijos 2019-03-15 išvados Nr. 3-1011</w:t>
            </w:r>
          </w:p>
        </w:tc>
        <w:tc>
          <w:tcPr>
            <w:tcW w:w="8080" w:type="dxa"/>
            <w:shd w:val="clear" w:color="auto" w:fill="auto"/>
          </w:tcPr>
          <w:p w14:paraId="00BB1FF2" w14:textId="77777777" w:rsidR="00D56EAC" w:rsidRPr="005126CF" w:rsidRDefault="00D56EAC" w:rsidP="003B1836">
            <w:pPr>
              <w:ind w:firstLine="39"/>
              <w:jc w:val="both"/>
            </w:pPr>
            <w:r w:rsidRPr="005126CF">
              <w:t>1. Projektu siūlomu 10(2) punktu numatoma, kad „Ministerijų, Vyriausybės įstaigų, Vyriausybės kanceliarijos ir kitų Vyriausybei atskaitingų institucijų projektų portfelius sudaro ir tvirtina, rizikas valdo, šių portfelių įgyvendinimą prižiūri ir vertina atitinkamos institucijos vadovo sudaryta institucijos projektų portfelio komisija“. Pažymime, kad nėra norminiais teisės aktais sureguliuota ministerijos projekto portfelio sudarymo tvarka ir tikslai, institucijos projektų portfelio komisijos atsakomybių turinys. Atsižvelgiant į tai, nėra aiški Projektu siūlomo 10(2) punkto įgyvendinimo tvarka. Be to, siūlome svarstyti galimybę visas Projekto nuostatas, susijusias su planavimu, integruoti į esamą strateginio planavimo sistemą, kuri yra nustatyta Strateginio planavimo metodikoje, patvirtintoje Lietuvos Respublikos Vyriausybės 2002 m. birželio 6 d. nutarimu Nr. 827 „Dėl Strateginio planavimo metodikos patvirtinimo“, ir kituose norminiuose teisės aktuose.</w:t>
            </w:r>
          </w:p>
        </w:tc>
        <w:tc>
          <w:tcPr>
            <w:tcW w:w="5386" w:type="dxa"/>
            <w:shd w:val="clear" w:color="auto" w:fill="auto"/>
          </w:tcPr>
          <w:p w14:paraId="2CFD4578" w14:textId="3CD5EB62" w:rsidR="00D56EAC" w:rsidRPr="005126CF" w:rsidRDefault="00D56EAC" w:rsidP="00D56EAC">
            <w:pPr>
              <w:pStyle w:val="Paprastasistekstas"/>
              <w:spacing w:line="320" w:lineRule="atLeast"/>
              <w:jc w:val="both"/>
              <w:rPr>
                <w:rFonts w:ascii="Times New Roman" w:eastAsia="Times New Roman" w:hAnsi="Times New Roman"/>
                <w:b/>
                <w:bCs/>
                <w:sz w:val="24"/>
                <w:szCs w:val="24"/>
                <w:lang w:eastAsia="lt-LT"/>
              </w:rPr>
            </w:pPr>
            <w:r w:rsidRPr="005126CF">
              <w:rPr>
                <w:rFonts w:ascii="Times New Roman" w:eastAsia="Times New Roman" w:hAnsi="Times New Roman"/>
                <w:b/>
                <w:bCs/>
                <w:sz w:val="24"/>
                <w:szCs w:val="24"/>
                <w:lang w:eastAsia="lt-LT"/>
              </w:rPr>
              <w:t xml:space="preserve">Neatsižvelgta </w:t>
            </w:r>
          </w:p>
          <w:p w14:paraId="613EC43E" w14:textId="219F7053" w:rsidR="00D56EAC" w:rsidRPr="005126CF" w:rsidRDefault="00D56EAC" w:rsidP="00D56EAC">
            <w:pPr>
              <w:pStyle w:val="Paprastasistekstas"/>
              <w:spacing w:line="320" w:lineRule="atLeast"/>
              <w:jc w:val="both"/>
              <w:rPr>
                <w:rFonts w:ascii="Times New Roman" w:eastAsia="Times New Roman" w:hAnsi="Times New Roman"/>
                <w:bCs/>
                <w:sz w:val="24"/>
                <w:szCs w:val="24"/>
                <w:lang w:eastAsia="lt-LT"/>
              </w:rPr>
            </w:pPr>
            <w:r w:rsidRPr="005126CF">
              <w:rPr>
                <w:rFonts w:ascii="Times New Roman" w:eastAsia="Times New Roman" w:hAnsi="Times New Roman"/>
                <w:bCs/>
                <w:sz w:val="24"/>
                <w:szCs w:val="24"/>
                <w:lang w:eastAsia="lt-LT"/>
              </w:rPr>
              <w:t>Numatoma, kad šias nuostatas detalizuos atskiras Vyriausybės nutarimas, kurį numatyta patvirtinti iki 2019 m. rugsėjo 1 d.</w:t>
            </w:r>
          </w:p>
          <w:p w14:paraId="25C547A7" w14:textId="5B39E854" w:rsidR="00D56EAC" w:rsidRPr="005126CF" w:rsidRDefault="00D56EAC" w:rsidP="00D56EAC">
            <w:pPr>
              <w:jc w:val="both"/>
              <w:rPr>
                <w:b/>
              </w:rPr>
            </w:pPr>
          </w:p>
        </w:tc>
      </w:tr>
      <w:tr w:rsidR="00D56EAC" w:rsidRPr="005126CF" w14:paraId="16F0A93E" w14:textId="77777777" w:rsidTr="00D40A59">
        <w:trPr>
          <w:trHeight w:val="423"/>
        </w:trPr>
        <w:tc>
          <w:tcPr>
            <w:tcW w:w="1702" w:type="dxa"/>
            <w:vMerge/>
            <w:shd w:val="clear" w:color="auto" w:fill="auto"/>
          </w:tcPr>
          <w:p w14:paraId="5D167B89" w14:textId="77777777" w:rsidR="00D56EAC" w:rsidRPr="005126CF" w:rsidRDefault="00D56EAC" w:rsidP="00D56EAC">
            <w:pPr>
              <w:jc w:val="both"/>
            </w:pPr>
          </w:p>
        </w:tc>
        <w:tc>
          <w:tcPr>
            <w:tcW w:w="8080" w:type="dxa"/>
            <w:shd w:val="clear" w:color="auto" w:fill="auto"/>
          </w:tcPr>
          <w:p w14:paraId="428E2F97" w14:textId="77777777" w:rsidR="00D56EAC" w:rsidRPr="005126CF" w:rsidRDefault="00D56EAC" w:rsidP="003B1836">
            <w:pPr>
              <w:ind w:firstLine="39"/>
              <w:jc w:val="both"/>
            </w:pPr>
            <w:r w:rsidRPr="005126CF">
              <w:t xml:space="preserve">2. Projektu siūlomo 12(2) punkto nuostatos nėra suderintos su Lietuvos Respublikos Vyriausybės darbo reglamento, patvirtinto Lietuvos Respublikos </w:t>
            </w:r>
            <w:r w:rsidRPr="005126CF">
              <w:lastRenderedPageBreak/>
              <w:t xml:space="preserve">Vyriausybės 1994 m. rugpjūčio      11 d. nutarimu Nr. 728 „Dėl Lietuvos Respublikos Vyriausybės darbo reglamento patvirtinimo“ (toliau – Reglamentas), 31 punktu. Be to, Projektu siūlomame 12(2) punkte nuostatos dėl konsultacijų su visuomene suponuoja, kad konsultacijos su visuomene iš esmės yra konsultacijos su suinteresuotais asmenimis (fiziniai asmenys, asociacijos, nevyriausybinės organizacijos, profesinės sąjungos, valstybės ir savivaldybių institucijos ir įstaigos, ir kiti subjektai, kuriuos tiesiogiai ar netiesiogiai paveiks ar gali paveikti teisės akto projekte numatomas teisinis reguliavimas). Abejotina, ar Projektu siūlomas 12(2) punktas atitinka Lietuvos Respublikos teisėkūros pagrindų įstatymo (toliau - TPĮ) 2 straipsnio 2 dalies ir 7 straipsnio nuostatas dėl konsultavimosi su visuomene ir nepagrįstai nesusiaurina įstatymo nustatytos konsultavimosi su visuomene sąvokos apimties.  </w:t>
            </w:r>
          </w:p>
        </w:tc>
        <w:tc>
          <w:tcPr>
            <w:tcW w:w="5386" w:type="dxa"/>
            <w:shd w:val="clear" w:color="auto" w:fill="auto"/>
          </w:tcPr>
          <w:p w14:paraId="63C49CE7"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Atsižvelgta iš dalies.</w:t>
            </w:r>
          </w:p>
          <w:p w14:paraId="6B682F6F" w14:textId="631D535F"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 xml:space="preserve">Patikslintas Reglamento 31 p., suvienodinant su </w:t>
            </w:r>
            <w:r w:rsidRPr="005126CF">
              <w:rPr>
                <w:rFonts w:ascii="Times New Roman" w:hAnsi="Times New Roman"/>
                <w:bCs/>
                <w:sz w:val="24"/>
                <w:szCs w:val="24"/>
              </w:rPr>
              <w:lastRenderedPageBreak/>
              <w:t>12</w:t>
            </w:r>
            <w:r w:rsidRPr="005126CF">
              <w:rPr>
                <w:rFonts w:ascii="Times New Roman" w:hAnsi="Times New Roman"/>
                <w:bCs/>
                <w:sz w:val="24"/>
                <w:szCs w:val="24"/>
                <w:vertAlign w:val="superscript"/>
              </w:rPr>
              <w:t>1</w:t>
            </w:r>
            <w:r w:rsidR="006126AA" w:rsidRPr="005126CF">
              <w:rPr>
                <w:rFonts w:ascii="Times New Roman" w:hAnsi="Times New Roman"/>
                <w:bCs/>
                <w:sz w:val="24"/>
                <w:szCs w:val="24"/>
                <w:vertAlign w:val="superscript"/>
              </w:rPr>
              <w:t> </w:t>
            </w:r>
            <w:r w:rsidRPr="005126CF">
              <w:rPr>
                <w:rFonts w:ascii="Times New Roman" w:hAnsi="Times New Roman"/>
                <w:bCs/>
                <w:sz w:val="24"/>
                <w:szCs w:val="24"/>
              </w:rPr>
              <w:t>p. nuostatomis. Projekto rengėjas atsižvelgdamas į konsultacijų efektyvumo ir proporcingumo principus, pats pasirenka konkrečiai konsultacijai tinkamus suinteresuotus asmenis ar jų grupes, neapsiribojant Reglamento 12</w:t>
            </w:r>
            <w:r w:rsidRPr="005126CF">
              <w:rPr>
                <w:rFonts w:ascii="Times New Roman" w:hAnsi="Times New Roman"/>
                <w:bCs/>
                <w:sz w:val="24"/>
                <w:szCs w:val="24"/>
                <w:vertAlign w:val="superscript"/>
              </w:rPr>
              <w:t>1</w:t>
            </w:r>
            <w:r w:rsidRPr="005126CF">
              <w:rPr>
                <w:rFonts w:ascii="Times New Roman" w:hAnsi="Times New Roman"/>
                <w:bCs/>
                <w:sz w:val="24"/>
                <w:szCs w:val="24"/>
              </w:rPr>
              <w:t xml:space="preserve"> p. įvardintu sąrašu.</w:t>
            </w:r>
          </w:p>
        </w:tc>
      </w:tr>
      <w:tr w:rsidR="00D56EAC" w:rsidRPr="005126CF" w14:paraId="14842AAE" w14:textId="77777777" w:rsidTr="00D40A59">
        <w:trPr>
          <w:trHeight w:val="423"/>
        </w:trPr>
        <w:tc>
          <w:tcPr>
            <w:tcW w:w="1702" w:type="dxa"/>
            <w:vMerge/>
            <w:shd w:val="clear" w:color="auto" w:fill="auto"/>
          </w:tcPr>
          <w:p w14:paraId="29996300" w14:textId="77777777" w:rsidR="00D56EAC" w:rsidRPr="005126CF" w:rsidRDefault="00D56EAC" w:rsidP="00D56EAC">
            <w:pPr>
              <w:jc w:val="both"/>
            </w:pPr>
          </w:p>
        </w:tc>
        <w:tc>
          <w:tcPr>
            <w:tcW w:w="8080" w:type="dxa"/>
            <w:shd w:val="clear" w:color="auto" w:fill="auto"/>
          </w:tcPr>
          <w:p w14:paraId="7C77C8AB" w14:textId="77777777" w:rsidR="00D56EAC" w:rsidRPr="005126CF" w:rsidRDefault="00D56EAC" w:rsidP="003B1836">
            <w:pPr>
              <w:ind w:firstLine="39"/>
              <w:jc w:val="both"/>
            </w:pPr>
            <w:r w:rsidRPr="005126CF">
              <w:t>3. TPĮ 5 straipsnio 2 dalies 4 punkte numatyta, kad Lietuvos Respublikos Seimo kanceliarijos teisės aktų informacinėje sistemoje (toliau – TAIS) skelbiama informacija apie konsultavimąsi su visuomene, įskaitant konsultavimosi laiką, būdą, rezultatus. Todėl siūlome atitinkamai tikslinti Projektu siūlomą 12(2) punktą, numatant, kad konsultacijos su visuomene vykdomos ne tik per portalo „Mano vyriausybė“ interneto svetainę „E. pilietis“, bet ir per TAIS. Siūlome įvertinti technines galimybes palengvinti informacijos talpinimą į dvi informacines sistemas, siekiant taupyti darbo laiko išteklius.</w:t>
            </w:r>
          </w:p>
        </w:tc>
        <w:tc>
          <w:tcPr>
            <w:tcW w:w="5386" w:type="dxa"/>
            <w:shd w:val="clear" w:color="auto" w:fill="auto"/>
          </w:tcPr>
          <w:p w14:paraId="12C135B8"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1A5A47E0" w14:textId="3DAD8E1E"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Patikslintame Reglamento 12</w:t>
            </w:r>
            <w:r w:rsidRPr="005126CF">
              <w:rPr>
                <w:rFonts w:ascii="Times New Roman" w:hAnsi="Times New Roman"/>
                <w:bCs/>
                <w:sz w:val="24"/>
                <w:szCs w:val="24"/>
                <w:vertAlign w:val="superscript"/>
              </w:rPr>
              <w:t>1</w:t>
            </w:r>
            <w:r w:rsidRPr="005126CF">
              <w:rPr>
                <w:rFonts w:ascii="Times New Roman" w:hAnsi="Times New Roman"/>
                <w:bCs/>
                <w:sz w:val="24"/>
                <w:szCs w:val="24"/>
              </w:rPr>
              <w:t xml:space="preserve"> p. nurodoma, </w:t>
            </w:r>
            <w:r w:rsidR="003B1836" w:rsidRPr="005126CF">
              <w:rPr>
                <w:rFonts w:ascii="Times New Roman" w:hAnsi="Times New Roman"/>
                <w:bCs/>
                <w:sz w:val="24"/>
                <w:szCs w:val="24"/>
              </w:rPr>
              <w:t>kad</w:t>
            </w:r>
            <w:r w:rsidRPr="005126CF">
              <w:rPr>
                <w:rFonts w:ascii="Times New Roman" w:hAnsi="Times New Roman"/>
                <w:bCs/>
                <w:sz w:val="24"/>
                <w:szCs w:val="24"/>
              </w:rPr>
              <w:t xml:space="preserve"> konsultacijos gali būti skelbiamos ir (arba) vykdomos ir portalo „Mano vyriausybė“ interneto svetainėje „E. pilietis“. Vadovaujantis konsultavimosi proporcingumo ir efektyvumo principais, teisėkūros iniciatyvos, teisės akto projekto ar kito sprendimo projekto rengėjas įvertintų tikslingumą konsultacijas viešinti ir (arba) vykdyti svetainėje „E. pilietis“, jos nedubliuojant su Seimo kanceliarijos teisės aktų informacinėje sistemoje skelbiama informacija.</w:t>
            </w:r>
          </w:p>
        </w:tc>
      </w:tr>
      <w:tr w:rsidR="00D56EAC" w:rsidRPr="005126CF" w14:paraId="33183173" w14:textId="77777777" w:rsidTr="00D40A59">
        <w:trPr>
          <w:trHeight w:val="423"/>
        </w:trPr>
        <w:tc>
          <w:tcPr>
            <w:tcW w:w="1702" w:type="dxa"/>
            <w:vMerge/>
            <w:shd w:val="clear" w:color="auto" w:fill="auto"/>
          </w:tcPr>
          <w:p w14:paraId="189592C3" w14:textId="77777777" w:rsidR="00D56EAC" w:rsidRPr="005126CF" w:rsidRDefault="00D56EAC" w:rsidP="00D56EAC">
            <w:pPr>
              <w:jc w:val="both"/>
            </w:pPr>
          </w:p>
        </w:tc>
        <w:tc>
          <w:tcPr>
            <w:tcW w:w="8080" w:type="dxa"/>
            <w:shd w:val="clear" w:color="auto" w:fill="auto"/>
          </w:tcPr>
          <w:p w14:paraId="3D2C0826" w14:textId="77777777" w:rsidR="00D56EAC" w:rsidRPr="005126CF" w:rsidRDefault="00D56EAC" w:rsidP="003B1836">
            <w:pPr>
              <w:jc w:val="both"/>
            </w:pPr>
            <w:r w:rsidRPr="005126CF">
              <w:t xml:space="preserve">5. Projektu siūloma 16 punkto antroji pastraipa numato: „Teisės taikymo aktų ir teisės aktų, kuriuose yra valstybės ar tarnybos paslaptį, taip pat komercinę paslaptį sudarančios informacijos, ar kuriuose yra konfidencialios informacijos pagal Lietuvos Respublikos nacionaliniam saugumui užtikrinti svarbių objektų apsaugos įstatymą ar kitus įstatymus (toliau – komercinė paslaptis) ar asmens duomenų, kurių viešinimas neatitiktų Reglamento (ES) 2016/679 reikalavimų (toliau – asmens duomenys), projektai rengiami Reglamento nustatyta tvarka, </w:t>
            </w:r>
            <w:proofErr w:type="spellStart"/>
            <w:r w:rsidRPr="005126CF">
              <w:rPr>
                <w:i/>
                <w:iCs/>
              </w:rPr>
              <w:t>mutatis</w:t>
            </w:r>
            <w:proofErr w:type="spellEnd"/>
            <w:r w:rsidRPr="005126CF">
              <w:rPr>
                <w:i/>
                <w:iCs/>
              </w:rPr>
              <w:t xml:space="preserve"> </w:t>
            </w:r>
            <w:proofErr w:type="spellStart"/>
            <w:r w:rsidRPr="005126CF">
              <w:rPr>
                <w:i/>
                <w:iCs/>
              </w:rPr>
              <w:t>mutandis</w:t>
            </w:r>
            <w:proofErr w:type="spellEnd"/>
            <w:r w:rsidRPr="005126CF">
              <w:t xml:space="preserve"> taikant Teisėkūros pagrindų įstatymo nuostatas.“ Atkreipiame dėmesį, kad TPĮ (įskaitant ir 1 straipsnio 5 dalį) nenumato TPĮ taikymo išimčių rengimui teisės aktų, kuriuose yra komercinę paslaptį sudarančios informacijos, ar kuriuose yra konfidencialios informacijos pagal Lietuvos Respublikos nacionaliniam saugumui užtikrinti svarbių objektų apsaugos įstatymą ar kitus </w:t>
            </w:r>
            <w:r w:rsidRPr="005126CF">
              <w:lastRenderedPageBreak/>
              <w:t>įstatymus ar asmens duomenų,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Manytina, kad tiek ši Projektu siūlomo 16 punkto antroji pastraipa, tiek ir kitos susijusios Projekto nuostatos prieštarauja TPĮ. Be to, neaišku, ar Projektu siūlomo 16 punkto antroji pastraipa, tiek ir kitos susijusios Projekto nuostatos yra visiškai suderinamos su TPĮ 3 straipsnio 2 dalyje įtvirtintu teisėkūros principu: „4)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teisinio reguliavimo stebėseną atliekantys subjektai“.        </w:t>
            </w:r>
          </w:p>
        </w:tc>
        <w:tc>
          <w:tcPr>
            <w:tcW w:w="5386" w:type="dxa"/>
            <w:shd w:val="clear" w:color="auto" w:fill="auto"/>
          </w:tcPr>
          <w:p w14:paraId="34B898B6"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Atsižvelgta iš dalies</w:t>
            </w:r>
          </w:p>
          <w:p w14:paraId="7F4F169F" w14:textId="753DCDB8"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 xml:space="preserve">Reglamento 16 p. patikslintas pagal Teisingumo ir Krašto apsaugos ministerijų pastabas. </w:t>
            </w:r>
          </w:p>
          <w:p w14:paraId="1C2460A6" w14:textId="77777777"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Reglamentas įgyvendina ne tik Teisėkūros pagrindų įstatymą , bet ir kitus įstatymus.</w:t>
            </w:r>
          </w:p>
          <w:p w14:paraId="5D417451" w14:textId="77145FD1" w:rsidR="00D56EAC" w:rsidRPr="005126CF" w:rsidRDefault="00D56EAC" w:rsidP="00D56EAC">
            <w:pPr>
              <w:pStyle w:val="Paprastasistekstas"/>
              <w:jc w:val="both"/>
              <w:rPr>
                <w:rFonts w:ascii="Times New Roman" w:hAnsi="Times New Roman"/>
                <w:bCs/>
                <w:sz w:val="24"/>
                <w:szCs w:val="24"/>
              </w:rPr>
            </w:pPr>
            <w:r w:rsidRPr="005126CF">
              <w:rPr>
                <w:rFonts w:ascii="Times New Roman" w:eastAsia="Times New Roman" w:hAnsi="Times New Roman"/>
                <w:sz w:val="24"/>
                <w:szCs w:val="24"/>
                <w:lang w:eastAsia="lt-LT"/>
              </w:rPr>
              <w:t xml:space="preserve">Pažymėtina, kad Ministro Pirmininko pavedimu įformintu Vyriausybės kanclerio 2018-12-03 pavedimu Nr. S-4225 yra pavesta Krašto apsaugos ministerijai kartu su Vidaus reikalų, Ūkio ir Susisiekimo ministerijomis  įvertinti elektroninės informacijos ir kitos su kibernetiniu saugumu  susijusios informacijos teikimo pareiškėjams  teisinį </w:t>
            </w:r>
            <w:r w:rsidRPr="005126CF">
              <w:rPr>
                <w:rFonts w:ascii="Times New Roman" w:eastAsia="Times New Roman" w:hAnsi="Times New Roman"/>
                <w:sz w:val="24"/>
                <w:szCs w:val="24"/>
                <w:lang w:eastAsia="lt-LT"/>
              </w:rPr>
              <w:lastRenderedPageBreak/>
              <w:t>reglamentavimą ir poreikį keisti teisės aktų projektus, o prireikus juos parengti bei pateikti Vyriausybei svarstyti.</w:t>
            </w:r>
          </w:p>
        </w:tc>
      </w:tr>
      <w:tr w:rsidR="00D56EAC" w:rsidRPr="005126CF" w14:paraId="4E9F8AEA" w14:textId="77777777" w:rsidTr="00D40A59">
        <w:trPr>
          <w:trHeight w:val="423"/>
        </w:trPr>
        <w:tc>
          <w:tcPr>
            <w:tcW w:w="1702" w:type="dxa"/>
            <w:vMerge/>
            <w:shd w:val="clear" w:color="auto" w:fill="auto"/>
          </w:tcPr>
          <w:p w14:paraId="422DE371" w14:textId="77777777" w:rsidR="00D56EAC" w:rsidRPr="005126CF" w:rsidRDefault="00D56EAC" w:rsidP="00D56EAC">
            <w:pPr>
              <w:jc w:val="both"/>
            </w:pPr>
          </w:p>
        </w:tc>
        <w:tc>
          <w:tcPr>
            <w:tcW w:w="8080" w:type="dxa"/>
            <w:shd w:val="clear" w:color="auto" w:fill="auto"/>
          </w:tcPr>
          <w:p w14:paraId="757B37A5" w14:textId="77777777" w:rsidR="00D56EAC" w:rsidRPr="005126CF" w:rsidRDefault="00D56EAC" w:rsidP="003B1836">
            <w:pPr>
              <w:ind w:firstLine="39"/>
              <w:jc w:val="both"/>
            </w:pPr>
            <w:r w:rsidRPr="005126CF">
              <w:t>6. Projektu siūlomame 21.2 papunktyje nurodoma, kad „sprendžiama problema argumentuojama duomenimis, siūlomo sprendimo įgyvendinimo kaštai ir nauda, pagrindžiami atliktais kiekybiniais ir (ar) kokybiniais vertinimais“. Pažymime, kad lydraštyje nėra pateikta išsamesnių gairių dėl šios nuostatos įgyvendinimo, todėl neaišku, ar įgyvendinant šią nuostatą bus pasiekti reguliavimo tikslai.</w:t>
            </w:r>
          </w:p>
        </w:tc>
        <w:tc>
          <w:tcPr>
            <w:tcW w:w="5386" w:type="dxa"/>
            <w:shd w:val="clear" w:color="auto" w:fill="auto"/>
          </w:tcPr>
          <w:p w14:paraId="6F226DB0" w14:textId="20CC0B3E" w:rsidR="00D56EAC" w:rsidRPr="005126CF" w:rsidRDefault="00D40A59"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w:t>
            </w:r>
            <w:r w:rsidR="00D56EAC" w:rsidRPr="005126CF">
              <w:rPr>
                <w:rFonts w:ascii="Times New Roman" w:hAnsi="Times New Roman"/>
                <w:b/>
                <w:bCs/>
                <w:sz w:val="24"/>
                <w:szCs w:val="24"/>
              </w:rPr>
              <w:t>eatsižvelgta</w:t>
            </w:r>
          </w:p>
          <w:p w14:paraId="1312ADBB" w14:textId="554353C7"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Žiūrėti argumentus, pateiktus prie Socialinės apsaugos ir darbo ministerijos pastabos Nr. 7, taip pat Susisiekimo ministerijos pastabos Nr. 2</w:t>
            </w:r>
          </w:p>
        </w:tc>
      </w:tr>
      <w:tr w:rsidR="00D56EAC" w:rsidRPr="005126CF" w14:paraId="3B077991" w14:textId="77777777" w:rsidTr="00D40A59">
        <w:trPr>
          <w:trHeight w:val="423"/>
        </w:trPr>
        <w:tc>
          <w:tcPr>
            <w:tcW w:w="1702" w:type="dxa"/>
            <w:vMerge/>
            <w:shd w:val="clear" w:color="auto" w:fill="auto"/>
          </w:tcPr>
          <w:p w14:paraId="59A124BF" w14:textId="77777777" w:rsidR="00D56EAC" w:rsidRPr="005126CF" w:rsidRDefault="00D56EAC" w:rsidP="00D56EAC">
            <w:pPr>
              <w:jc w:val="both"/>
            </w:pPr>
          </w:p>
        </w:tc>
        <w:tc>
          <w:tcPr>
            <w:tcW w:w="8080" w:type="dxa"/>
            <w:shd w:val="clear" w:color="auto" w:fill="auto"/>
          </w:tcPr>
          <w:p w14:paraId="160BA940" w14:textId="77777777" w:rsidR="00D56EAC" w:rsidRPr="005126CF" w:rsidRDefault="00D56EAC" w:rsidP="003B1836">
            <w:pPr>
              <w:jc w:val="both"/>
            </w:pPr>
            <w:r w:rsidRPr="005126CF">
              <w:t>7. Siūlome atsisakyti Projekte nuostatų dėl konsultacijų su visuomene tikslo nurodymo (pavyzdžiui, Projektu siūlomi 21.8, 38.4 papunkčiai), nes konsultacijų su visuomene tikslas yra apibrėžtas TPĮ 7 straipsnio 1 dalyje.</w:t>
            </w:r>
          </w:p>
        </w:tc>
        <w:tc>
          <w:tcPr>
            <w:tcW w:w="5386" w:type="dxa"/>
            <w:shd w:val="clear" w:color="auto" w:fill="auto"/>
          </w:tcPr>
          <w:p w14:paraId="5868CB60"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474EF485" w14:textId="77777777"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Teikime Vyriausybei siūloma nurodyti ne Teisėkūros pagrindų įstatyme apibrėžtą konsultavimosi su visuomene tikslą, tačiau konkretų klausimą/uždavinį dėl kurio buvo vykdoma konsultacija su visuomene.</w:t>
            </w:r>
          </w:p>
        </w:tc>
      </w:tr>
      <w:tr w:rsidR="00D56EAC" w:rsidRPr="005126CF" w14:paraId="495E4A67" w14:textId="77777777" w:rsidTr="00D40A59">
        <w:trPr>
          <w:trHeight w:val="423"/>
        </w:trPr>
        <w:tc>
          <w:tcPr>
            <w:tcW w:w="1702" w:type="dxa"/>
            <w:vMerge/>
            <w:shd w:val="clear" w:color="auto" w:fill="auto"/>
          </w:tcPr>
          <w:p w14:paraId="28CF950E" w14:textId="77777777" w:rsidR="00D56EAC" w:rsidRPr="005126CF" w:rsidRDefault="00D56EAC" w:rsidP="00D56EAC">
            <w:pPr>
              <w:jc w:val="both"/>
            </w:pPr>
          </w:p>
        </w:tc>
        <w:tc>
          <w:tcPr>
            <w:tcW w:w="8080" w:type="dxa"/>
            <w:shd w:val="clear" w:color="auto" w:fill="auto"/>
          </w:tcPr>
          <w:p w14:paraId="3E960AB6" w14:textId="77777777" w:rsidR="00D56EAC" w:rsidRPr="005126CF" w:rsidRDefault="00D56EAC" w:rsidP="003B1836">
            <w:pPr>
              <w:jc w:val="both"/>
            </w:pPr>
            <w:r w:rsidRPr="005126CF">
              <w:t xml:space="preserve">8. Atsižvelgiant į Projektu siūlomos 27 punkto ketvirtosios pastraipos nuostatą, kuri numato ilgesnį terminą konsultacijoms su visuomene, nei derinimui su suinteresuotomis institucijomis, svarstytinas ir Lietuvos Respublikos teisingumo ministro 2013 m. gruodžio 27 d. įsakymo Nr. 1R-312 „Dėl Teisės aktų informacinės sistemos naudojimo teisėkūrai tvarkos aprašo patvirtinimo“ tikslinimo poreikis, siekiant aiškiau aptarti galimybę TAIS nustatyti skirtingus terminus konsultacijoms su visuomene ir derinimui su suinteresuotomis </w:t>
            </w:r>
            <w:r w:rsidRPr="005126CF">
              <w:lastRenderedPageBreak/>
              <w:t>institucijomis. Atitinkamai siūlome svarstyti galimybę Projekte nurodyti atskirą įsigaliojimo terminą tų nuostatų, kurioms įgyvendinti reikia priimti kitus teisės aktus.</w:t>
            </w:r>
          </w:p>
        </w:tc>
        <w:tc>
          <w:tcPr>
            <w:tcW w:w="5386" w:type="dxa"/>
            <w:shd w:val="clear" w:color="auto" w:fill="auto"/>
          </w:tcPr>
          <w:p w14:paraId="1DF86685" w14:textId="4E7832A3"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1D25ACAE" w14:textId="3FC39FDD" w:rsidR="00D56EAC" w:rsidRPr="005126CF" w:rsidRDefault="00D56EAC" w:rsidP="00D56EAC">
            <w:pPr>
              <w:pStyle w:val="Paprastasistekstas"/>
              <w:jc w:val="both"/>
              <w:rPr>
                <w:rFonts w:ascii="Times New Roman" w:hAnsi="Times New Roman"/>
                <w:b/>
                <w:bCs/>
                <w:color w:val="FF0000"/>
                <w:sz w:val="24"/>
                <w:szCs w:val="24"/>
              </w:rPr>
            </w:pPr>
            <w:r w:rsidRPr="005126CF">
              <w:rPr>
                <w:rFonts w:ascii="Times New Roman" w:hAnsi="Times New Roman"/>
                <w:sz w:val="24"/>
                <w:szCs w:val="24"/>
              </w:rPr>
              <w:t xml:space="preserve">Pastaboje nurodytas Teisės aktų informacinės sistemos naudojimo teisėkūrai tvarkos aprašas nenustato konsultacijoms su visuomene ir derinimui su suinteresuotomis institucijomis terminų, nes tai yra ne šio teisės akto reguliavimo dalykas, todėl minėtu aspektu šio aprašo keisti nereikės. Taigi ir </w:t>
            </w:r>
            <w:r w:rsidRPr="005126CF">
              <w:rPr>
                <w:rFonts w:ascii="Times New Roman" w:hAnsi="Times New Roman"/>
                <w:sz w:val="24"/>
                <w:szCs w:val="24"/>
              </w:rPr>
              <w:lastRenderedPageBreak/>
              <w:t>įsigaliojimo termino nustatymas yra netikslingas.</w:t>
            </w:r>
          </w:p>
        </w:tc>
      </w:tr>
      <w:tr w:rsidR="00D56EAC" w:rsidRPr="005126CF" w14:paraId="4BD43764" w14:textId="77777777" w:rsidTr="00D40A59">
        <w:trPr>
          <w:trHeight w:val="423"/>
        </w:trPr>
        <w:tc>
          <w:tcPr>
            <w:tcW w:w="1702" w:type="dxa"/>
            <w:vMerge/>
            <w:shd w:val="clear" w:color="auto" w:fill="auto"/>
          </w:tcPr>
          <w:p w14:paraId="41593E4A" w14:textId="77777777" w:rsidR="00D56EAC" w:rsidRPr="005126CF" w:rsidRDefault="00D56EAC" w:rsidP="00D56EAC">
            <w:pPr>
              <w:jc w:val="both"/>
            </w:pPr>
          </w:p>
        </w:tc>
        <w:tc>
          <w:tcPr>
            <w:tcW w:w="8080" w:type="dxa"/>
            <w:shd w:val="clear" w:color="auto" w:fill="auto"/>
          </w:tcPr>
          <w:p w14:paraId="17B773CD" w14:textId="77777777" w:rsidR="00D56EAC" w:rsidRPr="005126CF" w:rsidRDefault="00D56EAC" w:rsidP="003B1836">
            <w:pPr>
              <w:jc w:val="both"/>
            </w:pPr>
            <w:r w:rsidRPr="005126CF">
              <w:t>9. Svarstytina, ar Projektu siūlomame 28 punkte nebūtų tikslinga nurodyti atvejus, kai teikiami Europos Sąjungos teisės aktus perkeliantys ar įgyvendinantys teisės aktų projektai, ir būtina užtikrinti perkėlimą ar įgyvendinimą nustatytais terminais. Be to, siūlome atsisakyti Projektu siūlomo 28 punkto pirmojoje pastraipoje žodžių „dėl nenumatytų aplinkybių“ kaip perteklinių.</w:t>
            </w:r>
          </w:p>
        </w:tc>
        <w:tc>
          <w:tcPr>
            <w:tcW w:w="5386" w:type="dxa"/>
            <w:shd w:val="clear" w:color="auto" w:fill="auto"/>
          </w:tcPr>
          <w:p w14:paraId="615C2980"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Neatsižvelgta</w:t>
            </w:r>
          </w:p>
          <w:p w14:paraId="27B10FBC" w14:textId="25CEAA93" w:rsidR="00D56EAC" w:rsidRPr="005126CF" w:rsidRDefault="00D56EAC" w:rsidP="00D56EAC">
            <w:pPr>
              <w:pStyle w:val="Default"/>
              <w:jc w:val="both"/>
              <w:rPr>
                <w:rFonts w:ascii="Times New Roman" w:hAnsi="Times New Roman" w:cs="Times New Roman"/>
              </w:rPr>
            </w:pPr>
            <w:r w:rsidRPr="005126CF">
              <w:rPr>
                <w:rFonts w:ascii="Times New Roman" w:hAnsi="Times New Roman" w:cs="Times New Roman"/>
                <w:bCs/>
                <w:lang w:eastAsia="lt-LT"/>
              </w:rPr>
              <w:t xml:space="preserve">Valstybės kontrolės valstybinio audito ataskaitoje „Teisėkūros procesas“ konstatuota, </w:t>
            </w:r>
            <w:r w:rsidRPr="005126CF">
              <w:rPr>
                <w:rFonts w:ascii="Times New Roman" w:hAnsi="Times New Roman" w:cs="Times New Roman"/>
              </w:rPr>
              <w:t xml:space="preserve">kad vėluojama parengti teisės aktus, kuriais ES direktyvos perkeliamos į nacionalinę teisę, nes institucijos per vėlai pradeda juos rengti ir, kad ydinga praktika šiuos projektus teikti Seimui svarstyti skubos tvarka. Valstybės kontrolė pateikė rekomendaciją Vyriausybei – nustatyti priemones, kurios užtikrintų teisės aktų, kuriais nacionalinė teisės sistema derinama su ES teise, parengimą laiku. Įgyvendinant šią rekomendaciją buvo </w:t>
            </w:r>
            <w:r w:rsidRPr="005126CF">
              <w:rPr>
                <w:rFonts w:ascii="Times New Roman" w:hAnsi="Times New Roman" w:cs="Times New Roman"/>
                <w:lang w:eastAsia="lt-LT"/>
              </w:rPr>
              <w:t xml:space="preserve">parengtas </w:t>
            </w:r>
            <w:r w:rsidRPr="005126CF">
              <w:rPr>
                <w:rFonts w:ascii="Times New Roman" w:hAnsi="Times New Roman" w:cs="Times New Roman"/>
              </w:rPr>
              <w:t>Europos Sąjungos reikalų koordinavimo taisyklių, patvirtintų Lietuvos Respublikos Vyriausybės 2004</w:t>
            </w:r>
            <w:r w:rsidR="00D40A59" w:rsidRPr="005126CF">
              <w:rPr>
                <w:rFonts w:ascii="Times New Roman" w:hAnsi="Times New Roman" w:cs="Times New Roman"/>
              </w:rPr>
              <w:t> </w:t>
            </w:r>
            <w:r w:rsidRPr="005126CF">
              <w:rPr>
                <w:rFonts w:ascii="Times New Roman" w:hAnsi="Times New Roman" w:cs="Times New Roman"/>
              </w:rPr>
              <w:t>m. sausio 9 d. nutarimu Nr. 21 pakeitimas, kuriuo pavesta institucijoms planuoti ne tik įstatymo projekto pateikimą Vyriausybei ir Seimui, bet ir jo pateikimo derinti suinteresuotoms institucijoms terminą, kuris turi būti ne vėlesnis nei 2 mėn. iki numatomo įstatymo projekto pateikimo Vyriausybei svarstyti. Kartu pažymėtina, kad dauguma atveju laikotarpis, per kurį valstybė narė turi suderinti nacionalinės teisės aktus nustatomas proporcingai pakankamas – 1,5-2</w:t>
            </w:r>
            <w:r w:rsidR="00D40A59" w:rsidRPr="005126CF">
              <w:rPr>
                <w:rFonts w:ascii="Times New Roman" w:hAnsi="Times New Roman" w:cs="Times New Roman"/>
              </w:rPr>
              <w:t> </w:t>
            </w:r>
            <w:r w:rsidRPr="005126CF">
              <w:rPr>
                <w:rFonts w:ascii="Times New Roman" w:hAnsi="Times New Roman" w:cs="Times New Roman"/>
              </w:rPr>
              <w:t xml:space="preserve">metai. Todėl ES teisės aktus perkeliančių ar įgyvendinančių teisės aktų projektų teikimas išvadoms gauti skubos tvarka vertintinas kaip negatyvi ir netinkama praktika. </w:t>
            </w:r>
          </w:p>
          <w:p w14:paraId="73E24DEB" w14:textId="4EB558EB"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sz w:val="24"/>
                <w:szCs w:val="24"/>
              </w:rPr>
              <w:t>Žodžiai „dėl nenumatytų aplinkybių“ tiesiogiai koreliuoja su kituose Reglamento punktuose įtvirtinamu teisėkūros planavimo principu, todėl turi likti.</w:t>
            </w:r>
          </w:p>
        </w:tc>
      </w:tr>
      <w:tr w:rsidR="00D56EAC" w:rsidRPr="005126CF" w14:paraId="546967C0" w14:textId="77777777" w:rsidTr="00D40A59">
        <w:trPr>
          <w:trHeight w:val="423"/>
        </w:trPr>
        <w:tc>
          <w:tcPr>
            <w:tcW w:w="1702" w:type="dxa"/>
            <w:vMerge/>
            <w:shd w:val="clear" w:color="auto" w:fill="auto"/>
          </w:tcPr>
          <w:p w14:paraId="644A1F83" w14:textId="77777777" w:rsidR="00D56EAC" w:rsidRPr="005126CF" w:rsidRDefault="00D56EAC" w:rsidP="00D56EAC">
            <w:pPr>
              <w:jc w:val="both"/>
            </w:pPr>
          </w:p>
        </w:tc>
        <w:tc>
          <w:tcPr>
            <w:tcW w:w="8080" w:type="dxa"/>
            <w:shd w:val="clear" w:color="auto" w:fill="auto"/>
          </w:tcPr>
          <w:p w14:paraId="0AA7D403" w14:textId="77777777" w:rsidR="00D56EAC" w:rsidRPr="005126CF" w:rsidRDefault="00D56EAC" w:rsidP="003B1836">
            <w:pPr>
              <w:ind w:firstLine="39"/>
              <w:jc w:val="both"/>
            </w:pPr>
            <w:bookmarkStart w:id="6" w:name="_Hlk5799106"/>
            <w:r w:rsidRPr="005126CF">
              <w:t xml:space="preserve">12. Atsižvelgiant į tai, kad Projektu siekiama įgyvendinti </w:t>
            </w:r>
            <w:bookmarkStart w:id="7" w:name="_Hlk2329095"/>
            <w:r w:rsidRPr="005126CF">
              <w:t>Reglament</w:t>
            </w:r>
            <w:bookmarkEnd w:id="7"/>
            <w:r w:rsidRPr="005126CF">
              <w:t xml:space="preserve">o (ES) </w:t>
            </w:r>
            <w:r w:rsidRPr="005126CF">
              <w:lastRenderedPageBreak/>
              <w:t>2016/679 nuostatas, atkreipiame dėmesį į Reglamento (ES) 2016/679 6 straipsnio 3 dalies 2 pastraipos nuostatas, kurios, manytina, nėra visiškai įgyvendintos šiuo Projektu. Taip pat svarstytina, ar tinkamai įvertintos Projektu siūlomame 140(2) punkte nurodytų asmens duomenų tvarkymo teisėtumo sąlygos, neaišku, ar šių asmens duomenų tvarkymas yra siejamas su asmens sutikimu tvarkyti šiuos duomenis.</w:t>
            </w:r>
            <w:bookmarkEnd w:id="6"/>
          </w:p>
        </w:tc>
        <w:tc>
          <w:tcPr>
            <w:tcW w:w="5386" w:type="dxa"/>
            <w:shd w:val="clear" w:color="auto" w:fill="auto"/>
          </w:tcPr>
          <w:p w14:paraId="6916DEFF" w14:textId="1F5D0768"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Atsižvelgta iš dalies</w:t>
            </w:r>
          </w:p>
          <w:p w14:paraId="637D2E63" w14:textId="1566528E"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lastRenderedPageBreak/>
              <w:t xml:space="preserve">Patikslintos nuostatos atsižvelgiant į Valstybinės asmens duomenų inspekcijos pastabas ir manome, </w:t>
            </w:r>
            <w:r w:rsidRPr="005126CF">
              <w:rPr>
                <w:rFonts w:ascii="Times New Roman" w:hAnsi="Times New Roman"/>
                <w:sz w:val="24"/>
                <w:szCs w:val="24"/>
              </w:rPr>
              <w:t xml:space="preserve">Reglamento (ES) 2016/679 6 straipsnio 3 dalies 2 pastraipos nuostatos įgyvendintos pakankamai ir </w:t>
            </w:r>
            <w:r w:rsidRPr="005126CF">
              <w:rPr>
                <w:rFonts w:ascii="Times New Roman" w:hAnsi="Times New Roman"/>
                <w:bCs/>
                <w:sz w:val="24"/>
                <w:szCs w:val="24"/>
              </w:rPr>
              <w:t>Reglamento 140</w:t>
            </w:r>
            <w:r w:rsidRPr="005126CF">
              <w:rPr>
                <w:rFonts w:ascii="Times New Roman" w:hAnsi="Times New Roman"/>
                <w:bCs/>
                <w:sz w:val="24"/>
                <w:szCs w:val="24"/>
                <w:vertAlign w:val="superscript"/>
              </w:rPr>
              <w:t xml:space="preserve">2 </w:t>
            </w:r>
            <w:r w:rsidRPr="005126CF">
              <w:rPr>
                <w:rFonts w:ascii="Times New Roman" w:hAnsi="Times New Roman"/>
                <w:bCs/>
                <w:sz w:val="24"/>
                <w:szCs w:val="24"/>
              </w:rPr>
              <w:t>punkto nuostatos patikslintos pagal šios institucijos 6 pastabą.</w:t>
            </w:r>
          </w:p>
        </w:tc>
      </w:tr>
      <w:tr w:rsidR="00D56EAC" w:rsidRPr="005126CF" w14:paraId="0F6C2D7A" w14:textId="77777777" w:rsidTr="00D40A59">
        <w:trPr>
          <w:trHeight w:val="423"/>
        </w:trPr>
        <w:tc>
          <w:tcPr>
            <w:tcW w:w="1702" w:type="dxa"/>
            <w:vMerge/>
            <w:shd w:val="clear" w:color="auto" w:fill="auto"/>
          </w:tcPr>
          <w:p w14:paraId="6ABE1E25" w14:textId="77777777" w:rsidR="00D56EAC" w:rsidRPr="005126CF" w:rsidRDefault="00D56EAC" w:rsidP="00D56EAC">
            <w:pPr>
              <w:jc w:val="both"/>
            </w:pPr>
          </w:p>
        </w:tc>
        <w:tc>
          <w:tcPr>
            <w:tcW w:w="8080" w:type="dxa"/>
            <w:shd w:val="clear" w:color="auto" w:fill="auto"/>
          </w:tcPr>
          <w:p w14:paraId="79082F09" w14:textId="77777777" w:rsidR="00D56EAC" w:rsidRPr="005126CF" w:rsidRDefault="00D56EAC" w:rsidP="003B1836">
            <w:pPr>
              <w:ind w:firstLine="39"/>
              <w:jc w:val="both"/>
            </w:pPr>
            <w:r w:rsidRPr="005126CF">
              <w:t>13. Siūlome tikslinti kai kurias Projekto nuostatas juridinės technikos ir redakciniu požiūriu. Reglamente turėtų būti nuosekliai vartojama sutrumpinta sąvoka „rengėjas“. Projektu siūlomos 11 punkto antrosios pastraipos nuostatas siūlytina formuluoti kaip atskirą punktą.</w:t>
            </w:r>
          </w:p>
          <w:p w14:paraId="317AA8D9" w14:textId="77777777" w:rsidR="00D56EAC" w:rsidRPr="005126CF" w:rsidRDefault="00D56EAC" w:rsidP="00D56EAC">
            <w:pPr>
              <w:ind w:firstLine="709"/>
              <w:jc w:val="both"/>
            </w:pPr>
          </w:p>
          <w:p w14:paraId="758CCA6C" w14:textId="77777777" w:rsidR="00D56EAC" w:rsidRPr="005126CF" w:rsidRDefault="00D56EAC" w:rsidP="00D56EAC">
            <w:pPr>
              <w:ind w:firstLine="709"/>
              <w:jc w:val="both"/>
            </w:pPr>
          </w:p>
          <w:p w14:paraId="39AF4645" w14:textId="77777777" w:rsidR="00D56EAC" w:rsidRPr="005126CF" w:rsidRDefault="00D56EAC" w:rsidP="00D56EAC">
            <w:pPr>
              <w:ind w:firstLine="709"/>
              <w:jc w:val="both"/>
            </w:pPr>
          </w:p>
          <w:p w14:paraId="4D16B253" w14:textId="3BCB0042" w:rsidR="00D56EAC" w:rsidRPr="005126CF" w:rsidRDefault="00D56EAC" w:rsidP="00D56EAC">
            <w:pPr>
              <w:ind w:firstLine="709"/>
              <w:jc w:val="both"/>
            </w:pPr>
          </w:p>
          <w:p w14:paraId="75D5B798" w14:textId="77777777" w:rsidR="00D40A59" w:rsidRPr="005126CF" w:rsidRDefault="00D40A59" w:rsidP="00D56EAC">
            <w:pPr>
              <w:ind w:firstLine="709"/>
              <w:jc w:val="both"/>
            </w:pPr>
          </w:p>
          <w:p w14:paraId="20EE42F2" w14:textId="77777777" w:rsidR="00D56EAC" w:rsidRPr="005126CF" w:rsidRDefault="00D56EAC" w:rsidP="00D56EAC">
            <w:pPr>
              <w:ind w:firstLine="709"/>
              <w:jc w:val="both"/>
            </w:pPr>
            <w:r w:rsidRPr="005126CF">
              <w:t>Siūlome tikslinti punktų numeraciją (pavyzdžiui, Projektu siūlomi 12(2), 21.6, 140(1)-140(5) punktai (papunktis), IX(1) skyrius), Projektu siūlomą IX(1) skyrių dėstyti kaip X skyrių. Reglamente turėtų būti nuosekliai vartojama sąvoka „numatomas teisinis reguliavimas“, kaip vartojama TPĮ. Frazės „asmens duomenys, kurių viešinimas neatitiktų Reglamento (ES) 2016/679 reikalavimų“ trumpinimas tekste „asmens duomenys“ yra klaidinantis, todėl siūlome ją tikslinti.</w:t>
            </w:r>
          </w:p>
          <w:p w14:paraId="7B1B108B" w14:textId="77777777" w:rsidR="00D56EAC" w:rsidRPr="005126CF" w:rsidRDefault="00D56EAC" w:rsidP="00D56EAC">
            <w:pPr>
              <w:ind w:firstLine="709"/>
              <w:jc w:val="both"/>
            </w:pPr>
            <w:r w:rsidRPr="005126CF">
              <w:t>Projektu siūlomame 21.2 papunktyje frazę „informacija pateikiama koncentruotai, sprendžiama problema argumentuojama duomenimis, siūlomo sprendimo įgyvendinimo kaštai ir nauda, pagrindžiami atliktais kiekybiniais ir (ar) kokybiniais vertinimais“ siūlome dėstyti atskiru papunkčio sakiniu.</w:t>
            </w:r>
          </w:p>
          <w:p w14:paraId="1A9752C7" w14:textId="56BBBBA8" w:rsidR="00D56EAC" w:rsidRPr="005126CF" w:rsidRDefault="00D56EAC" w:rsidP="00D56EAC">
            <w:pPr>
              <w:ind w:firstLine="709"/>
              <w:jc w:val="both"/>
            </w:pPr>
            <w:r w:rsidRPr="005126CF">
              <w:t>Projektu siūlomos 27 punkto ketvirtosios pastraipos frazėje „išskyrus šiame punkte“ siūlome nurodyti konkrečias punkto pastraipas.</w:t>
            </w:r>
          </w:p>
        </w:tc>
        <w:tc>
          <w:tcPr>
            <w:tcW w:w="5386" w:type="dxa"/>
            <w:shd w:val="clear" w:color="auto" w:fill="auto"/>
          </w:tcPr>
          <w:p w14:paraId="49ED8325" w14:textId="22CCCACD"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t>Atsižvelgta iš dalies</w:t>
            </w:r>
          </w:p>
          <w:p w14:paraId="37CCEC65" w14:textId="52AFAAAF" w:rsidR="00D56EAC" w:rsidRPr="005126CF" w:rsidRDefault="00D56EAC" w:rsidP="00D56EAC">
            <w:pPr>
              <w:pStyle w:val="Paprastasistekstas"/>
              <w:jc w:val="both"/>
              <w:rPr>
                <w:rFonts w:ascii="Times New Roman" w:hAnsi="Times New Roman"/>
                <w:bCs/>
                <w:sz w:val="24"/>
                <w:szCs w:val="24"/>
              </w:rPr>
            </w:pPr>
            <w:r w:rsidRPr="005126CF">
              <w:rPr>
                <w:rFonts w:ascii="Times New Roman" w:hAnsi="Times New Roman"/>
                <w:bCs/>
                <w:sz w:val="24"/>
                <w:szCs w:val="24"/>
              </w:rPr>
              <w:t>Atsižvelgiant į tai, kad Reglamento 11 p. antrąja pastraipa siekiama įtvirtinti bendrą principą, kad Vyriausybės teisėkūra yra planuojama, manome, kad tikslingiausia tai nustatyti tame pačiame punkte, kuriuo nustatoma ir Vyriausybės teisės aktų leidybos iniciatyva, kad visiems subjektams būtų aišku, kad principas dėl teisėkūros planavimo taikomas be išimties visiems.</w:t>
            </w:r>
          </w:p>
          <w:p w14:paraId="4B701896" w14:textId="5B1F7A20" w:rsidR="00D56EAC" w:rsidRPr="005126CF" w:rsidRDefault="00D40A59" w:rsidP="00D56EAC">
            <w:pPr>
              <w:pStyle w:val="Paprastasistekstas"/>
              <w:jc w:val="both"/>
              <w:rPr>
                <w:rFonts w:ascii="Times New Roman" w:hAnsi="Times New Roman"/>
                <w:bCs/>
                <w:sz w:val="24"/>
                <w:szCs w:val="24"/>
              </w:rPr>
            </w:pPr>
            <w:r w:rsidRPr="005126CF">
              <w:rPr>
                <w:rFonts w:ascii="Times New Roman" w:hAnsi="Times New Roman"/>
                <w:bCs/>
                <w:sz w:val="24"/>
                <w:szCs w:val="24"/>
              </w:rPr>
              <w:t>Redakcija patikslinta.</w:t>
            </w:r>
          </w:p>
          <w:p w14:paraId="266BFE06" w14:textId="77777777" w:rsidR="00D56EAC" w:rsidRPr="005126CF" w:rsidRDefault="00D56EAC" w:rsidP="00D56EAC">
            <w:pPr>
              <w:pStyle w:val="Paprastasistekstas"/>
              <w:jc w:val="both"/>
              <w:rPr>
                <w:rFonts w:ascii="Times New Roman" w:hAnsi="Times New Roman"/>
                <w:bCs/>
                <w:sz w:val="24"/>
                <w:szCs w:val="24"/>
              </w:rPr>
            </w:pPr>
          </w:p>
          <w:p w14:paraId="300B0A89" w14:textId="77777777" w:rsidR="00D56EAC" w:rsidRPr="005126CF" w:rsidRDefault="00D56EAC" w:rsidP="00D56EAC">
            <w:pPr>
              <w:pStyle w:val="Paprastasistekstas"/>
              <w:jc w:val="both"/>
              <w:rPr>
                <w:rFonts w:ascii="Times New Roman" w:hAnsi="Times New Roman"/>
                <w:bCs/>
                <w:sz w:val="24"/>
                <w:szCs w:val="24"/>
              </w:rPr>
            </w:pPr>
          </w:p>
          <w:p w14:paraId="42A5C09E" w14:textId="77777777" w:rsidR="00D56EAC" w:rsidRPr="005126CF" w:rsidRDefault="00D56EAC" w:rsidP="00D56EAC">
            <w:pPr>
              <w:pStyle w:val="Paprastasistekstas"/>
              <w:jc w:val="both"/>
              <w:rPr>
                <w:rFonts w:ascii="Times New Roman" w:hAnsi="Times New Roman"/>
                <w:bCs/>
                <w:sz w:val="24"/>
                <w:szCs w:val="24"/>
              </w:rPr>
            </w:pPr>
          </w:p>
          <w:p w14:paraId="3A4F4DE5" w14:textId="04729BAD" w:rsidR="00D56EAC" w:rsidRPr="005126CF" w:rsidRDefault="00D56EAC" w:rsidP="00D56EAC">
            <w:pPr>
              <w:pStyle w:val="Paprastasistekstas"/>
              <w:jc w:val="both"/>
              <w:rPr>
                <w:rFonts w:ascii="Times New Roman" w:hAnsi="Times New Roman"/>
                <w:bCs/>
                <w:sz w:val="24"/>
                <w:szCs w:val="24"/>
              </w:rPr>
            </w:pPr>
          </w:p>
        </w:tc>
      </w:tr>
      <w:tr w:rsidR="00D56EAC" w:rsidRPr="005126CF" w14:paraId="5BF547FB" w14:textId="77777777" w:rsidTr="00D40A59">
        <w:trPr>
          <w:trHeight w:val="831"/>
        </w:trPr>
        <w:tc>
          <w:tcPr>
            <w:tcW w:w="1702" w:type="dxa"/>
            <w:vMerge/>
            <w:shd w:val="clear" w:color="auto" w:fill="auto"/>
          </w:tcPr>
          <w:p w14:paraId="36B41EA0" w14:textId="77777777" w:rsidR="00D56EAC" w:rsidRPr="005126CF" w:rsidRDefault="00D56EAC" w:rsidP="00D56EAC">
            <w:pPr>
              <w:jc w:val="both"/>
            </w:pPr>
          </w:p>
        </w:tc>
        <w:tc>
          <w:tcPr>
            <w:tcW w:w="8080" w:type="dxa"/>
            <w:shd w:val="clear" w:color="auto" w:fill="auto"/>
          </w:tcPr>
          <w:p w14:paraId="3707A07D" w14:textId="77777777" w:rsidR="00D56EAC" w:rsidRPr="005126CF" w:rsidRDefault="00D56EAC" w:rsidP="00DB7E74">
            <w:pPr>
              <w:jc w:val="both"/>
            </w:pPr>
            <w:r w:rsidRPr="005126CF">
              <w:t xml:space="preserve">15. Taip pat teikiame siūlymą, tiesiogiai nesusijusį su Projektu siūlomais pakeitimais. Reglamento 97 punkto antrojoje pastraipoje nurodoma, kad „jeigu iki Vyriausybės posėdžio per TAIS ar Vyriausybės posėdyje buvo pasiūlytos konkrečios naujos teisės akto projekto nuostatos ir teisės akto projektas, atsižvelgiant į pasiūlymus, priimtas su naujomis teisės akto projekto nuostatomis, toks teisės aktas teikiamas pasirašyti atitinkamos valdymo srities ministrui ir Ministrui Pirmininkui tik patikslintas pagal šiuos pasiūlymus. Tokį teisės aktą </w:t>
            </w:r>
            <w:r w:rsidRPr="005126CF">
              <w:lastRenderedPageBreak/>
              <w:t>pagal posėdžio sprendimą (protokolą) patikslina rengėjai ne vėliau kaip per 2 darbo dienas nuo Vyriausybės posėdžio dienos. Rengėjų patikslintas teisės aktas turi būti vizuotas Reglamento 36 punkte nustatyta tvarka“. Taigi patikslintas teisės aktas, remiantis Reglamento 36 punktu, turi būti vizuojamas teisės akto projektą pateikusios institucijos teisininko. Siūlome atsisakyti nuostatos, kad tokį teisės aktą vizuoja teisės akto projektą pateikusios institucijos teisininkas, atsižvelgiant į tai, kad jis neturi tiesioginės galimybės posėdžio metu iki teisės akto priėmimo pasitikslinti dėl svarstomų teisės akto nuostatų turinio, taip pat nedalyvauja surašant posėdžio protokolą, kurio pagrindu turi būti atliekami teisės akto patikslinimai, atitinkamai negali atsakyti už galutinį teisės akto turinį, dėl kurio jau yra priimtas galutinis Vyriausybės sprendimas.</w:t>
            </w:r>
          </w:p>
        </w:tc>
        <w:tc>
          <w:tcPr>
            <w:tcW w:w="5386" w:type="dxa"/>
            <w:shd w:val="clear" w:color="auto" w:fill="auto"/>
          </w:tcPr>
          <w:p w14:paraId="60A242CB" w14:textId="77777777"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b/>
                <w:bCs/>
                <w:sz w:val="24"/>
                <w:szCs w:val="24"/>
              </w:rPr>
              <w:lastRenderedPageBreak/>
              <w:t>Neatsižvelgta</w:t>
            </w:r>
          </w:p>
          <w:p w14:paraId="3AA4B660" w14:textId="47FB1C9B" w:rsidR="00D56EAC" w:rsidRPr="005126CF" w:rsidRDefault="00D56EAC" w:rsidP="00D56EAC">
            <w:pPr>
              <w:pStyle w:val="Paprastasistekstas"/>
              <w:jc w:val="both"/>
              <w:rPr>
                <w:rFonts w:ascii="Times New Roman" w:hAnsi="Times New Roman"/>
                <w:b/>
                <w:bCs/>
                <w:sz w:val="24"/>
                <w:szCs w:val="24"/>
              </w:rPr>
            </w:pPr>
            <w:r w:rsidRPr="005126CF">
              <w:rPr>
                <w:rFonts w:ascii="Times New Roman" w:hAnsi="Times New Roman"/>
                <w:sz w:val="24"/>
                <w:szCs w:val="24"/>
              </w:rPr>
              <w:t xml:space="preserve">Nurodyti argumentai nepagrindžia tai, kad institucijos teisininkas neturėtų peržiūrėti (vizuoti) patikslinto teisės akto projekto, nes Vyriausybės posėdžiai transliuojami tiesiogiai, o ir reikiamą informaciją dėl teisės akto projekto tikslinimo institucijos teisininkas gali gauti iš institucijos </w:t>
            </w:r>
            <w:r w:rsidRPr="005126CF">
              <w:rPr>
                <w:rFonts w:ascii="Times New Roman" w:hAnsi="Times New Roman"/>
                <w:sz w:val="24"/>
                <w:szCs w:val="24"/>
              </w:rPr>
              <w:lastRenderedPageBreak/>
              <w:t xml:space="preserve">atstovo, dalyvaujančio Vyriausybės posėdyje, prie teisės akto projekto pridedamos medžiagos ar bendradarbiaujant su Vyriausybes kanceliarija. Siekiant užtikrinti teisės aktų projektų kokybę, teisininko dalyvavimas yra būtinas. </w:t>
            </w:r>
          </w:p>
        </w:tc>
      </w:tr>
      <w:tr w:rsidR="00D56EAC" w:rsidRPr="005126CF" w14:paraId="07EA67DB" w14:textId="77777777" w:rsidTr="00D40A59">
        <w:trPr>
          <w:trHeight w:val="423"/>
        </w:trPr>
        <w:tc>
          <w:tcPr>
            <w:tcW w:w="1702" w:type="dxa"/>
            <w:vMerge w:val="restart"/>
            <w:tcBorders>
              <w:top w:val="single" w:sz="4" w:space="0" w:color="auto"/>
            </w:tcBorders>
            <w:shd w:val="clear" w:color="auto" w:fill="auto"/>
          </w:tcPr>
          <w:p w14:paraId="6BD7507B" w14:textId="77777777" w:rsidR="00D56EAC" w:rsidRPr="005126CF" w:rsidRDefault="00D56EAC" w:rsidP="00D56EAC">
            <w:pPr>
              <w:jc w:val="both"/>
            </w:pPr>
            <w:r w:rsidRPr="005126CF">
              <w:lastRenderedPageBreak/>
              <w:t>Energetikos ministerijos 2019-03-21 išvada Nr. 19-2310</w:t>
            </w:r>
          </w:p>
        </w:tc>
        <w:tc>
          <w:tcPr>
            <w:tcW w:w="8080" w:type="dxa"/>
            <w:shd w:val="clear" w:color="auto" w:fill="auto"/>
          </w:tcPr>
          <w:p w14:paraId="3E3778E4" w14:textId="77777777" w:rsidR="00D56EAC" w:rsidRPr="005126CF" w:rsidRDefault="00D56EAC" w:rsidP="00DB7E74">
            <w:pPr>
              <w:ind w:firstLine="39"/>
              <w:jc w:val="both"/>
              <w:rPr>
                <w:lang w:val="en-US"/>
              </w:rPr>
            </w:pPr>
            <w:r w:rsidRPr="005126CF">
              <w:t>1. Projektu keičiamo Vyriausybės darbo reglamento</w:t>
            </w:r>
            <w:bookmarkStart w:id="8" w:name="_ftnref2"/>
            <w:r w:rsidRPr="005126CF">
              <w:fldChar w:fldCharType="begin"/>
            </w:r>
            <w:r w:rsidRPr="005126CF">
              <w:instrText xml:space="preserve"> HYPERLINK "https://e-seimas.lrs.lt/rs/legalact/TAN/651640804be211e98bc2ba0c0453c004/" \l "_ftn2" \o "" \t "_parent" </w:instrText>
            </w:r>
            <w:r w:rsidRPr="005126CF">
              <w:fldChar w:fldCharType="separate"/>
            </w:r>
            <w:r w:rsidRPr="005126CF">
              <w:rPr>
                <w:color w:val="0000FF"/>
                <w:u w:val="single"/>
                <w:vertAlign w:val="superscript"/>
              </w:rPr>
              <w:t>[2]</w:t>
            </w:r>
            <w:r w:rsidRPr="005126CF">
              <w:fldChar w:fldCharType="end"/>
            </w:r>
            <w:bookmarkEnd w:id="8"/>
            <w:r w:rsidRPr="005126CF">
              <w:t xml:space="preserve"> (toliau – Reglamentas) 10</w:t>
            </w:r>
            <w:r w:rsidRPr="005126CF">
              <w:rPr>
                <w:vertAlign w:val="superscript"/>
              </w:rPr>
              <w:t>2</w:t>
            </w:r>
            <w:r w:rsidRPr="005126CF">
              <w:t xml:space="preserve"> punkte siūloma įtvirtinti, kad </w:t>
            </w:r>
            <w:r w:rsidRPr="005126CF">
              <w:rPr>
                <w:i/>
                <w:iCs/>
              </w:rPr>
              <w:t xml:space="preserve">Ministerijų, Vyriausybės įstaigų, Vyriausybės kanceliarijos ir kitų Vyriausybei atskaitingų institucijų projektų portfelius sudaro ir tvirtina, rizikas valdo, šių portfelių įgyvendinimą prižiūri ir vertina atitinkamos institucijos vadovo sudaryta institucijos projektų portfelio komisija. </w:t>
            </w:r>
            <w:r w:rsidRPr="005126CF">
              <w:t>Pažymėtina, kad, išanalizavus galiojantį teisinį reguliavimą, nėra visiškai aiškus minėtos projektų portfelio komisijos atsakomybių turinys, šios komisijos sudarymo tvarka, tikslai. Siūlytina atitinkamai tobulinti aptariamą Reglamento punktą.</w:t>
            </w:r>
          </w:p>
          <w:p w14:paraId="7125A68E" w14:textId="77777777" w:rsidR="00D56EAC" w:rsidRPr="005126CF" w:rsidRDefault="00D56EAC" w:rsidP="00D56EAC">
            <w:pPr>
              <w:ind w:firstLine="709"/>
              <w:jc w:val="both"/>
            </w:pPr>
            <w:r w:rsidRPr="005126CF">
              <w:t>Taip pat siekiant užtikrinti tinkamą ir efektyvią minėtos komisijos veiklą, siūlytina įvertinti galimybę institucijos projektų portfelio komisiją pavesti sudaryti ne tik institucijos vadovui, bet ir institucijos vadovo įgaliotam asmeniui.</w:t>
            </w:r>
          </w:p>
        </w:tc>
        <w:tc>
          <w:tcPr>
            <w:tcW w:w="5386" w:type="dxa"/>
            <w:shd w:val="clear" w:color="auto" w:fill="auto"/>
          </w:tcPr>
          <w:p w14:paraId="0911F489" w14:textId="77777777" w:rsidR="00D56EAC" w:rsidRPr="005126CF" w:rsidRDefault="00D56EAC" w:rsidP="00D56EAC">
            <w:pPr>
              <w:jc w:val="both"/>
              <w:rPr>
                <w:b/>
              </w:rPr>
            </w:pPr>
            <w:r w:rsidRPr="005126CF">
              <w:rPr>
                <w:b/>
              </w:rPr>
              <w:t>Neatsižvelgta</w:t>
            </w:r>
          </w:p>
          <w:p w14:paraId="10DEE4A5" w14:textId="2F89C72B" w:rsidR="00D56EAC" w:rsidRPr="005126CF" w:rsidRDefault="00D56EAC" w:rsidP="00D56EAC">
            <w:pPr>
              <w:pStyle w:val="Paprastasistekstas"/>
              <w:spacing w:line="320" w:lineRule="atLeast"/>
              <w:jc w:val="both"/>
              <w:rPr>
                <w:rFonts w:ascii="Times New Roman" w:eastAsia="Times New Roman" w:hAnsi="Times New Roman"/>
                <w:bCs/>
                <w:sz w:val="24"/>
                <w:szCs w:val="24"/>
                <w:lang w:eastAsia="lt-LT"/>
              </w:rPr>
            </w:pPr>
            <w:r w:rsidRPr="005126CF">
              <w:rPr>
                <w:rFonts w:ascii="Times New Roman" w:eastAsia="Times New Roman" w:hAnsi="Times New Roman"/>
                <w:bCs/>
                <w:sz w:val="24"/>
                <w:szCs w:val="24"/>
                <w:lang w:eastAsia="lt-LT"/>
              </w:rPr>
              <w:t>Numatoma, kad šias nuostatas detalizuos atskiras Vyriausybės nutarimas, kurį numatyta patvirtinti iki 2019 m. rugsėjo 1 d.</w:t>
            </w:r>
          </w:p>
          <w:p w14:paraId="4C738CB9" w14:textId="6825B15C" w:rsidR="00D56EAC" w:rsidRPr="005126CF" w:rsidRDefault="00D56EAC" w:rsidP="00D56EAC">
            <w:pPr>
              <w:jc w:val="both"/>
              <w:rPr>
                <w:b/>
              </w:rPr>
            </w:pPr>
          </w:p>
        </w:tc>
      </w:tr>
      <w:tr w:rsidR="00D56EAC" w:rsidRPr="005126CF" w14:paraId="138441B2" w14:textId="77777777" w:rsidTr="00D40A59">
        <w:trPr>
          <w:trHeight w:val="423"/>
        </w:trPr>
        <w:tc>
          <w:tcPr>
            <w:tcW w:w="1702" w:type="dxa"/>
            <w:vMerge/>
            <w:tcBorders>
              <w:top w:val="single" w:sz="4" w:space="0" w:color="auto"/>
            </w:tcBorders>
            <w:shd w:val="clear" w:color="auto" w:fill="auto"/>
          </w:tcPr>
          <w:p w14:paraId="469EFD72" w14:textId="77777777" w:rsidR="00D56EAC" w:rsidRPr="005126CF" w:rsidRDefault="00D56EAC" w:rsidP="00D56EAC">
            <w:pPr>
              <w:jc w:val="both"/>
            </w:pPr>
          </w:p>
        </w:tc>
        <w:tc>
          <w:tcPr>
            <w:tcW w:w="8080" w:type="dxa"/>
            <w:shd w:val="clear" w:color="auto" w:fill="auto"/>
          </w:tcPr>
          <w:p w14:paraId="5C6DE3CA" w14:textId="77777777" w:rsidR="00D56EAC" w:rsidRPr="005126CF" w:rsidRDefault="00D56EAC" w:rsidP="00DB7E74">
            <w:pPr>
              <w:ind w:firstLine="39"/>
              <w:jc w:val="both"/>
              <w:rPr>
                <w:lang w:val="en-US"/>
              </w:rPr>
            </w:pPr>
            <w:r w:rsidRPr="005126CF">
              <w:t>2. Siūlytina suvienodinti Reglamento 12</w:t>
            </w:r>
            <w:r w:rsidRPr="005126CF">
              <w:rPr>
                <w:vertAlign w:val="superscript"/>
              </w:rPr>
              <w:t>2</w:t>
            </w:r>
            <w:r w:rsidRPr="005126CF">
              <w:t xml:space="preserve"> punkto, kuriame nurodyta, kad </w:t>
            </w:r>
            <w:r w:rsidRPr="005126CF">
              <w:rPr>
                <w:i/>
                <w:iCs/>
              </w:rPr>
              <w:t xml:space="preserve">Dėl teisės aktų projektų teisės akto projekto </w:t>
            </w:r>
            <w:r w:rsidRPr="005126CF">
              <w:rPr>
                <w:i/>
                <w:iCs/>
                <w:u w:val="single"/>
              </w:rPr>
              <w:t>rengėjo sprendimu</w:t>
            </w:r>
            <w:r w:rsidRPr="005126CF">
              <w:rPr>
                <w:i/>
                <w:iCs/>
              </w:rPr>
              <w:t xml:space="preserve"> atsižvelgiant į Teisėkūros pagrindų įstatymo 7 straipsnio nuostatas konsultuojamasi su visuomene</w:t>
            </w:r>
            <w:r w:rsidRPr="005126CF">
              <w:t xml:space="preserve"> ir Reglamento 17 punkto, kuriame nurodyta, kad </w:t>
            </w:r>
            <w:r w:rsidRPr="005126CF">
              <w:rPr>
                <w:i/>
                <w:iCs/>
              </w:rPr>
              <w:t xml:space="preserve">Teisės akto projektą rengianti institucija, Vyriausybės komisija ar darbo grupė (toliau – rengėjas) </w:t>
            </w:r>
            <w:r w:rsidRPr="005126CF">
              <w:rPr>
                <w:i/>
                <w:iCs/>
                <w:u w:val="single"/>
              </w:rPr>
              <w:t>turi užtikrinti</w:t>
            </w:r>
            <w:r w:rsidRPr="005126CF">
              <w:rPr>
                <w:i/>
                <w:iCs/>
              </w:rPr>
              <w:t xml:space="preserve"> &lt;...&gt; konsultavimąsi su visuomene </w:t>
            </w:r>
            <w:r w:rsidRPr="005126CF">
              <w:t>nuostatas</w:t>
            </w:r>
            <w:r w:rsidRPr="005126CF">
              <w:rPr>
                <w:i/>
                <w:iCs/>
              </w:rPr>
              <w:t xml:space="preserve">. </w:t>
            </w:r>
          </w:p>
          <w:p w14:paraId="74960811" w14:textId="77777777" w:rsidR="00D56EAC" w:rsidRPr="005126CF" w:rsidRDefault="00D56EAC" w:rsidP="00D56EAC">
            <w:pPr>
              <w:ind w:firstLine="709"/>
              <w:jc w:val="both"/>
              <w:rPr>
                <w:lang w:val="en-US"/>
              </w:rPr>
            </w:pPr>
            <w:r w:rsidRPr="005126CF">
              <w:t xml:space="preserve">Atsižvelgiant į tai, kad vartojama formuluotė </w:t>
            </w:r>
            <w:r w:rsidRPr="005126CF">
              <w:rPr>
                <w:i/>
                <w:iCs/>
              </w:rPr>
              <w:t xml:space="preserve">rengėjo sprendimu </w:t>
            </w:r>
            <w:r w:rsidRPr="005126CF">
              <w:t>nėra visiškai aiški, siūlytina įvertinti galimybę Reglamentą papildyti nuostatomis, kuriose būtų aptariami atvejai, kada konsultacijos su visuomene yra privalomos.</w:t>
            </w:r>
          </w:p>
          <w:p w14:paraId="3AC07C2C" w14:textId="77777777" w:rsidR="00D56EAC" w:rsidRPr="005126CF" w:rsidRDefault="00D56EAC" w:rsidP="00D56EAC">
            <w:pPr>
              <w:ind w:firstLine="709"/>
              <w:jc w:val="both"/>
            </w:pPr>
          </w:p>
          <w:p w14:paraId="0568718A" w14:textId="77777777" w:rsidR="00D56EAC" w:rsidRPr="005126CF" w:rsidRDefault="00D56EAC" w:rsidP="00D56EAC">
            <w:pPr>
              <w:ind w:firstLine="709"/>
              <w:jc w:val="both"/>
            </w:pPr>
          </w:p>
          <w:p w14:paraId="0F8A2779" w14:textId="77777777" w:rsidR="00D56EAC" w:rsidRPr="005126CF" w:rsidRDefault="00D56EAC" w:rsidP="00D56EAC">
            <w:pPr>
              <w:ind w:firstLine="709"/>
              <w:jc w:val="both"/>
              <w:rPr>
                <w:lang w:val="en-US"/>
              </w:rPr>
            </w:pPr>
            <w:r w:rsidRPr="005126CF">
              <w:t xml:space="preserve">Taip pat pažymėtina, kad Lietuvos Respublikos teisėkūros pagrindų įstatymo 5 straipsnio 2 dalies 4 punkte įtvirtinta, kad </w:t>
            </w:r>
            <w:r w:rsidRPr="005126CF">
              <w:rPr>
                <w:color w:val="000000"/>
              </w:rPr>
              <w:t xml:space="preserve">Teisės aktų informacinėje </w:t>
            </w:r>
            <w:r w:rsidRPr="005126CF">
              <w:rPr>
                <w:color w:val="000000"/>
              </w:rPr>
              <w:lastRenderedPageBreak/>
              <w:t>sistemoje (TAIS) tvarkoma ir skelbiama informacija apie konsultavimąsi su visuomene, įskaitant konsultavimosi laiką, būdą, rezultatus. Siekiant išvengti administracinės naštos institucijoms didėjimo, siūlytina įvertinti informacijos apie konsultavimąsi su visuomene skelbimo tikslingumą dviejuose šaltiniuose – TAIS ir portalo „Mano Vyriausybė“ interneto svetainėje „E. pilietis“.</w:t>
            </w:r>
          </w:p>
          <w:p w14:paraId="526688B0" w14:textId="77777777" w:rsidR="00D56EAC" w:rsidRPr="005126CF" w:rsidRDefault="00D56EAC" w:rsidP="00D56EAC">
            <w:pPr>
              <w:ind w:firstLine="709"/>
              <w:jc w:val="both"/>
              <w:rPr>
                <w:color w:val="000000"/>
              </w:rPr>
            </w:pPr>
            <w:r w:rsidRPr="005126CF">
              <w:rPr>
                <w:color w:val="000000"/>
              </w:rPr>
              <w:t>Papildomai pažymėtina, kad Teisėkūros pagrindų įstatymo 7 straipsnio 1 dalyje apibrėžtas konsultavimosi su visuomene tikslas</w:t>
            </w:r>
            <w:bookmarkStart w:id="9" w:name="_ftnref3"/>
            <w:r w:rsidRPr="005126CF">
              <w:rPr>
                <w:color w:val="000000"/>
              </w:rPr>
              <w:fldChar w:fldCharType="begin"/>
            </w:r>
            <w:r w:rsidRPr="005126CF">
              <w:rPr>
                <w:color w:val="000000"/>
              </w:rPr>
              <w:instrText xml:space="preserve"> HYPERLINK "https://e-seimas.lrs.lt/rs/legalact/TAN/651640804be211e98bc2ba0c0453c004/" \l "_ftn3" \o "" \t "_parent" </w:instrText>
            </w:r>
            <w:r w:rsidRPr="005126CF">
              <w:rPr>
                <w:color w:val="000000"/>
              </w:rPr>
              <w:fldChar w:fldCharType="separate"/>
            </w:r>
            <w:r w:rsidRPr="005126CF">
              <w:rPr>
                <w:color w:val="000000"/>
                <w:u w:val="single"/>
                <w:vertAlign w:val="superscript"/>
              </w:rPr>
              <w:t>[3]</w:t>
            </w:r>
            <w:r w:rsidRPr="005126CF">
              <w:rPr>
                <w:color w:val="000000"/>
              </w:rPr>
              <w:fldChar w:fldCharType="end"/>
            </w:r>
            <w:bookmarkEnd w:id="9"/>
            <w:r w:rsidRPr="005126CF">
              <w:rPr>
                <w:color w:val="000000"/>
              </w:rPr>
              <w:t>, todėl siekiant efektyvinti ir supaprastinti teisėkūros procesus, abejotina, ar tikslinga teisės aktų projektų lydimuosiuose dokumentuose pakartotinai įvardyti konsultavimosi su visuomene tikslą, kuris jau apibrėžtas minėtame įstatyme (Reglamento 21.8 ir 38.4 papunkčiai).</w:t>
            </w:r>
          </w:p>
        </w:tc>
        <w:tc>
          <w:tcPr>
            <w:tcW w:w="5386" w:type="dxa"/>
            <w:shd w:val="clear" w:color="auto" w:fill="auto"/>
          </w:tcPr>
          <w:p w14:paraId="4296A885" w14:textId="2671D910" w:rsidR="00D56EAC" w:rsidRPr="005126CF" w:rsidRDefault="00D56EAC" w:rsidP="00D56EAC">
            <w:pPr>
              <w:jc w:val="both"/>
              <w:rPr>
                <w:b/>
              </w:rPr>
            </w:pPr>
            <w:r w:rsidRPr="005126CF">
              <w:rPr>
                <w:b/>
              </w:rPr>
              <w:lastRenderedPageBreak/>
              <w:t>Atsižvelgta iš dalies</w:t>
            </w:r>
          </w:p>
          <w:p w14:paraId="28CBD554" w14:textId="77777777" w:rsidR="00D56EAC" w:rsidRPr="005126CF" w:rsidRDefault="00D56EAC" w:rsidP="00D56EAC">
            <w:pPr>
              <w:jc w:val="both"/>
            </w:pPr>
            <w:r w:rsidRPr="005126CF">
              <w:t>Atsisakyta „rengėjo sprendimu“.</w:t>
            </w:r>
          </w:p>
          <w:p w14:paraId="2EC3B748" w14:textId="77777777" w:rsidR="00D56EAC" w:rsidRPr="005126CF" w:rsidRDefault="00D56EAC" w:rsidP="00D56EAC">
            <w:pPr>
              <w:jc w:val="both"/>
            </w:pPr>
          </w:p>
          <w:p w14:paraId="255B0EBD" w14:textId="77777777" w:rsidR="00D56EAC" w:rsidRPr="005126CF" w:rsidRDefault="00D56EAC" w:rsidP="00D56EAC">
            <w:pPr>
              <w:jc w:val="both"/>
            </w:pPr>
          </w:p>
          <w:p w14:paraId="31512A60" w14:textId="77777777" w:rsidR="00D56EAC" w:rsidRPr="005126CF" w:rsidRDefault="00D56EAC" w:rsidP="00D56EAC">
            <w:pPr>
              <w:jc w:val="both"/>
            </w:pPr>
          </w:p>
          <w:p w14:paraId="522FCF8D" w14:textId="77777777" w:rsidR="00D56EAC" w:rsidRPr="005126CF" w:rsidRDefault="00D56EAC" w:rsidP="00D56EAC">
            <w:pPr>
              <w:jc w:val="both"/>
            </w:pPr>
          </w:p>
          <w:p w14:paraId="4F1E3488" w14:textId="5AC0EF78" w:rsidR="00D56EAC" w:rsidRPr="005126CF" w:rsidRDefault="00D56EAC" w:rsidP="00D56EAC">
            <w:pPr>
              <w:jc w:val="both"/>
            </w:pPr>
            <w:r w:rsidRPr="005126CF">
              <w:t>Teisėkūros pagrindų įstatymo 7 str</w:t>
            </w:r>
            <w:r w:rsidR="00D40A59" w:rsidRPr="005126CF">
              <w:t xml:space="preserve">. </w:t>
            </w:r>
            <w:r w:rsidRPr="005126CF">
              <w:t>2 d</w:t>
            </w:r>
            <w:r w:rsidR="00D40A59" w:rsidRPr="005126CF">
              <w:t>.</w:t>
            </w:r>
            <w:r w:rsidRPr="005126CF">
              <w:t xml:space="preserve"> nustatyta, jog su visuomene turi būti konsultuojamasi laiku ir dėl esminių klausimų (konsultavimosi efektyvumas), taip pat tiek, kiek yra būtina (konsultavimosi proporcingumas).</w:t>
            </w:r>
          </w:p>
          <w:p w14:paraId="4447AAF6" w14:textId="16A4B2FD" w:rsidR="00D56EAC" w:rsidRPr="005126CF" w:rsidRDefault="00D56EAC" w:rsidP="00D56EAC">
            <w:pPr>
              <w:jc w:val="both"/>
            </w:pPr>
            <w:r w:rsidRPr="005126CF">
              <w:t xml:space="preserve">Nesiūloma svetainėje E. pilietis teikti informaciją apie konsultacijas dėl teisės akto projektų, paskelbtų </w:t>
            </w:r>
            <w:r w:rsidRPr="005126CF">
              <w:lastRenderedPageBreak/>
              <w:t>Seimo kanceliarijos teisės aktų informacinėje sistemoje. Šioje svetainėje galėtų būti viešinamos ir vykdomos tos konsultacijos su visuomene, kurios vykdomos dar prieš teisės akto projekto parengimą.</w:t>
            </w:r>
          </w:p>
          <w:p w14:paraId="2510E094" w14:textId="77777777" w:rsidR="00D56EAC" w:rsidRPr="005126CF" w:rsidRDefault="00D56EAC" w:rsidP="00D56EAC">
            <w:pPr>
              <w:jc w:val="both"/>
            </w:pPr>
            <w:r w:rsidRPr="005126CF">
              <w:t>Teikime Vyriausybei siūloma nurodyti ne Teisėkūros pagrindų įstatyme apibrėžtą konsultavimosi su visuomene tikslą, tačiau konkretų klausimą/uždavinį dėl kurio buvo vykdoma konsultacija su visuomene.</w:t>
            </w:r>
          </w:p>
        </w:tc>
      </w:tr>
      <w:tr w:rsidR="00D56EAC" w:rsidRPr="005126CF" w14:paraId="04129088" w14:textId="77777777" w:rsidTr="00D40A59">
        <w:trPr>
          <w:trHeight w:val="423"/>
        </w:trPr>
        <w:tc>
          <w:tcPr>
            <w:tcW w:w="1702" w:type="dxa"/>
            <w:vMerge/>
            <w:tcBorders>
              <w:top w:val="single" w:sz="4" w:space="0" w:color="auto"/>
            </w:tcBorders>
            <w:shd w:val="clear" w:color="auto" w:fill="auto"/>
          </w:tcPr>
          <w:p w14:paraId="53D8F86B" w14:textId="77777777" w:rsidR="00D56EAC" w:rsidRPr="005126CF" w:rsidRDefault="00D56EAC" w:rsidP="00D56EAC">
            <w:pPr>
              <w:jc w:val="both"/>
            </w:pPr>
          </w:p>
        </w:tc>
        <w:tc>
          <w:tcPr>
            <w:tcW w:w="8080" w:type="dxa"/>
            <w:shd w:val="clear" w:color="auto" w:fill="auto"/>
          </w:tcPr>
          <w:p w14:paraId="45BF07E6" w14:textId="77777777" w:rsidR="00D56EAC" w:rsidRPr="005126CF" w:rsidRDefault="00D56EAC" w:rsidP="00DB7E74">
            <w:pPr>
              <w:ind w:firstLine="39"/>
              <w:jc w:val="both"/>
              <w:rPr>
                <w:color w:val="000000"/>
              </w:rPr>
            </w:pPr>
            <w:r w:rsidRPr="005126CF">
              <w:rPr>
                <w:color w:val="000000"/>
              </w:rPr>
              <w:t>3. Projekto 14 punktu keičiamo Reglamento 21.2 papunktyje siūloma įtvirtinti, kad rašte, kuriuo teisės akto projekto teikiamas išvadoms gauti, turi būti nurodyti siūlomo sprendimo įgyvendinimo kaštai ir nauda, pagrindžiami atliktais kiekybiniais ir (ar) kokybiniais vertinimais. Atkreiptinas dėmesys, kad Reglamente ir lydimuosiuose dokumentuose nėra aiškiai atskleidžiamas šios nuostatos turinys, todėl siūlytina papildomai detalizuoti, kokie kiekybiniai ir (ar) kokybiniai vertinimai turi būti atlikti, kokia tokių vertinimų atlikimo tvarka.</w:t>
            </w:r>
          </w:p>
        </w:tc>
        <w:tc>
          <w:tcPr>
            <w:tcW w:w="5386" w:type="dxa"/>
            <w:shd w:val="clear" w:color="auto" w:fill="auto"/>
          </w:tcPr>
          <w:p w14:paraId="42EAB9C2" w14:textId="77777777" w:rsidR="00D56EAC" w:rsidRPr="005126CF" w:rsidRDefault="00D56EAC" w:rsidP="00D56EAC">
            <w:pPr>
              <w:jc w:val="both"/>
              <w:rPr>
                <w:b/>
                <w:bCs/>
              </w:rPr>
            </w:pPr>
            <w:r w:rsidRPr="005126CF">
              <w:rPr>
                <w:b/>
                <w:bCs/>
              </w:rPr>
              <w:t>Neatsižvelgta</w:t>
            </w:r>
          </w:p>
          <w:p w14:paraId="4C9ED307" w14:textId="41E50CA3" w:rsidR="00D56EAC" w:rsidRPr="005126CF" w:rsidRDefault="00D56EAC" w:rsidP="00D56EAC">
            <w:pPr>
              <w:jc w:val="both"/>
            </w:pPr>
            <w:r w:rsidRPr="005126CF">
              <w:rPr>
                <w:bCs/>
              </w:rPr>
              <w:t>Žiūrėti į pateiktus argumentus prie Susiekimo ministerijos pastabos Nr. 2.</w:t>
            </w:r>
          </w:p>
        </w:tc>
      </w:tr>
      <w:tr w:rsidR="00D56EAC" w:rsidRPr="005126CF" w14:paraId="0DFF7F35" w14:textId="77777777" w:rsidTr="00D40A59">
        <w:trPr>
          <w:trHeight w:val="423"/>
        </w:trPr>
        <w:tc>
          <w:tcPr>
            <w:tcW w:w="1702" w:type="dxa"/>
            <w:vMerge/>
            <w:tcBorders>
              <w:top w:val="single" w:sz="4" w:space="0" w:color="auto"/>
            </w:tcBorders>
            <w:shd w:val="clear" w:color="auto" w:fill="auto"/>
          </w:tcPr>
          <w:p w14:paraId="573F74D7" w14:textId="77777777" w:rsidR="00D56EAC" w:rsidRPr="005126CF" w:rsidRDefault="00D56EAC" w:rsidP="00D56EAC">
            <w:pPr>
              <w:jc w:val="both"/>
            </w:pPr>
          </w:p>
        </w:tc>
        <w:tc>
          <w:tcPr>
            <w:tcW w:w="8080" w:type="dxa"/>
            <w:shd w:val="clear" w:color="auto" w:fill="auto"/>
          </w:tcPr>
          <w:p w14:paraId="3872483A" w14:textId="77777777" w:rsidR="00D56EAC" w:rsidRPr="005126CF" w:rsidRDefault="00D56EAC" w:rsidP="00DB7E74">
            <w:pPr>
              <w:jc w:val="both"/>
            </w:pPr>
            <w:r w:rsidRPr="005126CF">
              <w:rPr>
                <w:color w:val="000000"/>
              </w:rPr>
              <w:t>4. Reglamento 27 punkte siūloma įtvirtinti ne trumpesnį kaip 10 darbo dienų terminą suinteresuotiems asmenims pateikti pastabas ir pasiūlymus dėl teisės aktų projektų. Pažymėtina, kad išvadas teikiantiems subjektams Reglamente nustatyti kitokie terminai, todėl siekiant teisinio reguliavimo aiškumo, siūlytina įvertinti, ar nebūtų tikslinga suvienodinti terminus išvadas teikiantiems subjektams ir suinteresuotiems asmenims.</w:t>
            </w:r>
          </w:p>
        </w:tc>
        <w:tc>
          <w:tcPr>
            <w:tcW w:w="5386" w:type="dxa"/>
            <w:shd w:val="clear" w:color="auto" w:fill="auto"/>
          </w:tcPr>
          <w:p w14:paraId="5FC09F65" w14:textId="77777777" w:rsidR="00D56EAC" w:rsidRPr="005126CF" w:rsidRDefault="00D56EAC" w:rsidP="00D56EAC">
            <w:pPr>
              <w:jc w:val="both"/>
              <w:rPr>
                <w:b/>
              </w:rPr>
            </w:pPr>
            <w:r w:rsidRPr="005126CF">
              <w:rPr>
                <w:b/>
              </w:rPr>
              <w:t>Neatsižvelgta</w:t>
            </w:r>
          </w:p>
          <w:p w14:paraId="1349B709" w14:textId="1E1B096E" w:rsidR="00D56EAC" w:rsidRPr="005126CF" w:rsidRDefault="00D56EAC" w:rsidP="00D56EAC">
            <w:pPr>
              <w:jc w:val="both"/>
            </w:pPr>
            <w:r w:rsidRPr="005126CF">
              <w:t>Žiūrėti argumentus, pateiktus prie Vidaus reikalų ministerijos pastabos Nr. 7.</w:t>
            </w:r>
          </w:p>
        </w:tc>
      </w:tr>
      <w:tr w:rsidR="00D56EAC" w:rsidRPr="005126CF" w14:paraId="7FE5197E" w14:textId="77777777" w:rsidTr="00D40A59">
        <w:trPr>
          <w:trHeight w:val="423"/>
        </w:trPr>
        <w:tc>
          <w:tcPr>
            <w:tcW w:w="1702" w:type="dxa"/>
            <w:vMerge/>
            <w:tcBorders>
              <w:top w:val="single" w:sz="4" w:space="0" w:color="auto"/>
            </w:tcBorders>
            <w:shd w:val="clear" w:color="auto" w:fill="auto"/>
          </w:tcPr>
          <w:p w14:paraId="1DBFCACE" w14:textId="77777777" w:rsidR="00D56EAC" w:rsidRPr="005126CF" w:rsidRDefault="00D56EAC" w:rsidP="00D56EAC">
            <w:pPr>
              <w:jc w:val="both"/>
            </w:pPr>
          </w:p>
        </w:tc>
        <w:tc>
          <w:tcPr>
            <w:tcW w:w="8080" w:type="dxa"/>
            <w:shd w:val="clear" w:color="auto" w:fill="auto"/>
          </w:tcPr>
          <w:p w14:paraId="61D3FD4D" w14:textId="77777777" w:rsidR="00D56EAC" w:rsidRPr="005126CF" w:rsidRDefault="00D56EAC" w:rsidP="00DB7E74">
            <w:pPr>
              <w:jc w:val="both"/>
            </w:pPr>
            <w:r w:rsidRPr="005126CF">
              <w:rPr>
                <w:color w:val="000000"/>
              </w:rPr>
              <w:t>5. Reglamento 28 punkte įtvirtinti išimtiniai atvejai, kuomet institucijos gali motyvuotai prašyti pateikti išvadas dėl teisės akto projekto skubos tvarka. Siūlytina minėtą punktą papildyti papunkčiu, kuriame būtų įtvirtintas papildomas išimtinis atvejis – kai teikiami teisės aktų projektai, kuriais siekiama laiku ir tinkamai įgyvendinti Europos Sąjungos teisės aktus.</w:t>
            </w:r>
          </w:p>
        </w:tc>
        <w:tc>
          <w:tcPr>
            <w:tcW w:w="5386" w:type="dxa"/>
            <w:shd w:val="clear" w:color="auto" w:fill="auto"/>
          </w:tcPr>
          <w:p w14:paraId="1CA96338" w14:textId="77777777" w:rsidR="00D56EAC" w:rsidRPr="005126CF" w:rsidRDefault="00D56EAC" w:rsidP="00D56EAC">
            <w:pPr>
              <w:jc w:val="both"/>
              <w:rPr>
                <w:b/>
              </w:rPr>
            </w:pPr>
            <w:r w:rsidRPr="005126CF">
              <w:rPr>
                <w:b/>
              </w:rPr>
              <w:t>Neatsižvelgta</w:t>
            </w:r>
          </w:p>
          <w:p w14:paraId="29501291" w14:textId="4BAD1560" w:rsidR="00D56EAC" w:rsidRPr="005126CF" w:rsidRDefault="00D56EAC" w:rsidP="00D56EAC">
            <w:pPr>
              <w:jc w:val="both"/>
            </w:pPr>
            <w:r w:rsidRPr="005126CF">
              <w:t>Žiūrėti argumentus, pateiktus prie Ekonomikos ir inovacijų ministerijos pastabos Nr. 9.</w:t>
            </w:r>
          </w:p>
        </w:tc>
      </w:tr>
    </w:tbl>
    <w:p w14:paraId="5922F2AE" w14:textId="77777777" w:rsidR="00B935BC" w:rsidRPr="005126CF" w:rsidRDefault="00B935BC" w:rsidP="00FC2D5B"/>
    <w:p w14:paraId="2CC4D028" w14:textId="77777777" w:rsidR="00E32932" w:rsidRPr="005126CF" w:rsidRDefault="00FF28D5" w:rsidP="00FC2D5B">
      <w:pPr>
        <w:tabs>
          <w:tab w:val="left" w:pos="12360"/>
        </w:tabs>
        <w:jc w:val="center"/>
      </w:pPr>
      <w:r w:rsidRPr="005126CF">
        <w:t>_______________________________</w:t>
      </w:r>
    </w:p>
    <w:p w14:paraId="15726B4C" w14:textId="77777777" w:rsidR="00B935BC" w:rsidRPr="005126CF" w:rsidRDefault="00B935BC" w:rsidP="00FC2D5B">
      <w:pPr>
        <w:tabs>
          <w:tab w:val="left" w:pos="12360"/>
        </w:tabs>
        <w:jc w:val="center"/>
      </w:pPr>
    </w:p>
    <w:sectPr w:rsidR="00B935BC" w:rsidRPr="005126CF" w:rsidSect="00775F3E">
      <w:headerReference w:type="default" r:id="rId9"/>
      <w:headerReference w:type="first" r:id="rId10"/>
      <w:pgSz w:w="16838" w:h="11906" w:orient="landscape"/>
      <w:pgMar w:top="136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F0C1" w14:textId="77777777" w:rsidR="00606110" w:rsidRDefault="00606110" w:rsidP="002E4284">
      <w:r>
        <w:separator/>
      </w:r>
    </w:p>
  </w:endnote>
  <w:endnote w:type="continuationSeparator" w:id="0">
    <w:p w14:paraId="2B7E9948" w14:textId="77777777" w:rsidR="00606110" w:rsidRDefault="00606110"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DC08D" w14:textId="77777777" w:rsidR="00606110" w:rsidRDefault="00606110" w:rsidP="002E4284">
      <w:r>
        <w:separator/>
      </w:r>
    </w:p>
  </w:footnote>
  <w:footnote w:type="continuationSeparator" w:id="0">
    <w:p w14:paraId="69E1DF0A" w14:textId="77777777" w:rsidR="00606110" w:rsidRDefault="00606110" w:rsidP="002E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20618"/>
      <w:docPartObj>
        <w:docPartGallery w:val="Page Numbers (Top of Page)"/>
        <w:docPartUnique/>
      </w:docPartObj>
    </w:sdtPr>
    <w:sdtEndPr/>
    <w:sdtContent>
      <w:p w14:paraId="4293A1CA" w14:textId="77777777" w:rsidR="00EC7CD5" w:rsidRDefault="00EC7CD5">
        <w:pPr>
          <w:pStyle w:val="Antrats"/>
          <w:jc w:val="center"/>
        </w:pPr>
        <w:r>
          <w:fldChar w:fldCharType="begin"/>
        </w:r>
        <w:r>
          <w:instrText>PAGE   \* MERGEFORMAT</w:instrText>
        </w:r>
        <w:r>
          <w:fldChar w:fldCharType="separate"/>
        </w:r>
        <w:r>
          <w:rPr>
            <w:noProof/>
          </w:rPr>
          <w:t>22</w:t>
        </w:r>
        <w:r>
          <w:rPr>
            <w:noProof/>
          </w:rPr>
          <w:fldChar w:fldCharType="end"/>
        </w:r>
      </w:p>
    </w:sdtContent>
  </w:sdt>
  <w:p w14:paraId="34B295C7" w14:textId="77777777" w:rsidR="00EC7CD5" w:rsidRDefault="00EC7C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B808" w14:textId="77777777" w:rsidR="00EC7CD5" w:rsidRDefault="00EC7CD5" w:rsidP="004C4A5B">
    <w:pPr>
      <w:pStyle w:val="Antrats"/>
      <w:tabs>
        <w:tab w:val="clear" w:pos="4819"/>
        <w:tab w:val="clear" w:pos="9638"/>
        <w:tab w:val="left" w:pos="3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FE5"/>
    <w:multiLevelType w:val="hybridMultilevel"/>
    <w:tmpl w:val="A02075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6C25B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00312"/>
    <w:multiLevelType w:val="hybridMultilevel"/>
    <w:tmpl w:val="D4347862"/>
    <w:lvl w:ilvl="0" w:tplc="A1D63F86">
      <w:start w:val="1"/>
      <w:numFmt w:val="decimal"/>
      <w:lvlText w:val="%1."/>
      <w:lvlJc w:val="left"/>
      <w:pPr>
        <w:ind w:left="4613"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5"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255942"/>
    <w:multiLevelType w:val="hybridMultilevel"/>
    <w:tmpl w:val="238AA9A6"/>
    <w:lvl w:ilvl="0" w:tplc="CD40BE0C">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8"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6B2929"/>
    <w:multiLevelType w:val="hybridMultilevel"/>
    <w:tmpl w:val="0894977A"/>
    <w:lvl w:ilvl="0" w:tplc="0B38E27A">
      <w:start w:val="12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237DE0"/>
    <w:multiLevelType w:val="hybridMultilevel"/>
    <w:tmpl w:val="C7E405E0"/>
    <w:lvl w:ilvl="0" w:tplc="D32A9E00">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60E68BE"/>
    <w:multiLevelType w:val="hybridMultilevel"/>
    <w:tmpl w:val="253012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6D94E90"/>
    <w:multiLevelType w:val="multilevel"/>
    <w:tmpl w:val="C9208E7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A7D1E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990C4F"/>
    <w:multiLevelType w:val="hybridMultilevel"/>
    <w:tmpl w:val="80887B4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AB53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D217DC"/>
    <w:multiLevelType w:val="hybridMultilevel"/>
    <w:tmpl w:val="44C0CB92"/>
    <w:lvl w:ilvl="0" w:tplc="9482BB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4E05F9B"/>
    <w:multiLevelType w:val="hybridMultilevel"/>
    <w:tmpl w:val="76C02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E172C7"/>
    <w:multiLevelType w:val="hybridMultilevel"/>
    <w:tmpl w:val="960CF068"/>
    <w:lvl w:ilvl="0" w:tplc="D32A9E00">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CE21890"/>
    <w:multiLevelType w:val="hybridMultilevel"/>
    <w:tmpl w:val="3AC85B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22" w15:restartNumberingAfterBreak="0">
    <w:nsid w:val="6B503C5F"/>
    <w:multiLevelType w:val="hybridMultilevel"/>
    <w:tmpl w:val="A02075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0280F09"/>
    <w:multiLevelType w:val="hybridMultilevel"/>
    <w:tmpl w:val="2996A7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26" w15:restartNumberingAfterBreak="0">
    <w:nsid w:val="7EA95DBC"/>
    <w:multiLevelType w:val="hybridMultilevel"/>
    <w:tmpl w:val="F0663E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25"/>
  </w:num>
  <w:num w:numId="4">
    <w:abstractNumId w:val="21"/>
  </w:num>
  <w:num w:numId="5">
    <w:abstractNumId w:val="4"/>
  </w:num>
  <w:num w:numId="6">
    <w:abstractNumId w:val="8"/>
  </w:num>
  <w:num w:numId="7">
    <w:abstractNumId w:val="5"/>
  </w:num>
  <w:num w:numId="8">
    <w:abstractNumId w:val="7"/>
  </w:num>
  <w:num w:numId="9">
    <w:abstractNumId w:val="18"/>
  </w:num>
  <w:num w:numId="10">
    <w:abstractNumId w:val="24"/>
  </w:num>
  <w:num w:numId="11">
    <w:abstractNumId w:val="20"/>
  </w:num>
  <w:num w:numId="12">
    <w:abstractNumId w:val="12"/>
  </w:num>
  <w:num w:numId="13">
    <w:abstractNumId w:val="2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9"/>
  </w:num>
  <w:num w:numId="18">
    <w:abstractNumId w:val="22"/>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6"/>
  </w:num>
  <w:num w:numId="23">
    <w:abstractNumId w:val="14"/>
  </w:num>
  <w:num w:numId="24">
    <w:abstractNumId w:val="6"/>
  </w:num>
  <w:num w:numId="25">
    <w:abstractNumId w:val="9"/>
  </w:num>
  <w:num w:numId="26">
    <w:abstractNumId w:val="2"/>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F8D"/>
    <w:rsid w:val="0000051C"/>
    <w:rsid w:val="00000790"/>
    <w:rsid w:val="000011B4"/>
    <w:rsid w:val="000013B4"/>
    <w:rsid w:val="00001AC5"/>
    <w:rsid w:val="00002879"/>
    <w:rsid w:val="000028A1"/>
    <w:rsid w:val="00002A34"/>
    <w:rsid w:val="00002BE5"/>
    <w:rsid w:val="00002E5D"/>
    <w:rsid w:val="00002E77"/>
    <w:rsid w:val="0000565C"/>
    <w:rsid w:val="000064BD"/>
    <w:rsid w:val="00006D11"/>
    <w:rsid w:val="000075A7"/>
    <w:rsid w:val="00007ABC"/>
    <w:rsid w:val="00010670"/>
    <w:rsid w:val="000115C7"/>
    <w:rsid w:val="00011FC0"/>
    <w:rsid w:val="00012367"/>
    <w:rsid w:val="00012EC5"/>
    <w:rsid w:val="00013E8F"/>
    <w:rsid w:val="00014B39"/>
    <w:rsid w:val="00014BF2"/>
    <w:rsid w:val="0001528E"/>
    <w:rsid w:val="00015FF4"/>
    <w:rsid w:val="000164AF"/>
    <w:rsid w:val="00016F20"/>
    <w:rsid w:val="00020225"/>
    <w:rsid w:val="00020243"/>
    <w:rsid w:val="0002368B"/>
    <w:rsid w:val="00024592"/>
    <w:rsid w:val="00025C5E"/>
    <w:rsid w:val="00025CE5"/>
    <w:rsid w:val="0003074A"/>
    <w:rsid w:val="000309DC"/>
    <w:rsid w:val="00031D17"/>
    <w:rsid w:val="0003382A"/>
    <w:rsid w:val="000345F1"/>
    <w:rsid w:val="00035DD4"/>
    <w:rsid w:val="00035F8A"/>
    <w:rsid w:val="00040442"/>
    <w:rsid w:val="00042BE3"/>
    <w:rsid w:val="00045367"/>
    <w:rsid w:val="0004576C"/>
    <w:rsid w:val="00045887"/>
    <w:rsid w:val="00051226"/>
    <w:rsid w:val="000536C3"/>
    <w:rsid w:val="00053CD7"/>
    <w:rsid w:val="00053DC7"/>
    <w:rsid w:val="0005528A"/>
    <w:rsid w:val="0005642B"/>
    <w:rsid w:val="000567ED"/>
    <w:rsid w:val="0005680B"/>
    <w:rsid w:val="0005765D"/>
    <w:rsid w:val="00061025"/>
    <w:rsid w:val="000610B3"/>
    <w:rsid w:val="000621BC"/>
    <w:rsid w:val="00062756"/>
    <w:rsid w:val="00062FCD"/>
    <w:rsid w:val="00063E89"/>
    <w:rsid w:val="00064205"/>
    <w:rsid w:val="00065021"/>
    <w:rsid w:val="00066282"/>
    <w:rsid w:val="00066404"/>
    <w:rsid w:val="00066F54"/>
    <w:rsid w:val="00067939"/>
    <w:rsid w:val="00070F29"/>
    <w:rsid w:val="00071641"/>
    <w:rsid w:val="00073EEE"/>
    <w:rsid w:val="00080158"/>
    <w:rsid w:val="00082378"/>
    <w:rsid w:val="00083A24"/>
    <w:rsid w:val="00083C0E"/>
    <w:rsid w:val="0008700B"/>
    <w:rsid w:val="00087900"/>
    <w:rsid w:val="00093526"/>
    <w:rsid w:val="00095C32"/>
    <w:rsid w:val="0009607D"/>
    <w:rsid w:val="00096F2E"/>
    <w:rsid w:val="000974E0"/>
    <w:rsid w:val="000A095C"/>
    <w:rsid w:val="000A0C9F"/>
    <w:rsid w:val="000A12E8"/>
    <w:rsid w:val="000A3FBD"/>
    <w:rsid w:val="000A52E4"/>
    <w:rsid w:val="000A5434"/>
    <w:rsid w:val="000A6AB0"/>
    <w:rsid w:val="000A72F8"/>
    <w:rsid w:val="000A742B"/>
    <w:rsid w:val="000B0385"/>
    <w:rsid w:val="000B177E"/>
    <w:rsid w:val="000B20B4"/>
    <w:rsid w:val="000B287B"/>
    <w:rsid w:val="000B2AC7"/>
    <w:rsid w:val="000B3417"/>
    <w:rsid w:val="000B4673"/>
    <w:rsid w:val="000B696B"/>
    <w:rsid w:val="000B7782"/>
    <w:rsid w:val="000B7FC4"/>
    <w:rsid w:val="000C0C95"/>
    <w:rsid w:val="000C0E1F"/>
    <w:rsid w:val="000C1BAB"/>
    <w:rsid w:val="000C22C9"/>
    <w:rsid w:val="000C2A43"/>
    <w:rsid w:val="000C306F"/>
    <w:rsid w:val="000C64F0"/>
    <w:rsid w:val="000D07B1"/>
    <w:rsid w:val="000D2098"/>
    <w:rsid w:val="000D3451"/>
    <w:rsid w:val="000D4BDC"/>
    <w:rsid w:val="000D5784"/>
    <w:rsid w:val="000D57C5"/>
    <w:rsid w:val="000D675F"/>
    <w:rsid w:val="000D70CF"/>
    <w:rsid w:val="000D711C"/>
    <w:rsid w:val="000E0627"/>
    <w:rsid w:val="000E1653"/>
    <w:rsid w:val="000E1E50"/>
    <w:rsid w:val="000E2660"/>
    <w:rsid w:val="000E2755"/>
    <w:rsid w:val="000E2C91"/>
    <w:rsid w:val="000E3914"/>
    <w:rsid w:val="000E3E92"/>
    <w:rsid w:val="000E4150"/>
    <w:rsid w:val="000E420A"/>
    <w:rsid w:val="000E625E"/>
    <w:rsid w:val="000E759C"/>
    <w:rsid w:val="000E7BC6"/>
    <w:rsid w:val="000E7F29"/>
    <w:rsid w:val="000F0794"/>
    <w:rsid w:val="000F0C3E"/>
    <w:rsid w:val="000F1797"/>
    <w:rsid w:val="000F1CB6"/>
    <w:rsid w:val="000F1E43"/>
    <w:rsid w:val="000F35C6"/>
    <w:rsid w:val="000F3E9C"/>
    <w:rsid w:val="000F41BC"/>
    <w:rsid w:val="000F42D6"/>
    <w:rsid w:val="000F4611"/>
    <w:rsid w:val="000F51B9"/>
    <w:rsid w:val="000F556B"/>
    <w:rsid w:val="000F5BE9"/>
    <w:rsid w:val="000F5FEF"/>
    <w:rsid w:val="000F6001"/>
    <w:rsid w:val="000F608C"/>
    <w:rsid w:val="000F7FAB"/>
    <w:rsid w:val="0010026B"/>
    <w:rsid w:val="00100D20"/>
    <w:rsid w:val="001015A5"/>
    <w:rsid w:val="0010235A"/>
    <w:rsid w:val="00104567"/>
    <w:rsid w:val="00104AB2"/>
    <w:rsid w:val="001059E1"/>
    <w:rsid w:val="00105BF6"/>
    <w:rsid w:val="00106994"/>
    <w:rsid w:val="0011079C"/>
    <w:rsid w:val="00110C6B"/>
    <w:rsid w:val="00110D27"/>
    <w:rsid w:val="00110F82"/>
    <w:rsid w:val="001113F0"/>
    <w:rsid w:val="001116BD"/>
    <w:rsid w:val="001134AD"/>
    <w:rsid w:val="00113FFC"/>
    <w:rsid w:val="001147B6"/>
    <w:rsid w:val="00115772"/>
    <w:rsid w:val="00116ABC"/>
    <w:rsid w:val="001200DB"/>
    <w:rsid w:val="00120655"/>
    <w:rsid w:val="00120C5D"/>
    <w:rsid w:val="00122D9A"/>
    <w:rsid w:val="00124ED9"/>
    <w:rsid w:val="00125F8F"/>
    <w:rsid w:val="00125FB2"/>
    <w:rsid w:val="0012605D"/>
    <w:rsid w:val="00127929"/>
    <w:rsid w:val="00127C2C"/>
    <w:rsid w:val="00127DBC"/>
    <w:rsid w:val="0013162A"/>
    <w:rsid w:val="00131867"/>
    <w:rsid w:val="001319F7"/>
    <w:rsid w:val="00131C3F"/>
    <w:rsid w:val="001335EB"/>
    <w:rsid w:val="001347F5"/>
    <w:rsid w:val="00134C42"/>
    <w:rsid w:val="00134FF1"/>
    <w:rsid w:val="0013599C"/>
    <w:rsid w:val="00137B76"/>
    <w:rsid w:val="0014053B"/>
    <w:rsid w:val="001409E4"/>
    <w:rsid w:val="0014146A"/>
    <w:rsid w:val="00141A73"/>
    <w:rsid w:val="00141EA8"/>
    <w:rsid w:val="00142394"/>
    <w:rsid w:val="001425BB"/>
    <w:rsid w:val="001454D2"/>
    <w:rsid w:val="00145A77"/>
    <w:rsid w:val="00146891"/>
    <w:rsid w:val="00146A62"/>
    <w:rsid w:val="00150592"/>
    <w:rsid w:val="0015138D"/>
    <w:rsid w:val="001524B4"/>
    <w:rsid w:val="00153DE0"/>
    <w:rsid w:val="00156501"/>
    <w:rsid w:val="0015699C"/>
    <w:rsid w:val="00161567"/>
    <w:rsid w:val="00161C9D"/>
    <w:rsid w:val="0016253D"/>
    <w:rsid w:val="00163749"/>
    <w:rsid w:val="00163DD6"/>
    <w:rsid w:val="001706D9"/>
    <w:rsid w:val="00170BC3"/>
    <w:rsid w:val="001718D4"/>
    <w:rsid w:val="00172059"/>
    <w:rsid w:val="00173CD4"/>
    <w:rsid w:val="00174B25"/>
    <w:rsid w:val="001750FC"/>
    <w:rsid w:val="00176155"/>
    <w:rsid w:val="001800B6"/>
    <w:rsid w:val="00182EAA"/>
    <w:rsid w:val="00185DB3"/>
    <w:rsid w:val="0018700D"/>
    <w:rsid w:val="00187089"/>
    <w:rsid w:val="0019078C"/>
    <w:rsid w:val="0019103A"/>
    <w:rsid w:val="00192C65"/>
    <w:rsid w:val="001934BA"/>
    <w:rsid w:val="001942E2"/>
    <w:rsid w:val="00194ED2"/>
    <w:rsid w:val="00196332"/>
    <w:rsid w:val="001964EC"/>
    <w:rsid w:val="00196A2F"/>
    <w:rsid w:val="0019737D"/>
    <w:rsid w:val="001A2047"/>
    <w:rsid w:val="001A2F9A"/>
    <w:rsid w:val="001A407C"/>
    <w:rsid w:val="001A4BEB"/>
    <w:rsid w:val="001A59E0"/>
    <w:rsid w:val="001A5EAB"/>
    <w:rsid w:val="001A66F1"/>
    <w:rsid w:val="001A6AAF"/>
    <w:rsid w:val="001A7D31"/>
    <w:rsid w:val="001B04C7"/>
    <w:rsid w:val="001B16CD"/>
    <w:rsid w:val="001B24ED"/>
    <w:rsid w:val="001B3A90"/>
    <w:rsid w:val="001B41A4"/>
    <w:rsid w:val="001B5079"/>
    <w:rsid w:val="001B5608"/>
    <w:rsid w:val="001B5F92"/>
    <w:rsid w:val="001B74A0"/>
    <w:rsid w:val="001B75DC"/>
    <w:rsid w:val="001C2537"/>
    <w:rsid w:val="001C35A3"/>
    <w:rsid w:val="001C4AD8"/>
    <w:rsid w:val="001C5D26"/>
    <w:rsid w:val="001C6718"/>
    <w:rsid w:val="001C7AC4"/>
    <w:rsid w:val="001C7AD3"/>
    <w:rsid w:val="001C7AFC"/>
    <w:rsid w:val="001C7D56"/>
    <w:rsid w:val="001D05E4"/>
    <w:rsid w:val="001D1998"/>
    <w:rsid w:val="001D3C52"/>
    <w:rsid w:val="001D4306"/>
    <w:rsid w:val="001D498F"/>
    <w:rsid w:val="001D6075"/>
    <w:rsid w:val="001D76D3"/>
    <w:rsid w:val="001E05ED"/>
    <w:rsid w:val="001E1CEA"/>
    <w:rsid w:val="001E53DF"/>
    <w:rsid w:val="001E544E"/>
    <w:rsid w:val="001E6346"/>
    <w:rsid w:val="001E64D8"/>
    <w:rsid w:val="001E67AF"/>
    <w:rsid w:val="001E69D1"/>
    <w:rsid w:val="001E7EB7"/>
    <w:rsid w:val="001F031D"/>
    <w:rsid w:val="001F1207"/>
    <w:rsid w:val="001F1707"/>
    <w:rsid w:val="001F18A7"/>
    <w:rsid w:val="001F1F26"/>
    <w:rsid w:val="001F2D02"/>
    <w:rsid w:val="001F2F6E"/>
    <w:rsid w:val="001F363E"/>
    <w:rsid w:val="001F4C02"/>
    <w:rsid w:val="001F5DFE"/>
    <w:rsid w:val="00200005"/>
    <w:rsid w:val="00201822"/>
    <w:rsid w:val="00202304"/>
    <w:rsid w:val="00202D34"/>
    <w:rsid w:val="00203DBD"/>
    <w:rsid w:val="0020696A"/>
    <w:rsid w:val="00206F19"/>
    <w:rsid w:val="00207526"/>
    <w:rsid w:val="00213D70"/>
    <w:rsid w:val="00214E85"/>
    <w:rsid w:val="00215394"/>
    <w:rsid w:val="00215687"/>
    <w:rsid w:val="00217860"/>
    <w:rsid w:val="00217941"/>
    <w:rsid w:val="00221954"/>
    <w:rsid w:val="00221AE5"/>
    <w:rsid w:val="0022241E"/>
    <w:rsid w:val="00222849"/>
    <w:rsid w:val="002236BF"/>
    <w:rsid w:val="00223EE2"/>
    <w:rsid w:val="002243B1"/>
    <w:rsid w:val="00224D7F"/>
    <w:rsid w:val="00224EEE"/>
    <w:rsid w:val="00224F85"/>
    <w:rsid w:val="00225F6F"/>
    <w:rsid w:val="0022743A"/>
    <w:rsid w:val="00230695"/>
    <w:rsid w:val="00231AD5"/>
    <w:rsid w:val="00231B48"/>
    <w:rsid w:val="00231E84"/>
    <w:rsid w:val="00232A80"/>
    <w:rsid w:val="002337F2"/>
    <w:rsid w:val="00233BDE"/>
    <w:rsid w:val="0024127A"/>
    <w:rsid w:val="00241B0E"/>
    <w:rsid w:val="002422B3"/>
    <w:rsid w:val="002458C5"/>
    <w:rsid w:val="00245A9A"/>
    <w:rsid w:val="0024707B"/>
    <w:rsid w:val="00247C62"/>
    <w:rsid w:val="002506E7"/>
    <w:rsid w:val="002532BF"/>
    <w:rsid w:val="00253B64"/>
    <w:rsid w:val="00254C85"/>
    <w:rsid w:val="0025541B"/>
    <w:rsid w:val="00255526"/>
    <w:rsid w:val="002555D7"/>
    <w:rsid w:val="0025581C"/>
    <w:rsid w:val="00255F23"/>
    <w:rsid w:val="00257379"/>
    <w:rsid w:val="00257FB1"/>
    <w:rsid w:val="002605AC"/>
    <w:rsid w:val="00260790"/>
    <w:rsid w:val="00260CD6"/>
    <w:rsid w:val="0026318B"/>
    <w:rsid w:val="0026665A"/>
    <w:rsid w:val="00266B7D"/>
    <w:rsid w:val="0027058E"/>
    <w:rsid w:val="00271B9B"/>
    <w:rsid w:val="002729D7"/>
    <w:rsid w:val="002734A9"/>
    <w:rsid w:val="00277B03"/>
    <w:rsid w:val="00277F11"/>
    <w:rsid w:val="0028011C"/>
    <w:rsid w:val="00280805"/>
    <w:rsid w:val="00281CDD"/>
    <w:rsid w:val="002833E5"/>
    <w:rsid w:val="00283B7D"/>
    <w:rsid w:val="00284A60"/>
    <w:rsid w:val="00284B70"/>
    <w:rsid w:val="00285755"/>
    <w:rsid w:val="002866C8"/>
    <w:rsid w:val="002921F5"/>
    <w:rsid w:val="00293976"/>
    <w:rsid w:val="002941A2"/>
    <w:rsid w:val="00294A91"/>
    <w:rsid w:val="002958CD"/>
    <w:rsid w:val="002A0167"/>
    <w:rsid w:val="002A219A"/>
    <w:rsid w:val="002A2A03"/>
    <w:rsid w:val="002A3976"/>
    <w:rsid w:val="002A4B27"/>
    <w:rsid w:val="002A6155"/>
    <w:rsid w:val="002A6203"/>
    <w:rsid w:val="002A6E6C"/>
    <w:rsid w:val="002A6EBF"/>
    <w:rsid w:val="002A70E8"/>
    <w:rsid w:val="002A719C"/>
    <w:rsid w:val="002A722E"/>
    <w:rsid w:val="002A7E97"/>
    <w:rsid w:val="002B0138"/>
    <w:rsid w:val="002B022F"/>
    <w:rsid w:val="002B20E0"/>
    <w:rsid w:val="002B3B70"/>
    <w:rsid w:val="002B4992"/>
    <w:rsid w:val="002B5C0F"/>
    <w:rsid w:val="002B6BCD"/>
    <w:rsid w:val="002B778A"/>
    <w:rsid w:val="002C15F5"/>
    <w:rsid w:val="002C1CDC"/>
    <w:rsid w:val="002C1EF9"/>
    <w:rsid w:val="002C2234"/>
    <w:rsid w:val="002C2F9C"/>
    <w:rsid w:val="002C393C"/>
    <w:rsid w:val="002C48ED"/>
    <w:rsid w:val="002C4D7A"/>
    <w:rsid w:val="002C5C46"/>
    <w:rsid w:val="002D010F"/>
    <w:rsid w:val="002D0282"/>
    <w:rsid w:val="002D1487"/>
    <w:rsid w:val="002D1684"/>
    <w:rsid w:val="002D2678"/>
    <w:rsid w:val="002D2840"/>
    <w:rsid w:val="002D38B2"/>
    <w:rsid w:val="002D3ABD"/>
    <w:rsid w:val="002D3E03"/>
    <w:rsid w:val="002D48C3"/>
    <w:rsid w:val="002D4C2D"/>
    <w:rsid w:val="002E041B"/>
    <w:rsid w:val="002E2302"/>
    <w:rsid w:val="002E4284"/>
    <w:rsid w:val="002E526E"/>
    <w:rsid w:val="002E58DA"/>
    <w:rsid w:val="002E63E6"/>
    <w:rsid w:val="002F19E4"/>
    <w:rsid w:val="002F2E6B"/>
    <w:rsid w:val="002F6FC9"/>
    <w:rsid w:val="002F7073"/>
    <w:rsid w:val="002F7A9D"/>
    <w:rsid w:val="00300CC2"/>
    <w:rsid w:val="00302D9D"/>
    <w:rsid w:val="003030A6"/>
    <w:rsid w:val="00303CE9"/>
    <w:rsid w:val="00303EC0"/>
    <w:rsid w:val="00304A10"/>
    <w:rsid w:val="00305347"/>
    <w:rsid w:val="0030567D"/>
    <w:rsid w:val="003066F8"/>
    <w:rsid w:val="00307894"/>
    <w:rsid w:val="00310C15"/>
    <w:rsid w:val="00311852"/>
    <w:rsid w:val="003121CD"/>
    <w:rsid w:val="00312281"/>
    <w:rsid w:val="003123D2"/>
    <w:rsid w:val="00313588"/>
    <w:rsid w:val="0031373E"/>
    <w:rsid w:val="0031492F"/>
    <w:rsid w:val="00315AAD"/>
    <w:rsid w:val="00316015"/>
    <w:rsid w:val="00316632"/>
    <w:rsid w:val="003172D7"/>
    <w:rsid w:val="00317B76"/>
    <w:rsid w:val="003206AD"/>
    <w:rsid w:val="00320C53"/>
    <w:rsid w:val="00320CF8"/>
    <w:rsid w:val="00322D7C"/>
    <w:rsid w:val="0032340A"/>
    <w:rsid w:val="00324450"/>
    <w:rsid w:val="00324665"/>
    <w:rsid w:val="00326225"/>
    <w:rsid w:val="00331568"/>
    <w:rsid w:val="00331FDF"/>
    <w:rsid w:val="003329F0"/>
    <w:rsid w:val="00332A08"/>
    <w:rsid w:val="00332C40"/>
    <w:rsid w:val="00333302"/>
    <w:rsid w:val="00333EA8"/>
    <w:rsid w:val="00334586"/>
    <w:rsid w:val="00335ADA"/>
    <w:rsid w:val="00337248"/>
    <w:rsid w:val="0033735F"/>
    <w:rsid w:val="003403FE"/>
    <w:rsid w:val="00340C3F"/>
    <w:rsid w:val="003417BF"/>
    <w:rsid w:val="0034261F"/>
    <w:rsid w:val="00343CF5"/>
    <w:rsid w:val="00345CCE"/>
    <w:rsid w:val="00346477"/>
    <w:rsid w:val="00347314"/>
    <w:rsid w:val="00353488"/>
    <w:rsid w:val="00354621"/>
    <w:rsid w:val="003547AD"/>
    <w:rsid w:val="00354E0E"/>
    <w:rsid w:val="0036383D"/>
    <w:rsid w:val="003666D5"/>
    <w:rsid w:val="00370664"/>
    <w:rsid w:val="0037070D"/>
    <w:rsid w:val="00370D50"/>
    <w:rsid w:val="00372FE4"/>
    <w:rsid w:val="00374F8D"/>
    <w:rsid w:val="00374FCE"/>
    <w:rsid w:val="003756AE"/>
    <w:rsid w:val="00375DDC"/>
    <w:rsid w:val="00377B5E"/>
    <w:rsid w:val="00381D7E"/>
    <w:rsid w:val="00382872"/>
    <w:rsid w:val="003902A4"/>
    <w:rsid w:val="00392DE3"/>
    <w:rsid w:val="003937FA"/>
    <w:rsid w:val="00393A5B"/>
    <w:rsid w:val="00394CCE"/>
    <w:rsid w:val="003964D6"/>
    <w:rsid w:val="003979B3"/>
    <w:rsid w:val="00397E0E"/>
    <w:rsid w:val="003A09B3"/>
    <w:rsid w:val="003A2FEB"/>
    <w:rsid w:val="003A3149"/>
    <w:rsid w:val="003A4243"/>
    <w:rsid w:val="003A47E5"/>
    <w:rsid w:val="003A5DFC"/>
    <w:rsid w:val="003A5E4C"/>
    <w:rsid w:val="003A6227"/>
    <w:rsid w:val="003B0675"/>
    <w:rsid w:val="003B1310"/>
    <w:rsid w:val="003B1392"/>
    <w:rsid w:val="003B1836"/>
    <w:rsid w:val="003B366D"/>
    <w:rsid w:val="003B4689"/>
    <w:rsid w:val="003C0F01"/>
    <w:rsid w:val="003C2154"/>
    <w:rsid w:val="003C3A38"/>
    <w:rsid w:val="003C5EC6"/>
    <w:rsid w:val="003C6352"/>
    <w:rsid w:val="003C66E8"/>
    <w:rsid w:val="003C68A3"/>
    <w:rsid w:val="003C7540"/>
    <w:rsid w:val="003D1C8B"/>
    <w:rsid w:val="003D206F"/>
    <w:rsid w:val="003D39AF"/>
    <w:rsid w:val="003D5796"/>
    <w:rsid w:val="003D611F"/>
    <w:rsid w:val="003E0492"/>
    <w:rsid w:val="003E06C6"/>
    <w:rsid w:val="003E1A2B"/>
    <w:rsid w:val="003E1C36"/>
    <w:rsid w:val="003E28B0"/>
    <w:rsid w:val="003E5136"/>
    <w:rsid w:val="003E6768"/>
    <w:rsid w:val="003E69F5"/>
    <w:rsid w:val="003E6DE6"/>
    <w:rsid w:val="003E7E84"/>
    <w:rsid w:val="003F0091"/>
    <w:rsid w:val="003F0338"/>
    <w:rsid w:val="003F1DAC"/>
    <w:rsid w:val="003F24E5"/>
    <w:rsid w:val="003F31C3"/>
    <w:rsid w:val="003F6266"/>
    <w:rsid w:val="003F7C54"/>
    <w:rsid w:val="00401998"/>
    <w:rsid w:val="00401D0E"/>
    <w:rsid w:val="004028C1"/>
    <w:rsid w:val="00403388"/>
    <w:rsid w:val="00404034"/>
    <w:rsid w:val="00405D5C"/>
    <w:rsid w:val="00406616"/>
    <w:rsid w:val="00407B92"/>
    <w:rsid w:val="00407C13"/>
    <w:rsid w:val="0041190C"/>
    <w:rsid w:val="004127A6"/>
    <w:rsid w:val="00412EDC"/>
    <w:rsid w:val="0041717B"/>
    <w:rsid w:val="00421E45"/>
    <w:rsid w:val="004221EC"/>
    <w:rsid w:val="004225BB"/>
    <w:rsid w:val="004261F0"/>
    <w:rsid w:val="00430184"/>
    <w:rsid w:val="004310C4"/>
    <w:rsid w:val="00431E48"/>
    <w:rsid w:val="004331AA"/>
    <w:rsid w:val="00434ACF"/>
    <w:rsid w:val="00434AD7"/>
    <w:rsid w:val="00436957"/>
    <w:rsid w:val="00437E03"/>
    <w:rsid w:val="004433A7"/>
    <w:rsid w:val="00444992"/>
    <w:rsid w:val="00445572"/>
    <w:rsid w:val="00445B80"/>
    <w:rsid w:val="00445BCF"/>
    <w:rsid w:val="00446D76"/>
    <w:rsid w:val="00450916"/>
    <w:rsid w:val="004513D4"/>
    <w:rsid w:val="004513D6"/>
    <w:rsid w:val="00451FE9"/>
    <w:rsid w:val="00453CF4"/>
    <w:rsid w:val="00457F5C"/>
    <w:rsid w:val="004609AC"/>
    <w:rsid w:val="0046293E"/>
    <w:rsid w:val="00462EF7"/>
    <w:rsid w:val="0046539D"/>
    <w:rsid w:val="00465C95"/>
    <w:rsid w:val="004672E2"/>
    <w:rsid w:val="00470B03"/>
    <w:rsid w:val="004715F2"/>
    <w:rsid w:val="00472B6D"/>
    <w:rsid w:val="004730BE"/>
    <w:rsid w:val="00473EC9"/>
    <w:rsid w:val="0047518C"/>
    <w:rsid w:val="004823C2"/>
    <w:rsid w:val="00483184"/>
    <w:rsid w:val="0048332E"/>
    <w:rsid w:val="0048551D"/>
    <w:rsid w:val="00486912"/>
    <w:rsid w:val="00486C5A"/>
    <w:rsid w:val="00492098"/>
    <w:rsid w:val="00493FAD"/>
    <w:rsid w:val="00496693"/>
    <w:rsid w:val="00497728"/>
    <w:rsid w:val="00497D36"/>
    <w:rsid w:val="004A0A66"/>
    <w:rsid w:val="004A0D80"/>
    <w:rsid w:val="004A0D9E"/>
    <w:rsid w:val="004A1B45"/>
    <w:rsid w:val="004A2313"/>
    <w:rsid w:val="004A2F9E"/>
    <w:rsid w:val="004A3033"/>
    <w:rsid w:val="004A31F5"/>
    <w:rsid w:val="004A43DF"/>
    <w:rsid w:val="004A567B"/>
    <w:rsid w:val="004A627D"/>
    <w:rsid w:val="004A7577"/>
    <w:rsid w:val="004B08BA"/>
    <w:rsid w:val="004B368D"/>
    <w:rsid w:val="004B642E"/>
    <w:rsid w:val="004B76DC"/>
    <w:rsid w:val="004C1120"/>
    <w:rsid w:val="004C2169"/>
    <w:rsid w:val="004C37C5"/>
    <w:rsid w:val="004C4A2D"/>
    <w:rsid w:val="004C4A5B"/>
    <w:rsid w:val="004C4B9E"/>
    <w:rsid w:val="004C6A70"/>
    <w:rsid w:val="004C7321"/>
    <w:rsid w:val="004C7F92"/>
    <w:rsid w:val="004D026F"/>
    <w:rsid w:val="004D075E"/>
    <w:rsid w:val="004D24A0"/>
    <w:rsid w:val="004D2BF5"/>
    <w:rsid w:val="004D3080"/>
    <w:rsid w:val="004D41FA"/>
    <w:rsid w:val="004D4500"/>
    <w:rsid w:val="004D5BB6"/>
    <w:rsid w:val="004D7823"/>
    <w:rsid w:val="004D7CAE"/>
    <w:rsid w:val="004D7D46"/>
    <w:rsid w:val="004E0396"/>
    <w:rsid w:val="004E12E6"/>
    <w:rsid w:val="004E13FB"/>
    <w:rsid w:val="004E1C81"/>
    <w:rsid w:val="004E2560"/>
    <w:rsid w:val="004E2910"/>
    <w:rsid w:val="004E3543"/>
    <w:rsid w:val="004E37E3"/>
    <w:rsid w:val="004E479A"/>
    <w:rsid w:val="004E4F9E"/>
    <w:rsid w:val="004E6ADA"/>
    <w:rsid w:val="004E79E5"/>
    <w:rsid w:val="004F116C"/>
    <w:rsid w:val="004F2DB0"/>
    <w:rsid w:val="004F3B67"/>
    <w:rsid w:val="004F409E"/>
    <w:rsid w:val="004F7034"/>
    <w:rsid w:val="00501820"/>
    <w:rsid w:val="00502538"/>
    <w:rsid w:val="005050C3"/>
    <w:rsid w:val="00505AB3"/>
    <w:rsid w:val="0050639A"/>
    <w:rsid w:val="00507C36"/>
    <w:rsid w:val="00507F4A"/>
    <w:rsid w:val="005108E8"/>
    <w:rsid w:val="005126CF"/>
    <w:rsid w:val="00515346"/>
    <w:rsid w:val="00515C67"/>
    <w:rsid w:val="00516154"/>
    <w:rsid w:val="00516618"/>
    <w:rsid w:val="005168CD"/>
    <w:rsid w:val="0052015F"/>
    <w:rsid w:val="0052194B"/>
    <w:rsid w:val="00522729"/>
    <w:rsid w:val="0052340E"/>
    <w:rsid w:val="0052461F"/>
    <w:rsid w:val="00527395"/>
    <w:rsid w:val="00530A14"/>
    <w:rsid w:val="00533009"/>
    <w:rsid w:val="00536A98"/>
    <w:rsid w:val="00540962"/>
    <w:rsid w:val="00540A06"/>
    <w:rsid w:val="00540A46"/>
    <w:rsid w:val="00543CFC"/>
    <w:rsid w:val="005448D9"/>
    <w:rsid w:val="0054493A"/>
    <w:rsid w:val="00545E43"/>
    <w:rsid w:val="005475BA"/>
    <w:rsid w:val="005504FA"/>
    <w:rsid w:val="0055128E"/>
    <w:rsid w:val="00551F5F"/>
    <w:rsid w:val="00551F9A"/>
    <w:rsid w:val="00552324"/>
    <w:rsid w:val="00552438"/>
    <w:rsid w:val="0055277C"/>
    <w:rsid w:val="0055299D"/>
    <w:rsid w:val="00554096"/>
    <w:rsid w:val="0055788F"/>
    <w:rsid w:val="0056078B"/>
    <w:rsid w:val="0056110F"/>
    <w:rsid w:val="00561708"/>
    <w:rsid w:val="00561BEA"/>
    <w:rsid w:val="005620C4"/>
    <w:rsid w:val="00562EFD"/>
    <w:rsid w:val="0056314F"/>
    <w:rsid w:val="00563C99"/>
    <w:rsid w:val="00563DC0"/>
    <w:rsid w:val="00564B03"/>
    <w:rsid w:val="00565C10"/>
    <w:rsid w:val="00565D5E"/>
    <w:rsid w:val="00565FF3"/>
    <w:rsid w:val="005660EA"/>
    <w:rsid w:val="00570274"/>
    <w:rsid w:val="005709BF"/>
    <w:rsid w:val="0057296D"/>
    <w:rsid w:val="00572E62"/>
    <w:rsid w:val="0057376C"/>
    <w:rsid w:val="0057440E"/>
    <w:rsid w:val="00574701"/>
    <w:rsid w:val="00575632"/>
    <w:rsid w:val="0057763B"/>
    <w:rsid w:val="005776A5"/>
    <w:rsid w:val="00577CF0"/>
    <w:rsid w:val="00581F74"/>
    <w:rsid w:val="00582963"/>
    <w:rsid w:val="00582C4C"/>
    <w:rsid w:val="00582CB4"/>
    <w:rsid w:val="00582F16"/>
    <w:rsid w:val="00584A1B"/>
    <w:rsid w:val="00584E7C"/>
    <w:rsid w:val="0058694D"/>
    <w:rsid w:val="0058799C"/>
    <w:rsid w:val="00587A3F"/>
    <w:rsid w:val="00587EE8"/>
    <w:rsid w:val="00587EEC"/>
    <w:rsid w:val="00593179"/>
    <w:rsid w:val="00593717"/>
    <w:rsid w:val="005941F5"/>
    <w:rsid w:val="00594415"/>
    <w:rsid w:val="00595A2A"/>
    <w:rsid w:val="00596479"/>
    <w:rsid w:val="005964B3"/>
    <w:rsid w:val="00596DB1"/>
    <w:rsid w:val="005973D8"/>
    <w:rsid w:val="00597A3E"/>
    <w:rsid w:val="00597E76"/>
    <w:rsid w:val="005A0394"/>
    <w:rsid w:val="005A12CB"/>
    <w:rsid w:val="005A1B8D"/>
    <w:rsid w:val="005A3615"/>
    <w:rsid w:val="005A38CB"/>
    <w:rsid w:val="005A4A17"/>
    <w:rsid w:val="005A4F64"/>
    <w:rsid w:val="005A5134"/>
    <w:rsid w:val="005A5E5F"/>
    <w:rsid w:val="005A7C55"/>
    <w:rsid w:val="005A7DBA"/>
    <w:rsid w:val="005B09A8"/>
    <w:rsid w:val="005B0CE8"/>
    <w:rsid w:val="005B0D35"/>
    <w:rsid w:val="005B3A15"/>
    <w:rsid w:val="005B3D90"/>
    <w:rsid w:val="005B418D"/>
    <w:rsid w:val="005B484D"/>
    <w:rsid w:val="005B5278"/>
    <w:rsid w:val="005B5983"/>
    <w:rsid w:val="005B6259"/>
    <w:rsid w:val="005B6C88"/>
    <w:rsid w:val="005C3193"/>
    <w:rsid w:val="005C3882"/>
    <w:rsid w:val="005C490E"/>
    <w:rsid w:val="005C4B52"/>
    <w:rsid w:val="005C4EE9"/>
    <w:rsid w:val="005C7E13"/>
    <w:rsid w:val="005D063E"/>
    <w:rsid w:val="005D0AA1"/>
    <w:rsid w:val="005D131D"/>
    <w:rsid w:val="005D3678"/>
    <w:rsid w:val="005D4B82"/>
    <w:rsid w:val="005D62D5"/>
    <w:rsid w:val="005E080A"/>
    <w:rsid w:val="005E208E"/>
    <w:rsid w:val="005E706A"/>
    <w:rsid w:val="005E778F"/>
    <w:rsid w:val="005F1069"/>
    <w:rsid w:val="005F492D"/>
    <w:rsid w:val="005F65A6"/>
    <w:rsid w:val="005F6A4E"/>
    <w:rsid w:val="005F721A"/>
    <w:rsid w:val="005F79E4"/>
    <w:rsid w:val="00600303"/>
    <w:rsid w:val="006038B0"/>
    <w:rsid w:val="0060441F"/>
    <w:rsid w:val="0060530D"/>
    <w:rsid w:val="00606110"/>
    <w:rsid w:val="006067CB"/>
    <w:rsid w:val="00607194"/>
    <w:rsid w:val="00607324"/>
    <w:rsid w:val="006078FB"/>
    <w:rsid w:val="00607A4B"/>
    <w:rsid w:val="006101A6"/>
    <w:rsid w:val="00611B26"/>
    <w:rsid w:val="00611E8C"/>
    <w:rsid w:val="006126AA"/>
    <w:rsid w:val="006146A4"/>
    <w:rsid w:val="006147E6"/>
    <w:rsid w:val="00616D29"/>
    <w:rsid w:val="00617B73"/>
    <w:rsid w:val="006206A5"/>
    <w:rsid w:val="00621021"/>
    <w:rsid w:val="00622386"/>
    <w:rsid w:val="00625079"/>
    <w:rsid w:val="00625294"/>
    <w:rsid w:val="006256D9"/>
    <w:rsid w:val="00625D85"/>
    <w:rsid w:val="006263D4"/>
    <w:rsid w:val="00626B17"/>
    <w:rsid w:val="00631C8B"/>
    <w:rsid w:val="00631CC3"/>
    <w:rsid w:val="00634A09"/>
    <w:rsid w:val="006351D9"/>
    <w:rsid w:val="00636DEC"/>
    <w:rsid w:val="00640813"/>
    <w:rsid w:val="0064274B"/>
    <w:rsid w:val="00643916"/>
    <w:rsid w:val="00644401"/>
    <w:rsid w:val="0064499D"/>
    <w:rsid w:val="00645BB5"/>
    <w:rsid w:val="00646FB0"/>
    <w:rsid w:val="00647D92"/>
    <w:rsid w:val="00647F63"/>
    <w:rsid w:val="00650E75"/>
    <w:rsid w:val="0065369D"/>
    <w:rsid w:val="00660C1D"/>
    <w:rsid w:val="006625FF"/>
    <w:rsid w:val="00664451"/>
    <w:rsid w:val="00667D6E"/>
    <w:rsid w:val="00670DA1"/>
    <w:rsid w:val="0067153A"/>
    <w:rsid w:val="00671858"/>
    <w:rsid w:val="006728A7"/>
    <w:rsid w:val="00673D2D"/>
    <w:rsid w:val="006744EE"/>
    <w:rsid w:val="006770EF"/>
    <w:rsid w:val="006803F8"/>
    <w:rsid w:val="00681062"/>
    <w:rsid w:val="006817F9"/>
    <w:rsid w:val="0068224A"/>
    <w:rsid w:val="00682582"/>
    <w:rsid w:val="00683720"/>
    <w:rsid w:val="00683A73"/>
    <w:rsid w:val="00683C06"/>
    <w:rsid w:val="00684D32"/>
    <w:rsid w:val="00685402"/>
    <w:rsid w:val="00692936"/>
    <w:rsid w:val="0069389F"/>
    <w:rsid w:val="00693EC5"/>
    <w:rsid w:val="00695223"/>
    <w:rsid w:val="00695F33"/>
    <w:rsid w:val="00696A6B"/>
    <w:rsid w:val="006A0EEB"/>
    <w:rsid w:val="006A1874"/>
    <w:rsid w:val="006A2BE5"/>
    <w:rsid w:val="006A3A45"/>
    <w:rsid w:val="006A3B43"/>
    <w:rsid w:val="006A47AC"/>
    <w:rsid w:val="006A4DC9"/>
    <w:rsid w:val="006A5AF8"/>
    <w:rsid w:val="006A5F62"/>
    <w:rsid w:val="006A625E"/>
    <w:rsid w:val="006A690A"/>
    <w:rsid w:val="006A76CE"/>
    <w:rsid w:val="006A7A10"/>
    <w:rsid w:val="006B03A8"/>
    <w:rsid w:val="006B0A19"/>
    <w:rsid w:val="006B1176"/>
    <w:rsid w:val="006B1868"/>
    <w:rsid w:val="006B1EA7"/>
    <w:rsid w:val="006B250F"/>
    <w:rsid w:val="006B3BAF"/>
    <w:rsid w:val="006B46E8"/>
    <w:rsid w:val="006B4BCB"/>
    <w:rsid w:val="006B55A3"/>
    <w:rsid w:val="006B711C"/>
    <w:rsid w:val="006C14C9"/>
    <w:rsid w:val="006C2A02"/>
    <w:rsid w:val="006C3C74"/>
    <w:rsid w:val="006C4303"/>
    <w:rsid w:val="006C4B44"/>
    <w:rsid w:val="006C4FDA"/>
    <w:rsid w:val="006C574A"/>
    <w:rsid w:val="006C7B30"/>
    <w:rsid w:val="006C7E06"/>
    <w:rsid w:val="006D0A1F"/>
    <w:rsid w:val="006D0E97"/>
    <w:rsid w:val="006D134F"/>
    <w:rsid w:val="006D3A1D"/>
    <w:rsid w:val="006D5334"/>
    <w:rsid w:val="006D5ACF"/>
    <w:rsid w:val="006D627C"/>
    <w:rsid w:val="006D65F3"/>
    <w:rsid w:val="006D7086"/>
    <w:rsid w:val="006E1B19"/>
    <w:rsid w:val="006E2254"/>
    <w:rsid w:val="006E2849"/>
    <w:rsid w:val="006E28EC"/>
    <w:rsid w:val="006E294F"/>
    <w:rsid w:val="006E331C"/>
    <w:rsid w:val="006E35F9"/>
    <w:rsid w:val="006E56F1"/>
    <w:rsid w:val="006E5866"/>
    <w:rsid w:val="006E65C9"/>
    <w:rsid w:val="006E7B0C"/>
    <w:rsid w:val="006F0CDA"/>
    <w:rsid w:val="006F0F77"/>
    <w:rsid w:val="006F4226"/>
    <w:rsid w:val="006F45BA"/>
    <w:rsid w:val="006F4ADC"/>
    <w:rsid w:val="006F5F75"/>
    <w:rsid w:val="006F5F97"/>
    <w:rsid w:val="006F7503"/>
    <w:rsid w:val="00700BFF"/>
    <w:rsid w:val="00700D53"/>
    <w:rsid w:val="00701A55"/>
    <w:rsid w:val="0070289B"/>
    <w:rsid w:val="007028F8"/>
    <w:rsid w:val="007033CB"/>
    <w:rsid w:val="007035B5"/>
    <w:rsid w:val="00705A8D"/>
    <w:rsid w:val="00705F89"/>
    <w:rsid w:val="007065E4"/>
    <w:rsid w:val="00713744"/>
    <w:rsid w:val="00713872"/>
    <w:rsid w:val="007142CB"/>
    <w:rsid w:val="007159C6"/>
    <w:rsid w:val="00716AC0"/>
    <w:rsid w:val="00720B56"/>
    <w:rsid w:val="00723582"/>
    <w:rsid w:val="00724DAB"/>
    <w:rsid w:val="00724DEB"/>
    <w:rsid w:val="00727912"/>
    <w:rsid w:val="00727EE6"/>
    <w:rsid w:val="00727F6A"/>
    <w:rsid w:val="00730920"/>
    <w:rsid w:val="007321BB"/>
    <w:rsid w:val="007338D5"/>
    <w:rsid w:val="00734ECD"/>
    <w:rsid w:val="007361E0"/>
    <w:rsid w:val="0073656A"/>
    <w:rsid w:val="007377C2"/>
    <w:rsid w:val="00740813"/>
    <w:rsid w:val="00740CDE"/>
    <w:rsid w:val="00742A9A"/>
    <w:rsid w:val="0074303F"/>
    <w:rsid w:val="0074504C"/>
    <w:rsid w:val="00746C07"/>
    <w:rsid w:val="00747921"/>
    <w:rsid w:val="00747BDC"/>
    <w:rsid w:val="007517C8"/>
    <w:rsid w:val="00751BE3"/>
    <w:rsid w:val="007532BB"/>
    <w:rsid w:val="007554BF"/>
    <w:rsid w:val="00755EF1"/>
    <w:rsid w:val="0075606C"/>
    <w:rsid w:val="00756642"/>
    <w:rsid w:val="007618C8"/>
    <w:rsid w:val="00761ABB"/>
    <w:rsid w:val="0076293D"/>
    <w:rsid w:val="00762992"/>
    <w:rsid w:val="00764FAE"/>
    <w:rsid w:val="00765079"/>
    <w:rsid w:val="00766D94"/>
    <w:rsid w:val="007723C0"/>
    <w:rsid w:val="00773008"/>
    <w:rsid w:val="00775F3E"/>
    <w:rsid w:val="00776434"/>
    <w:rsid w:val="007766C4"/>
    <w:rsid w:val="00776D8F"/>
    <w:rsid w:val="007770C4"/>
    <w:rsid w:val="007772A5"/>
    <w:rsid w:val="007800C2"/>
    <w:rsid w:val="00780303"/>
    <w:rsid w:val="00780ADA"/>
    <w:rsid w:val="00782455"/>
    <w:rsid w:val="00782F9E"/>
    <w:rsid w:val="00783B01"/>
    <w:rsid w:val="007842AC"/>
    <w:rsid w:val="0078506C"/>
    <w:rsid w:val="00785BEB"/>
    <w:rsid w:val="00785BF2"/>
    <w:rsid w:val="007875FF"/>
    <w:rsid w:val="007900A4"/>
    <w:rsid w:val="00790FF2"/>
    <w:rsid w:val="00791930"/>
    <w:rsid w:val="00793385"/>
    <w:rsid w:val="00793B1A"/>
    <w:rsid w:val="00794BFB"/>
    <w:rsid w:val="00797231"/>
    <w:rsid w:val="00797B17"/>
    <w:rsid w:val="007A08D7"/>
    <w:rsid w:val="007A4767"/>
    <w:rsid w:val="007A4A87"/>
    <w:rsid w:val="007A4B02"/>
    <w:rsid w:val="007A6C2D"/>
    <w:rsid w:val="007A79DF"/>
    <w:rsid w:val="007B0AAE"/>
    <w:rsid w:val="007B0C36"/>
    <w:rsid w:val="007B11D4"/>
    <w:rsid w:val="007B2DC8"/>
    <w:rsid w:val="007B4550"/>
    <w:rsid w:val="007B620B"/>
    <w:rsid w:val="007B79BF"/>
    <w:rsid w:val="007B7C20"/>
    <w:rsid w:val="007C0547"/>
    <w:rsid w:val="007C17DE"/>
    <w:rsid w:val="007C28CA"/>
    <w:rsid w:val="007C47DE"/>
    <w:rsid w:val="007C4FDF"/>
    <w:rsid w:val="007C5055"/>
    <w:rsid w:val="007C50EC"/>
    <w:rsid w:val="007C6D58"/>
    <w:rsid w:val="007C7A4D"/>
    <w:rsid w:val="007D11E2"/>
    <w:rsid w:val="007D26FD"/>
    <w:rsid w:val="007D326B"/>
    <w:rsid w:val="007D4521"/>
    <w:rsid w:val="007D59EF"/>
    <w:rsid w:val="007D6A40"/>
    <w:rsid w:val="007E1067"/>
    <w:rsid w:val="007E1B29"/>
    <w:rsid w:val="007E1CA9"/>
    <w:rsid w:val="007E2C24"/>
    <w:rsid w:val="007E3156"/>
    <w:rsid w:val="007E3471"/>
    <w:rsid w:val="007E48C8"/>
    <w:rsid w:val="007E49DB"/>
    <w:rsid w:val="007E5184"/>
    <w:rsid w:val="007E5D53"/>
    <w:rsid w:val="007F13A6"/>
    <w:rsid w:val="007F19FC"/>
    <w:rsid w:val="007F1BE8"/>
    <w:rsid w:val="007F3EF4"/>
    <w:rsid w:val="007F401C"/>
    <w:rsid w:val="007F45D5"/>
    <w:rsid w:val="007F5000"/>
    <w:rsid w:val="007F5A33"/>
    <w:rsid w:val="007F5ACE"/>
    <w:rsid w:val="007F6E4E"/>
    <w:rsid w:val="007F7BE8"/>
    <w:rsid w:val="00800C4D"/>
    <w:rsid w:val="00801469"/>
    <w:rsid w:val="00804983"/>
    <w:rsid w:val="00805329"/>
    <w:rsid w:val="008066C8"/>
    <w:rsid w:val="00806E7C"/>
    <w:rsid w:val="0080768C"/>
    <w:rsid w:val="00810284"/>
    <w:rsid w:val="008133A3"/>
    <w:rsid w:val="0082247D"/>
    <w:rsid w:val="008231DF"/>
    <w:rsid w:val="0082346B"/>
    <w:rsid w:val="0082487C"/>
    <w:rsid w:val="0082598B"/>
    <w:rsid w:val="00826833"/>
    <w:rsid w:val="008273C0"/>
    <w:rsid w:val="00830C63"/>
    <w:rsid w:val="00832C46"/>
    <w:rsid w:val="008340D5"/>
    <w:rsid w:val="00835B97"/>
    <w:rsid w:val="00835F5B"/>
    <w:rsid w:val="008410E2"/>
    <w:rsid w:val="00843C44"/>
    <w:rsid w:val="00844CE2"/>
    <w:rsid w:val="00845609"/>
    <w:rsid w:val="00845EB9"/>
    <w:rsid w:val="00845FFC"/>
    <w:rsid w:val="00846DAA"/>
    <w:rsid w:val="008500C2"/>
    <w:rsid w:val="00850B7E"/>
    <w:rsid w:val="00851592"/>
    <w:rsid w:val="00851A67"/>
    <w:rsid w:val="00851CBC"/>
    <w:rsid w:val="008522EC"/>
    <w:rsid w:val="008523D4"/>
    <w:rsid w:val="00852836"/>
    <w:rsid w:val="008537A2"/>
    <w:rsid w:val="00854249"/>
    <w:rsid w:val="00854507"/>
    <w:rsid w:val="008545A8"/>
    <w:rsid w:val="00861112"/>
    <w:rsid w:val="00861919"/>
    <w:rsid w:val="0086246E"/>
    <w:rsid w:val="008628D3"/>
    <w:rsid w:val="00862E02"/>
    <w:rsid w:val="00863991"/>
    <w:rsid w:val="00864289"/>
    <w:rsid w:val="00865F2C"/>
    <w:rsid w:val="00866447"/>
    <w:rsid w:val="008670C8"/>
    <w:rsid w:val="00870CE7"/>
    <w:rsid w:val="00871F92"/>
    <w:rsid w:val="00875FB9"/>
    <w:rsid w:val="008770B2"/>
    <w:rsid w:val="00877FEF"/>
    <w:rsid w:val="00880867"/>
    <w:rsid w:val="00881365"/>
    <w:rsid w:val="0088273F"/>
    <w:rsid w:val="00882AD9"/>
    <w:rsid w:val="0088334B"/>
    <w:rsid w:val="00883962"/>
    <w:rsid w:val="008846B0"/>
    <w:rsid w:val="00885987"/>
    <w:rsid w:val="008872B3"/>
    <w:rsid w:val="0089062D"/>
    <w:rsid w:val="008912FB"/>
    <w:rsid w:val="00892752"/>
    <w:rsid w:val="00892DD6"/>
    <w:rsid w:val="00893D98"/>
    <w:rsid w:val="00893F7D"/>
    <w:rsid w:val="00894293"/>
    <w:rsid w:val="00895728"/>
    <w:rsid w:val="00896CF0"/>
    <w:rsid w:val="008979EA"/>
    <w:rsid w:val="00897EF8"/>
    <w:rsid w:val="008A006C"/>
    <w:rsid w:val="008A09B7"/>
    <w:rsid w:val="008A119E"/>
    <w:rsid w:val="008A1C44"/>
    <w:rsid w:val="008A3CFD"/>
    <w:rsid w:val="008A48AC"/>
    <w:rsid w:val="008A50FC"/>
    <w:rsid w:val="008A57B0"/>
    <w:rsid w:val="008A625E"/>
    <w:rsid w:val="008A6CC5"/>
    <w:rsid w:val="008A781E"/>
    <w:rsid w:val="008B1705"/>
    <w:rsid w:val="008B2A40"/>
    <w:rsid w:val="008B2F3E"/>
    <w:rsid w:val="008B39A4"/>
    <w:rsid w:val="008B39A6"/>
    <w:rsid w:val="008B3D4C"/>
    <w:rsid w:val="008B4251"/>
    <w:rsid w:val="008B47DB"/>
    <w:rsid w:val="008C0286"/>
    <w:rsid w:val="008C1172"/>
    <w:rsid w:val="008C14A4"/>
    <w:rsid w:val="008C1A5E"/>
    <w:rsid w:val="008C2A39"/>
    <w:rsid w:val="008C2BD6"/>
    <w:rsid w:val="008C329D"/>
    <w:rsid w:val="008C3BDA"/>
    <w:rsid w:val="008C3FA3"/>
    <w:rsid w:val="008C5A69"/>
    <w:rsid w:val="008C7A02"/>
    <w:rsid w:val="008C7CD5"/>
    <w:rsid w:val="008D15D2"/>
    <w:rsid w:val="008D3A4F"/>
    <w:rsid w:val="008D4FB0"/>
    <w:rsid w:val="008D5AAA"/>
    <w:rsid w:val="008D5EAA"/>
    <w:rsid w:val="008E014E"/>
    <w:rsid w:val="008E1FF6"/>
    <w:rsid w:val="008E2963"/>
    <w:rsid w:val="008E2D2D"/>
    <w:rsid w:val="008E31EF"/>
    <w:rsid w:val="008E36B3"/>
    <w:rsid w:val="008E534C"/>
    <w:rsid w:val="008E63CD"/>
    <w:rsid w:val="008E63D1"/>
    <w:rsid w:val="008E7A93"/>
    <w:rsid w:val="008E7B03"/>
    <w:rsid w:val="008F1571"/>
    <w:rsid w:val="008F1BA3"/>
    <w:rsid w:val="008F2110"/>
    <w:rsid w:val="008F2E9F"/>
    <w:rsid w:val="008F352D"/>
    <w:rsid w:val="008F40FE"/>
    <w:rsid w:val="008F5C16"/>
    <w:rsid w:val="008F665C"/>
    <w:rsid w:val="008F70B8"/>
    <w:rsid w:val="008F7B5E"/>
    <w:rsid w:val="008F7E55"/>
    <w:rsid w:val="00900C41"/>
    <w:rsid w:val="00902610"/>
    <w:rsid w:val="00902CF5"/>
    <w:rsid w:val="0090380D"/>
    <w:rsid w:val="00903A4A"/>
    <w:rsid w:val="00904C6A"/>
    <w:rsid w:val="0090529A"/>
    <w:rsid w:val="0090752F"/>
    <w:rsid w:val="00910147"/>
    <w:rsid w:val="00910CFC"/>
    <w:rsid w:val="00911EEA"/>
    <w:rsid w:val="0091368C"/>
    <w:rsid w:val="00914289"/>
    <w:rsid w:val="00914E26"/>
    <w:rsid w:val="009156B4"/>
    <w:rsid w:val="00916228"/>
    <w:rsid w:val="009163B3"/>
    <w:rsid w:val="00916CDF"/>
    <w:rsid w:val="00922E9A"/>
    <w:rsid w:val="009249F5"/>
    <w:rsid w:val="009269AB"/>
    <w:rsid w:val="00927B0A"/>
    <w:rsid w:val="00927DD5"/>
    <w:rsid w:val="00931B8F"/>
    <w:rsid w:val="0093370D"/>
    <w:rsid w:val="009342D2"/>
    <w:rsid w:val="00934319"/>
    <w:rsid w:val="0093664B"/>
    <w:rsid w:val="00940C1B"/>
    <w:rsid w:val="009421C8"/>
    <w:rsid w:val="009443C2"/>
    <w:rsid w:val="00944C51"/>
    <w:rsid w:val="00946B3B"/>
    <w:rsid w:val="00946F6F"/>
    <w:rsid w:val="009475A2"/>
    <w:rsid w:val="0095038E"/>
    <w:rsid w:val="00950B42"/>
    <w:rsid w:val="00952674"/>
    <w:rsid w:val="00953EAD"/>
    <w:rsid w:val="00954350"/>
    <w:rsid w:val="009559B1"/>
    <w:rsid w:val="0095603B"/>
    <w:rsid w:val="0095737A"/>
    <w:rsid w:val="00957817"/>
    <w:rsid w:val="009602F1"/>
    <w:rsid w:val="00960AE2"/>
    <w:rsid w:val="00961383"/>
    <w:rsid w:val="00961B3B"/>
    <w:rsid w:val="00962519"/>
    <w:rsid w:val="00962836"/>
    <w:rsid w:val="0096684A"/>
    <w:rsid w:val="00966EB2"/>
    <w:rsid w:val="00970512"/>
    <w:rsid w:val="009707DE"/>
    <w:rsid w:val="00971BF2"/>
    <w:rsid w:val="00971EEE"/>
    <w:rsid w:val="00973788"/>
    <w:rsid w:val="0097422B"/>
    <w:rsid w:val="00974B99"/>
    <w:rsid w:val="0097560A"/>
    <w:rsid w:val="009761EB"/>
    <w:rsid w:val="009763D3"/>
    <w:rsid w:val="0098298A"/>
    <w:rsid w:val="00982D88"/>
    <w:rsid w:val="00984E36"/>
    <w:rsid w:val="00985911"/>
    <w:rsid w:val="00986E57"/>
    <w:rsid w:val="00987FE4"/>
    <w:rsid w:val="00991B95"/>
    <w:rsid w:val="00993E78"/>
    <w:rsid w:val="0099533E"/>
    <w:rsid w:val="00997D7C"/>
    <w:rsid w:val="009A21D0"/>
    <w:rsid w:val="009A2567"/>
    <w:rsid w:val="009A431D"/>
    <w:rsid w:val="009A7D7D"/>
    <w:rsid w:val="009B05C4"/>
    <w:rsid w:val="009B2908"/>
    <w:rsid w:val="009B2F03"/>
    <w:rsid w:val="009B38D0"/>
    <w:rsid w:val="009B493A"/>
    <w:rsid w:val="009B496C"/>
    <w:rsid w:val="009B56A7"/>
    <w:rsid w:val="009B5C2D"/>
    <w:rsid w:val="009B5C35"/>
    <w:rsid w:val="009B5C5F"/>
    <w:rsid w:val="009B5CFE"/>
    <w:rsid w:val="009B63D0"/>
    <w:rsid w:val="009B6500"/>
    <w:rsid w:val="009B6AF7"/>
    <w:rsid w:val="009B7108"/>
    <w:rsid w:val="009B7B75"/>
    <w:rsid w:val="009C1243"/>
    <w:rsid w:val="009C4252"/>
    <w:rsid w:val="009C4305"/>
    <w:rsid w:val="009C4A16"/>
    <w:rsid w:val="009C4C87"/>
    <w:rsid w:val="009C5620"/>
    <w:rsid w:val="009C5C0F"/>
    <w:rsid w:val="009C5E9B"/>
    <w:rsid w:val="009C6ED4"/>
    <w:rsid w:val="009C7779"/>
    <w:rsid w:val="009C78C5"/>
    <w:rsid w:val="009D09C0"/>
    <w:rsid w:val="009D1C4A"/>
    <w:rsid w:val="009D1C66"/>
    <w:rsid w:val="009D3698"/>
    <w:rsid w:val="009D7330"/>
    <w:rsid w:val="009D7E2D"/>
    <w:rsid w:val="009E1CD0"/>
    <w:rsid w:val="009E1EAD"/>
    <w:rsid w:val="009E38CB"/>
    <w:rsid w:val="009E3F72"/>
    <w:rsid w:val="009E669C"/>
    <w:rsid w:val="009E692C"/>
    <w:rsid w:val="009E739B"/>
    <w:rsid w:val="009E79BE"/>
    <w:rsid w:val="009E7E18"/>
    <w:rsid w:val="009F2FAA"/>
    <w:rsid w:val="009F33CF"/>
    <w:rsid w:val="009F3755"/>
    <w:rsid w:val="009F3C55"/>
    <w:rsid w:val="009F4A8E"/>
    <w:rsid w:val="009F50DC"/>
    <w:rsid w:val="009F70B3"/>
    <w:rsid w:val="009F74B1"/>
    <w:rsid w:val="00A003D5"/>
    <w:rsid w:val="00A02023"/>
    <w:rsid w:val="00A02191"/>
    <w:rsid w:val="00A02DDA"/>
    <w:rsid w:val="00A031A2"/>
    <w:rsid w:val="00A03645"/>
    <w:rsid w:val="00A048E1"/>
    <w:rsid w:val="00A04D7A"/>
    <w:rsid w:val="00A05A93"/>
    <w:rsid w:val="00A05BF1"/>
    <w:rsid w:val="00A0674E"/>
    <w:rsid w:val="00A07197"/>
    <w:rsid w:val="00A07B53"/>
    <w:rsid w:val="00A07DDD"/>
    <w:rsid w:val="00A100DB"/>
    <w:rsid w:val="00A10FA4"/>
    <w:rsid w:val="00A11EDD"/>
    <w:rsid w:val="00A140C5"/>
    <w:rsid w:val="00A15365"/>
    <w:rsid w:val="00A2199F"/>
    <w:rsid w:val="00A23555"/>
    <w:rsid w:val="00A23AF1"/>
    <w:rsid w:val="00A247E2"/>
    <w:rsid w:val="00A25D84"/>
    <w:rsid w:val="00A30911"/>
    <w:rsid w:val="00A3160C"/>
    <w:rsid w:val="00A3255D"/>
    <w:rsid w:val="00A33DAC"/>
    <w:rsid w:val="00A34009"/>
    <w:rsid w:val="00A3548B"/>
    <w:rsid w:val="00A36412"/>
    <w:rsid w:val="00A36596"/>
    <w:rsid w:val="00A37B13"/>
    <w:rsid w:val="00A40498"/>
    <w:rsid w:val="00A427A5"/>
    <w:rsid w:val="00A43676"/>
    <w:rsid w:val="00A436DC"/>
    <w:rsid w:val="00A44081"/>
    <w:rsid w:val="00A4613C"/>
    <w:rsid w:val="00A467F5"/>
    <w:rsid w:val="00A50940"/>
    <w:rsid w:val="00A5164C"/>
    <w:rsid w:val="00A5170F"/>
    <w:rsid w:val="00A52404"/>
    <w:rsid w:val="00A531FD"/>
    <w:rsid w:val="00A5407D"/>
    <w:rsid w:val="00A54C17"/>
    <w:rsid w:val="00A5525A"/>
    <w:rsid w:val="00A553AE"/>
    <w:rsid w:val="00A55CBC"/>
    <w:rsid w:val="00A5726D"/>
    <w:rsid w:val="00A57D54"/>
    <w:rsid w:val="00A57ED6"/>
    <w:rsid w:val="00A642CD"/>
    <w:rsid w:val="00A64640"/>
    <w:rsid w:val="00A652BD"/>
    <w:rsid w:val="00A6536F"/>
    <w:rsid w:val="00A66B45"/>
    <w:rsid w:val="00A66BEE"/>
    <w:rsid w:val="00A675EC"/>
    <w:rsid w:val="00A6771C"/>
    <w:rsid w:val="00A67C22"/>
    <w:rsid w:val="00A70AA0"/>
    <w:rsid w:val="00A70B10"/>
    <w:rsid w:val="00A710ED"/>
    <w:rsid w:val="00A719FC"/>
    <w:rsid w:val="00A7201A"/>
    <w:rsid w:val="00A72FF2"/>
    <w:rsid w:val="00A73092"/>
    <w:rsid w:val="00A73257"/>
    <w:rsid w:val="00A7335E"/>
    <w:rsid w:val="00A734EE"/>
    <w:rsid w:val="00A7352E"/>
    <w:rsid w:val="00A74445"/>
    <w:rsid w:val="00A74DCC"/>
    <w:rsid w:val="00A74E36"/>
    <w:rsid w:val="00A76340"/>
    <w:rsid w:val="00A7642B"/>
    <w:rsid w:val="00A76E97"/>
    <w:rsid w:val="00A809A8"/>
    <w:rsid w:val="00A80E86"/>
    <w:rsid w:val="00A83515"/>
    <w:rsid w:val="00A84D69"/>
    <w:rsid w:val="00A85940"/>
    <w:rsid w:val="00A85F8D"/>
    <w:rsid w:val="00A86A8E"/>
    <w:rsid w:val="00A90800"/>
    <w:rsid w:val="00A9259C"/>
    <w:rsid w:val="00A92758"/>
    <w:rsid w:val="00A95C26"/>
    <w:rsid w:val="00A969E2"/>
    <w:rsid w:val="00A971EF"/>
    <w:rsid w:val="00AA05EF"/>
    <w:rsid w:val="00AA1957"/>
    <w:rsid w:val="00AA1D51"/>
    <w:rsid w:val="00AA1F76"/>
    <w:rsid w:val="00AA24FB"/>
    <w:rsid w:val="00AA6107"/>
    <w:rsid w:val="00AB153C"/>
    <w:rsid w:val="00AB185C"/>
    <w:rsid w:val="00AB24C2"/>
    <w:rsid w:val="00AB4B44"/>
    <w:rsid w:val="00AB5097"/>
    <w:rsid w:val="00AB5B74"/>
    <w:rsid w:val="00AB5B8D"/>
    <w:rsid w:val="00AB6081"/>
    <w:rsid w:val="00AB72E7"/>
    <w:rsid w:val="00AC0476"/>
    <w:rsid w:val="00AC292F"/>
    <w:rsid w:val="00AC2B76"/>
    <w:rsid w:val="00AC2C08"/>
    <w:rsid w:val="00AC2C4E"/>
    <w:rsid w:val="00AC4A8B"/>
    <w:rsid w:val="00AC4DF9"/>
    <w:rsid w:val="00AC51DA"/>
    <w:rsid w:val="00AC7AC6"/>
    <w:rsid w:val="00AD1565"/>
    <w:rsid w:val="00AD1577"/>
    <w:rsid w:val="00AD1D62"/>
    <w:rsid w:val="00AD3C2E"/>
    <w:rsid w:val="00AD4E2E"/>
    <w:rsid w:val="00AD57A0"/>
    <w:rsid w:val="00AE0C9D"/>
    <w:rsid w:val="00AE15C5"/>
    <w:rsid w:val="00AE1777"/>
    <w:rsid w:val="00AE1B38"/>
    <w:rsid w:val="00AE478C"/>
    <w:rsid w:val="00AE4A5C"/>
    <w:rsid w:val="00AE4E72"/>
    <w:rsid w:val="00AE643E"/>
    <w:rsid w:val="00AF04B7"/>
    <w:rsid w:val="00AF11AF"/>
    <w:rsid w:val="00AF1E3A"/>
    <w:rsid w:val="00AF2744"/>
    <w:rsid w:val="00AF34C8"/>
    <w:rsid w:val="00AF3F9E"/>
    <w:rsid w:val="00AF461D"/>
    <w:rsid w:val="00AF4A1B"/>
    <w:rsid w:val="00AF5DC5"/>
    <w:rsid w:val="00B002CF"/>
    <w:rsid w:val="00B00BC4"/>
    <w:rsid w:val="00B010E4"/>
    <w:rsid w:val="00B05EEC"/>
    <w:rsid w:val="00B077CC"/>
    <w:rsid w:val="00B07E82"/>
    <w:rsid w:val="00B13F64"/>
    <w:rsid w:val="00B14AA8"/>
    <w:rsid w:val="00B16B4C"/>
    <w:rsid w:val="00B16C33"/>
    <w:rsid w:val="00B17239"/>
    <w:rsid w:val="00B24863"/>
    <w:rsid w:val="00B25865"/>
    <w:rsid w:val="00B258A0"/>
    <w:rsid w:val="00B26326"/>
    <w:rsid w:val="00B27CF6"/>
    <w:rsid w:val="00B3423B"/>
    <w:rsid w:val="00B348C6"/>
    <w:rsid w:val="00B3536C"/>
    <w:rsid w:val="00B357A0"/>
    <w:rsid w:val="00B3733B"/>
    <w:rsid w:val="00B37DE0"/>
    <w:rsid w:val="00B404F7"/>
    <w:rsid w:val="00B408BC"/>
    <w:rsid w:val="00B415BD"/>
    <w:rsid w:val="00B41C9B"/>
    <w:rsid w:val="00B42830"/>
    <w:rsid w:val="00B42B4B"/>
    <w:rsid w:val="00B43E43"/>
    <w:rsid w:val="00B44F1F"/>
    <w:rsid w:val="00B47AB6"/>
    <w:rsid w:val="00B47B6E"/>
    <w:rsid w:val="00B52F5D"/>
    <w:rsid w:val="00B53368"/>
    <w:rsid w:val="00B535BC"/>
    <w:rsid w:val="00B5435E"/>
    <w:rsid w:val="00B54DE7"/>
    <w:rsid w:val="00B56597"/>
    <w:rsid w:val="00B56EB6"/>
    <w:rsid w:val="00B57DCB"/>
    <w:rsid w:val="00B60350"/>
    <w:rsid w:val="00B62531"/>
    <w:rsid w:val="00B625E9"/>
    <w:rsid w:val="00B62C6A"/>
    <w:rsid w:val="00B62E6E"/>
    <w:rsid w:val="00B6436F"/>
    <w:rsid w:val="00B65377"/>
    <w:rsid w:val="00B65766"/>
    <w:rsid w:val="00B659DF"/>
    <w:rsid w:val="00B65C5E"/>
    <w:rsid w:val="00B712F9"/>
    <w:rsid w:val="00B71A54"/>
    <w:rsid w:val="00B73DD6"/>
    <w:rsid w:val="00B7489F"/>
    <w:rsid w:val="00B74EAD"/>
    <w:rsid w:val="00B758CC"/>
    <w:rsid w:val="00B77F2C"/>
    <w:rsid w:val="00B81122"/>
    <w:rsid w:val="00B81831"/>
    <w:rsid w:val="00B81DC9"/>
    <w:rsid w:val="00B8228A"/>
    <w:rsid w:val="00B83607"/>
    <w:rsid w:val="00B839F1"/>
    <w:rsid w:val="00B8786E"/>
    <w:rsid w:val="00B90191"/>
    <w:rsid w:val="00B90D04"/>
    <w:rsid w:val="00B914EB"/>
    <w:rsid w:val="00B92855"/>
    <w:rsid w:val="00B92BD7"/>
    <w:rsid w:val="00B935BC"/>
    <w:rsid w:val="00B93989"/>
    <w:rsid w:val="00B93F9D"/>
    <w:rsid w:val="00B944D0"/>
    <w:rsid w:val="00B96B77"/>
    <w:rsid w:val="00B9788D"/>
    <w:rsid w:val="00B97967"/>
    <w:rsid w:val="00BA0EB8"/>
    <w:rsid w:val="00BA1585"/>
    <w:rsid w:val="00BA248B"/>
    <w:rsid w:val="00BA4CC5"/>
    <w:rsid w:val="00BA7801"/>
    <w:rsid w:val="00BA7AD3"/>
    <w:rsid w:val="00BB01F0"/>
    <w:rsid w:val="00BB139E"/>
    <w:rsid w:val="00BB154C"/>
    <w:rsid w:val="00BB17D6"/>
    <w:rsid w:val="00BB1A04"/>
    <w:rsid w:val="00BB4293"/>
    <w:rsid w:val="00BB4474"/>
    <w:rsid w:val="00BC2154"/>
    <w:rsid w:val="00BC2843"/>
    <w:rsid w:val="00BC2B99"/>
    <w:rsid w:val="00BC2FEA"/>
    <w:rsid w:val="00BC36D5"/>
    <w:rsid w:val="00BC3901"/>
    <w:rsid w:val="00BC441D"/>
    <w:rsid w:val="00BC5E99"/>
    <w:rsid w:val="00BC64DD"/>
    <w:rsid w:val="00BD28B5"/>
    <w:rsid w:val="00BD36E4"/>
    <w:rsid w:val="00BD673A"/>
    <w:rsid w:val="00BE0229"/>
    <w:rsid w:val="00BE0260"/>
    <w:rsid w:val="00BE15D1"/>
    <w:rsid w:val="00BE4703"/>
    <w:rsid w:val="00BE5E52"/>
    <w:rsid w:val="00BE70B2"/>
    <w:rsid w:val="00BE7B44"/>
    <w:rsid w:val="00BF1F37"/>
    <w:rsid w:val="00BF25A6"/>
    <w:rsid w:val="00BF2B89"/>
    <w:rsid w:val="00BF2E1A"/>
    <w:rsid w:val="00BF36C2"/>
    <w:rsid w:val="00BF4868"/>
    <w:rsid w:val="00BF4B30"/>
    <w:rsid w:val="00BF4EBB"/>
    <w:rsid w:val="00BF5312"/>
    <w:rsid w:val="00BF5FFF"/>
    <w:rsid w:val="00BF603E"/>
    <w:rsid w:val="00C001DA"/>
    <w:rsid w:val="00C013CE"/>
    <w:rsid w:val="00C03059"/>
    <w:rsid w:val="00C037AC"/>
    <w:rsid w:val="00C05080"/>
    <w:rsid w:val="00C062FC"/>
    <w:rsid w:val="00C10405"/>
    <w:rsid w:val="00C10550"/>
    <w:rsid w:val="00C10834"/>
    <w:rsid w:val="00C10A20"/>
    <w:rsid w:val="00C11F17"/>
    <w:rsid w:val="00C12F9B"/>
    <w:rsid w:val="00C14174"/>
    <w:rsid w:val="00C15D30"/>
    <w:rsid w:val="00C15DB2"/>
    <w:rsid w:val="00C16057"/>
    <w:rsid w:val="00C16347"/>
    <w:rsid w:val="00C1636F"/>
    <w:rsid w:val="00C167FE"/>
    <w:rsid w:val="00C202E4"/>
    <w:rsid w:val="00C20756"/>
    <w:rsid w:val="00C2144C"/>
    <w:rsid w:val="00C22979"/>
    <w:rsid w:val="00C23173"/>
    <w:rsid w:val="00C2368E"/>
    <w:rsid w:val="00C250BD"/>
    <w:rsid w:val="00C265FF"/>
    <w:rsid w:val="00C31B7B"/>
    <w:rsid w:val="00C31FCB"/>
    <w:rsid w:val="00C32554"/>
    <w:rsid w:val="00C32CB4"/>
    <w:rsid w:val="00C32CB5"/>
    <w:rsid w:val="00C3313E"/>
    <w:rsid w:val="00C3393A"/>
    <w:rsid w:val="00C33BBC"/>
    <w:rsid w:val="00C342B9"/>
    <w:rsid w:val="00C35089"/>
    <w:rsid w:val="00C35A7A"/>
    <w:rsid w:val="00C3610B"/>
    <w:rsid w:val="00C365F2"/>
    <w:rsid w:val="00C37BC2"/>
    <w:rsid w:val="00C400EB"/>
    <w:rsid w:val="00C41B02"/>
    <w:rsid w:val="00C43535"/>
    <w:rsid w:val="00C44604"/>
    <w:rsid w:val="00C45365"/>
    <w:rsid w:val="00C45C54"/>
    <w:rsid w:val="00C46A23"/>
    <w:rsid w:val="00C4766F"/>
    <w:rsid w:val="00C5074A"/>
    <w:rsid w:val="00C51801"/>
    <w:rsid w:val="00C55159"/>
    <w:rsid w:val="00C55C5F"/>
    <w:rsid w:val="00C57934"/>
    <w:rsid w:val="00C60653"/>
    <w:rsid w:val="00C60977"/>
    <w:rsid w:val="00C61125"/>
    <w:rsid w:val="00C61FC5"/>
    <w:rsid w:val="00C634FC"/>
    <w:rsid w:val="00C63809"/>
    <w:rsid w:val="00C64095"/>
    <w:rsid w:val="00C65156"/>
    <w:rsid w:val="00C656EA"/>
    <w:rsid w:val="00C65EF9"/>
    <w:rsid w:val="00C66393"/>
    <w:rsid w:val="00C66C4C"/>
    <w:rsid w:val="00C66DC2"/>
    <w:rsid w:val="00C66F89"/>
    <w:rsid w:val="00C67CEC"/>
    <w:rsid w:val="00C67F98"/>
    <w:rsid w:val="00C70947"/>
    <w:rsid w:val="00C7248E"/>
    <w:rsid w:val="00C7285E"/>
    <w:rsid w:val="00C804F0"/>
    <w:rsid w:val="00C81770"/>
    <w:rsid w:val="00C819E5"/>
    <w:rsid w:val="00C81DF7"/>
    <w:rsid w:val="00C82060"/>
    <w:rsid w:val="00C8216A"/>
    <w:rsid w:val="00C82561"/>
    <w:rsid w:val="00C83CA8"/>
    <w:rsid w:val="00C85AF0"/>
    <w:rsid w:val="00C85C66"/>
    <w:rsid w:val="00C865DD"/>
    <w:rsid w:val="00C900DB"/>
    <w:rsid w:val="00C90DE3"/>
    <w:rsid w:val="00C90EC0"/>
    <w:rsid w:val="00C91916"/>
    <w:rsid w:val="00C9284B"/>
    <w:rsid w:val="00C928DB"/>
    <w:rsid w:val="00C92979"/>
    <w:rsid w:val="00C94AF4"/>
    <w:rsid w:val="00C94FA5"/>
    <w:rsid w:val="00C950A8"/>
    <w:rsid w:val="00C97AFD"/>
    <w:rsid w:val="00C97E94"/>
    <w:rsid w:val="00CA0525"/>
    <w:rsid w:val="00CA46AE"/>
    <w:rsid w:val="00CA5961"/>
    <w:rsid w:val="00CA7B7D"/>
    <w:rsid w:val="00CB1C78"/>
    <w:rsid w:val="00CB1ED4"/>
    <w:rsid w:val="00CB48E5"/>
    <w:rsid w:val="00CB5C8E"/>
    <w:rsid w:val="00CB6064"/>
    <w:rsid w:val="00CB73D6"/>
    <w:rsid w:val="00CC022F"/>
    <w:rsid w:val="00CC1CDF"/>
    <w:rsid w:val="00CC1D58"/>
    <w:rsid w:val="00CC2157"/>
    <w:rsid w:val="00CC36D4"/>
    <w:rsid w:val="00CC60AB"/>
    <w:rsid w:val="00CD1213"/>
    <w:rsid w:val="00CD4A78"/>
    <w:rsid w:val="00CD4E07"/>
    <w:rsid w:val="00CD5538"/>
    <w:rsid w:val="00CD7088"/>
    <w:rsid w:val="00CE1DE6"/>
    <w:rsid w:val="00CE5607"/>
    <w:rsid w:val="00CE57D0"/>
    <w:rsid w:val="00CE76B0"/>
    <w:rsid w:val="00CE798C"/>
    <w:rsid w:val="00CF03D4"/>
    <w:rsid w:val="00CF379F"/>
    <w:rsid w:val="00CF4956"/>
    <w:rsid w:val="00CF5D89"/>
    <w:rsid w:val="00CF6D35"/>
    <w:rsid w:val="00D00921"/>
    <w:rsid w:val="00D00962"/>
    <w:rsid w:val="00D00E62"/>
    <w:rsid w:val="00D015E8"/>
    <w:rsid w:val="00D0649D"/>
    <w:rsid w:val="00D06A3F"/>
    <w:rsid w:val="00D0796F"/>
    <w:rsid w:val="00D1010F"/>
    <w:rsid w:val="00D104E2"/>
    <w:rsid w:val="00D1107B"/>
    <w:rsid w:val="00D1166A"/>
    <w:rsid w:val="00D1388A"/>
    <w:rsid w:val="00D151AE"/>
    <w:rsid w:val="00D154D0"/>
    <w:rsid w:val="00D156FC"/>
    <w:rsid w:val="00D158EB"/>
    <w:rsid w:val="00D168E6"/>
    <w:rsid w:val="00D172CB"/>
    <w:rsid w:val="00D20FC6"/>
    <w:rsid w:val="00D21055"/>
    <w:rsid w:val="00D222FB"/>
    <w:rsid w:val="00D22825"/>
    <w:rsid w:val="00D2311F"/>
    <w:rsid w:val="00D23734"/>
    <w:rsid w:val="00D24B3C"/>
    <w:rsid w:val="00D251CE"/>
    <w:rsid w:val="00D25D17"/>
    <w:rsid w:val="00D25DA9"/>
    <w:rsid w:val="00D2742D"/>
    <w:rsid w:val="00D33B43"/>
    <w:rsid w:val="00D35221"/>
    <w:rsid w:val="00D363C4"/>
    <w:rsid w:val="00D40A59"/>
    <w:rsid w:val="00D421BD"/>
    <w:rsid w:val="00D428BE"/>
    <w:rsid w:val="00D42ACE"/>
    <w:rsid w:val="00D441BE"/>
    <w:rsid w:val="00D448FD"/>
    <w:rsid w:val="00D44D97"/>
    <w:rsid w:val="00D50E5C"/>
    <w:rsid w:val="00D50F1B"/>
    <w:rsid w:val="00D51A28"/>
    <w:rsid w:val="00D5270D"/>
    <w:rsid w:val="00D53337"/>
    <w:rsid w:val="00D536DF"/>
    <w:rsid w:val="00D5465A"/>
    <w:rsid w:val="00D55347"/>
    <w:rsid w:val="00D56CB5"/>
    <w:rsid w:val="00D56EAC"/>
    <w:rsid w:val="00D570C3"/>
    <w:rsid w:val="00D5757D"/>
    <w:rsid w:val="00D57A1C"/>
    <w:rsid w:val="00D609D4"/>
    <w:rsid w:val="00D60CFD"/>
    <w:rsid w:val="00D6170A"/>
    <w:rsid w:val="00D64A3F"/>
    <w:rsid w:val="00D65E94"/>
    <w:rsid w:val="00D66571"/>
    <w:rsid w:val="00D66C49"/>
    <w:rsid w:val="00D67A56"/>
    <w:rsid w:val="00D70735"/>
    <w:rsid w:val="00D74071"/>
    <w:rsid w:val="00D75602"/>
    <w:rsid w:val="00D758BA"/>
    <w:rsid w:val="00D762EF"/>
    <w:rsid w:val="00D76692"/>
    <w:rsid w:val="00D777A8"/>
    <w:rsid w:val="00D81B57"/>
    <w:rsid w:val="00D81D71"/>
    <w:rsid w:val="00D828CF"/>
    <w:rsid w:val="00D83AE7"/>
    <w:rsid w:val="00D87C06"/>
    <w:rsid w:val="00D911C3"/>
    <w:rsid w:val="00D92CF7"/>
    <w:rsid w:val="00D937CF"/>
    <w:rsid w:val="00D95108"/>
    <w:rsid w:val="00D95766"/>
    <w:rsid w:val="00D971D3"/>
    <w:rsid w:val="00DA20C0"/>
    <w:rsid w:val="00DA2E2C"/>
    <w:rsid w:val="00DA3A9D"/>
    <w:rsid w:val="00DA456C"/>
    <w:rsid w:val="00DA77A6"/>
    <w:rsid w:val="00DB31E7"/>
    <w:rsid w:val="00DB3B5F"/>
    <w:rsid w:val="00DB4FAB"/>
    <w:rsid w:val="00DB5E35"/>
    <w:rsid w:val="00DB7E74"/>
    <w:rsid w:val="00DC12DE"/>
    <w:rsid w:val="00DC19A3"/>
    <w:rsid w:val="00DC1B5B"/>
    <w:rsid w:val="00DC1C05"/>
    <w:rsid w:val="00DC1CD1"/>
    <w:rsid w:val="00DC1FD0"/>
    <w:rsid w:val="00DC208E"/>
    <w:rsid w:val="00DC2DC1"/>
    <w:rsid w:val="00DC2E1A"/>
    <w:rsid w:val="00DC36CB"/>
    <w:rsid w:val="00DC482D"/>
    <w:rsid w:val="00DD0BF8"/>
    <w:rsid w:val="00DD182E"/>
    <w:rsid w:val="00DD605F"/>
    <w:rsid w:val="00DD76D9"/>
    <w:rsid w:val="00DD7EFF"/>
    <w:rsid w:val="00DE43DD"/>
    <w:rsid w:val="00DE4D6E"/>
    <w:rsid w:val="00DE724C"/>
    <w:rsid w:val="00DE72BA"/>
    <w:rsid w:val="00DE77EF"/>
    <w:rsid w:val="00DE791E"/>
    <w:rsid w:val="00DE7CC9"/>
    <w:rsid w:val="00DE7CE1"/>
    <w:rsid w:val="00DF233E"/>
    <w:rsid w:val="00DF2399"/>
    <w:rsid w:val="00DF315B"/>
    <w:rsid w:val="00DF35A0"/>
    <w:rsid w:val="00DF40F7"/>
    <w:rsid w:val="00DF4F85"/>
    <w:rsid w:val="00DF6377"/>
    <w:rsid w:val="00DF6A5D"/>
    <w:rsid w:val="00DF72B0"/>
    <w:rsid w:val="00DF766C"/>
    <w:rsid w:val="00DF7773"/>
    <w:rsid w:val="00E01FE8"/>
    <w:rsid w:val="00E0285F"/>
    <w:rsid w:val="00E03BEC"/>
    <w:rsid w:val="00E04C14"/>
    <w:rsid w:val="00E05380"/>
    <w:rsid w:val="00E05A0F"/>
    <w:rsid w:val="00E069E7"/>
    <w:rsid w:val="00E06E58"/>
    <w:rsid w:val="00E06EA7"/>
    <w:rsid w:val="00E07149"/>
    <w:rsid w:val="00E074AD"/>
    <w:rsid w:val="00E07767"/>
    <w:rsid w:val="00E07D1E"/>
    <w:rsid w:val="00E10B7C"/>
    <w:rsid w:val="00E10BAF"/>
    <w:rsid w:val="00E12C7E"/>
    <w:rsid w:val="00E13A10"/>
    <w:rsid w:val="00E14892"/>
    <w:rsid w:val="00E14D50"/>
    <w:rsid w:val="00E14E32"/>
    <w:rsid w:val="00E15EAA"/>
    <w:rsid w:val="00E16E4F"/>
    <w:rsid w:val="00E17BCB"/>
    <w:rsid w:val="00E2083D"/>
    <w:rsid w:val="00E22524"/>
    <w:rsid w:val="00E23323"/>
    <w:rsid w:val="00E2343D"/>
    <w:rsid w:val="00E24117"/>
    <w:rsid w:val="00E25F78"/>
    <w:rsid w:val="00E26630"/>
    <w:rsid w:val="00E27EF6"/>
    <w:rsid w:val="00E307D3"/>
    <w:rsid w:val="00E316E2"/>
    <w:rsid w:val="00E32932"/>
    <w:rsid w:val="00E3530A"/>
    <w:rsid w:val="00E36113"/>
    <w:rsid w:val="00E37498"/>
    <w:rsid w:val="00E4011D"/>
    <w:rsid w:val="00E417B8"/>
    <w:rsid w:val="00E45297"/>
    <w:rsid w:val="00E45B70"/>
    <w:rsid w:val="00E47095"/>
    <w:rsid w:val="00E47CF0"/>
    <w:rsid w:val="00E502E2"/>
    <w:rsid w:val="00E50EE3"/>
    <w:rsid w:val="00E51300"/>
    <w:rsid w:val="00E51C4E"/>
    <w:rsid w:val="00E51E3D"/>
    <w:rsid w:val="00E52197"/>
    <w:rsid w:val="00E55108"/>
    <w:rsid w:val="00E56B56"/>
    <w:rsid w:val="00E56FD9"/>
    <w:rsid w:val="00E57749"/>
    <w:rsid w:val="00E605D3"/>
    <w:rsid w:val="00E610F3"/>
    <w:rsid w:val="00E611AE"/>
    <w:rsid w:val="00E6169A"/>
    <w:rsid w:val="00E6192F"/>
    <w:rsid w:val="00E63E99"/>
    <w:rsid w:val="00E64EA4"/>
    <w:rsid w:val="00E654FF"/>
    <w:rsid w:val="00E65B24"/>
    <w:rsid w:val="00E66F18"/>
    <w:rsid w:val="00E66FF5"/>
    <w:rsid w:val="00E6715F"/>
    <w:rsid w:val="00E67512"/>
    <w:rsid w:val="00E6789E"/>
    <w:rsid w:val="00E67CCB"/>
    <w:rsid w:val="00E70921"/>
    <w:rsid w:val="00E71269"/>
    <w:rsid w:val="00E71A70"/>
    <w:rsid w:val="00E7261F"/>
    <w:rsid w:val="00E75401"/>
    <w:rsid w:val="00E75B67"/>
    <w:rsid w:val="00E75DBC"/>
    <w:rsid w:val="00E75FC5"/>
    <w:rsid w:val="00E76430"/>
    <w:rsid w:val="00E76FAF"/>
    <w:rsid w:val="00E8153E"/>
    <w:rsid w:val="00E81736"/>
    <w:rsid w:val="00E81E32"/>
    <w:rsid w:val="00E81F2A"/>
    <w:rsid w:val="00E843FD"/>
    <w:rsid w:val="00E8468E"/>
    <w:rsid w:val="00E85423"/>
    <w:rsid w:val="00E8594B"/>
    <w:rsid w:val="00E87170"/>
    <w:rsid w:val="00E87DBE"/>
    <w:rsid w:val="00E90A3A"/>
    <w:rsid w:val="00E911E5"/>
    <w:rsid w:val="00E9189A"/>
    <w:rsid w:val="00E91C61"/>
    <w:rsid w:val="00E92A97"/>
    <w:rsid w:val="00E94A37"/>
    <w:rsid w:val="00E956CF"/>
    <w:rsid w:val="00E96079"/>
    <w:rsid w:val="00EA03AE"/>
    <w:rsid w:val="00EA3DDE"/>
    <w:rsid w:val="00EA4741"/>
    <w:rsid w:val="00EA4C8F"/>
    <w:rsid w:val="00EA5EC1"/>
    <w:rsid w:val="00EA7F33"/>
    <w:rsid w:val="00EB26C1"/>
    <w:rsid w:val="00EB29B9"/>
    <w:rsid w:val="00EB2EC8"/>
    <w:rsid w:val="00EB2FEE"/>
    <w:rsid w:val="00EB33EE"/>
    <w:rsid w:val="00EB348D"/>
    <w:rsid w:val="00EB36D9"/>
    <w:rsid w:val="00EB3812"/>
    <w:rsid w:val="00EB38CA"/>
    <w:rsid w:val="00EB42AB"/>
    <w:rsid w:val="00EB5608"/>
    <w:rsid w:val="00EB663A"/>
    <w:rsid w:val="00EB7103"/>
    <w:rsid w:val="00EC0E0A"/>
    <w:rsid w:val="00EC245C"/>
    <w:rsid w:val="00EC30C7"/>
    <w:rsid w:val="00EC352B"/>
    <w:rsid w:val="00EC475C"/>
    <w:rsid w:val="00EC4B5C"/>
    <w:rsid w:val="00EC5AEC"/>
    <w:rsid w:val="00EC6423"/>
    <w:rsid w:val="00EC67F7"/>
    <w:rsid w:val="00EC6A11"/>
    <w:rsid w:val="00EC6A37"/>
    <w:rsid w:val="00EC7A6E"/>
    <w:rsid w:val="00EC7B36"/>
    <w:rsid w:val="00EC7CD5"/>
    <w:rsid w:val="00EC7EC2"/>
    <w:rsid w:val="00ED105D"/>
    <w:rsid w:val="00ED2839"/>
    <w:rsid w:val="00ED67B7"/>
    <w:rsid w:val="00ED6DA0"/>
    <w:rsid w:val="00ED7160"/>
    <w:rsid w:val="00EE1D98"/>
    <w:rsid w:val="00EE2767"/>
    <w:rsid w:val="00EE5606"/>
    <w:rsid w:val="00EE6296"/>
    <w:rsid w:val="00EF0E77"/>
    <w:rsid w:val="00EF11ED"/>
    <w:rsid w:val="00EF12D1"/>
    <w:rsid w:val="00EF2049"/>
    <w:rsid w:val="00EF289F"/>
    <w:rsid w:val="00EF4AD9"/>
    <w:rsid w:val="00EF585B"/>
    <w:rsid w:val="00EF79B8"/>
    <w:rsid w:val="00EF7A05"/>
    <w:rsid w:val="00EF7CD5"/>
    <w:rsid w:val="00F031BD"/>
    <w:rsid w:val="00F04FB4"/>
    <w:rsid w:val="00F0606D"/>
    <w:rsid w:val="00F06654"/>
    <w:rsid w:val="00F07B52"/>
    <w:rsid w:val="00F107D2"/>
    <w:rsid w:val="00F109D5"/>
    <w:rsid w:val="00F1366B"/>
    <w:rsid w:val="00F138A4"/>
    <w:rsid w:val="00F163BF"/>
    <w:rsid w:val="00F167A0"/>
    <w:rsid w:val="00F17269"/>
    <w:rsid w:val="00F21145"/>
    <w:rsid w:val="00F23117"/>
    <w:rsid w:val="00F23D2B"/>
    <w:rsid w:val="00F25BF0"/>
    <w:rsid w:val="00F25E94"/>
    <w:rsid w:val="00F260F1"/>
    <w:rsid w:val="00F261AD"/>
    <w:rsid w:val="00F26A06"/>
    <w:rsid w:val="00F26BE5"/>
    <w:rsid w:val="00F2779E"/>
    <w:rsid w:val="00F3162E"/>
    <w:rsid w:val="00F3177F"/>
    <w:rsid w:val="00F31807"/>
    <w:rsid w:val="00F33F2A"/>
    <w:rsid w:val="00F34EE1"/>
    <w:rsid w:val="00F356E9"/>
    <w:rsid w:val="00F35FDB"/>
    <w:rsid w:val="00F362EC"/>
    <w:rsid w:val="00F37749"/>
    <w:rsid w:val="00F400DD"/>
    <w:rsid w:val="00F40C49"/>
    <w:rsid w:val="00F41B27"/>
    <w:rsid w:val="00F41F14"/>
    <w:rsid w:val="00F428EC"/>
    <w:rsid w:val="00F435E4"/>
    <w:rsid w:val="00F441BD"/>
    <w:rsid w:val="00F44870"/>
    <w:rsid w:val="00F44F9A"/>
    <w:rsid w:val="00F476A0"/>
    <w:rsid w:val="00F47D1A"/>
    <w:rsid w:val="00F508D6"/>
    <w:rsid w:val="00F50974"/>
    <w:rsid w:val="00F50BCE"/>
    <w:rsid w:val="00F540AD"/>
    <w:rsid w:val="00F55662"/>
    <w:rsid w:val="00F55AF7"/>
    <w:rsid w:val="00F55F85"/>
    <w:rsid w:val="00F6317A"/>
    <w:rsid w:val="00F638ED"/>
    <w:rsid w:val="00F63D6E"/>
    <w:rsid w:val="00F653BD"/>
    <w:rsid w:val="00F65620"/>
    <w:rsid w:val="00F656B3"/>
    <w:rsid w:val="00F66DF2"/>
    <w:rsid w:val="00F6750A"/>
    <w:rsid w:val="00F677E2"/>
    <w:rsid w:val="00F705A2"/>
    <w:rsid w:val="00F70EAD"/>
    <w:rsid w:val="00F7110E"/>
    <w:rsid w:val="00F72DCD"/>
    <w:rsid w:val="00F74587"/>
    <w:rsid w:val="00F74591"/>
    <w:rsid w:val="00F748E2"/>
    <w:rsid w:val="00F7605D"/>
    <w:rsid w:val="00F76FE5"/>
    <w:rsid w:val="00F77317"/>
    <w:rsid w:val="00F77A04"/>
    <w:rsid w:val="00F813E7"/>
    <w:rsid w:val="00F819C7"/>
    <w:rsid w:val="00F81C60"/>
    <w:rsid w:val="00F82180"/>
    <w:rsid w:val="00F831EE"/>
    <w:rsid w:val="00F839E2"/>
    <w:rsid w:val="00F83ACE"/>
    <w:rsid w:val="00F83ED7"/>
    <w:rsid w:val="00F84E4B"/>
    <w:rsid w:val="00F85730"/>
    <w:rsid w:val="00F85811"/>
    <w:rsid w:val="00F863D0"/>
    <w:rsid w:val="00F901E8"/>
    <w:rsid w:val="00F9221A"/>
    <w:rsid w:val="00F92FF0"/>
    <w:rsid w:val="00F933DA"/>
    <w:rsid w:val="00F93C3F"/>
    <w:rsid w:val="00F93FC7"/>
    <w:rsid w:val="00F94547"/>
    <w:rsid w:val="00F94EBA"/>
    <w:rsid w:val="00F94ECB"/>
    <w:rsid w:val="00F953C7"/>
    <w:rsid w:val="00F9617B"/>
    <w:rsid w:val="00FA1E09"/>
    <w:rsid w:val="00FA2FBC"/>
    <w:rsid w:val="00FA3C04"/>
    <w:rsid w:val="00FA3E17"/>
    <w:rsid w:val="00FA435D"/>
    <w:rsid w:val="00FA6801"/>
    <w:rsid w:val="00FA7D27"/>
    <w:rsid w:val="00FB0346"/>
    <w:rsid w:val="00FB1144"/>
    <w:rsid w:val="00FB24CC"/>
    <w:rsid w:val="00FB2AE5"/>
    <w:rsid w:val="00FB35D9"/>
    <w:rsid w:val="00FB42E7"/>
    <w:rsid w:val="00FB47E1"/>
    <w:rsid w:val="00FB580A"/>
    <w:rsid w:val="00FB6017"/>
    <w:rsid w:val="00FB6CB4"/>
    <w:rsid w:val="00FC0D99"/>
    <w:rsid w:val="00FC127B"/>
    <w:rsid w:val="00FC1684"/>
    <w:rsid w:val="00FC17DC"/>
    <w:rsid w:val="00FC17DF"/>
    <w:rsid w:val="00FC19AC"/>
    <w:rsid w:val="00FC2D5B"/>
    <w:rsid w:val="00FC413A"/>
    <w:rsid w:val="00FC4CE6"/>
    <w:rsid w:val="00FD2890"/>
    <w:rsid w:val="00FD3757"/>
    <w:rsid w:val="00FD4233"/>
    <w:rsid w:val="00FD464E"/>
    <w:rsid w:val="00FD50B4"/>
    <w:rsid w:val="00FD705A"/>
    <w:rsid w:val="00FE2506"/>
    <w:rsid w:val="00FE3415"/>
    <w:rsid w:val="00FE3E76"/>
    <w:rsid w:val="00FE3ECB"/>
    <w:rsid w:val="00FE5101"/>
    <w:rsid w:val="00FE6B2C"/>
    <w:rsid w:val="00FE74D4"/>
    <w:rsid w:val="00FE798B"/>
    <w:rsid w:val="00FF09CC"/>
    <w:rsid w:val="00FF28D5"/>
    <w:rsid w:val="00FF5AAD"/>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70C88"/>
  <w15:docId w15:val="{D7F908D9-1090-4276-A72C-F6116F0D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aliases w:val="Char,Diagrama Diagrama Diagrama, Char"/>
    <w:basedOn w:val="prastasis"/>
    <w:link w:val="AntratsDiagrama"/>
    <w:uiPriority w:val="99"/>
    <w:unhideWhenUsed/>
    <w:rsid w:val="002E4284"/>
    <w:pPr>
      <w:tabs>
        <w:tab w:val="center" w:pos="4819"/>
        <w:tab w:val="right" w:pos="9638"/>
      </w:tabs>
    </w:pPr>
  </w:style>
  <w:style w:type="character" w:customStyle="1" w:styleId="AntratsDiagrama">
    <w:name w:val="Antraštės Diagrama"/>
    <w:aliases w:val="Char Diagrama,Diagrama Diagrama Diagrama Diagrama, Char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Preformatted">
    <w:name w:val="Preformatted"/>
    <w:basedOn w:val="prastasis"/>
    <w:rsid w:val="002607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agrindinistekstas">
    <w:name w:val="Body Text"/>
    <w:basedOn w:val="prastasis"/>
    <w:link w:val="PagrindinistekstasDiagrama"/>
    <w:uiPriority w:val="99"/>
    <w:unhideWhenUsed/>
    <w:rsid w:val="006B1868"/>
    <w:pPr>
      <w:spacing w:after="120"/>
    </w:pPr>
  </w:style>
  <w:style w:type="character" w:customStyle="1" w:styleId="PagrindinistekstasDiagrama">
    <w:name w:val="Pagrindinis tekstas Diagrama"/>
    <w:basedOn w:val="Numatytasispastraiposriftas"/>
    <w:link w:val="Pagrindinistekstas"/>
    <w:uiPriority w:val="99"/>
    <w:rsid w:val="006B186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B5983"/>
    <w:rPr>
      <w:sz w:val="16"/>
      <w:szCs w:val="16"/>
    </w:rPr>
  </w:style>
  <w:style w:type="paragraph" w:styleId="Komentarotekstas">
    <w:name w:val="annotation text"/>
    <w:basedOn w:val="prastasis"/>
    <w:link w:val="KomentarotekstasDiagrama"/>
    <w:uiPriority w:val="99"/>
    <w:semiHidden/>
    <w:unhideWhenUsed/>
    <w:rsid w:val="005B5983"/>
    <w:rPr>
      <w:sz w:val="20"/>
      <w:szCs w:val="20"/>
    </w:rPr>
  </w:style>
  <w:style w:type="character" w:customStyle="1" w:styleId="KomentarotekstasDiagrama">
    <w:name w:val="Komentaro tekstas Diagrama"/>
    <w:basedOn w:val="Numatytasispastraiposriftas"/>
    <w:link w:val="Komentarotekstas"/>
    <w:uiPriority w:val="99"/>
    <w:semiHidden/>
    <w:rsid w:val="005B598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B5983"/>
    <w:rPr>
      <w:b/>
      <w:bCs/>
    </w:rPr>
  </w:style>
  <w:style w:type="character" w:customStyle="1" w:styleId="KomentarotemaDiagrama">
    <w:name w:val="Komentaro tema Diagrama"/>
    <w:basedOn w:val="KomentarotekstasDiagrama"/>
    <w:link w:val="Komentarotema"/>
    <w:uiPriority w:val="99"/>
    <w:semiHidden/>
    <w:rsid w:val="005B5983"/>
    <w:rPr>
      <w:rFonts w:ascii="Times New Roman" w:eastAsia="Times New Roman" w:hAnsi="Times New Roman" w:cs="Times New Roman"/>
      <w:b/>
      <w:bCs/>
      <w:sz w:val="20"/>
      <w:szCs w:val="20"/>
      <w:lang w:eastAsia="lt-LT"/>
    </w:rPr>
  </w:style>
  <w:style w:type="character" w:customStyle="1" w:styleId="Bodytext2">
    <w:name w:val="Body text (2)_"/>
    <w:basedOn w:val="Numatytasispastraiposriftas"/>
    <w:link w:val="Bodytext20"/>
    <w:rsid w:val="008F2E9F"/>
    <w:rPr>
      <w:rFonts w:ascii="Times New Roman" w:eastAsia="Times New Roman" w:hAnsi="Times New Roman" w:cs="Times New Roman"/>
      <w:sz w:val="26"/>
      <w:szCs w:val="26"/>
      <w:shd w:val="clear" w:color="auto" w:fill="FFFFFF"/>
    </w:rPr>
  </w:style>
  <w:style w:type="paragraph" w:customStyle="1" w:styleId="Bodytext20">
    <w:name w:val="Body text (2)"/>
    <w:basedOn w:val="prastasis"/>
    <w:link w:val="Bodytext2"/>
    <w:rsid w:val="008F2E9F"/>
    <w:pPr>
      <w:widowControl w:val="0"/>
      <w:shd w:val="clear" w:color="auto" w:fill="FFFFFF"/>
      <w:spacing w:before="120" w:after="360" w:line="0" w:lineRule="atLeast"/>
      <w:jc w:val="right"/>
    </w:pPr>
    <w:rPr>
      <w:sz w:val="26"/>
      <w:szCs w:val="26"/>
      <w:lang w:eastAsia="en-US"/>
    </w:rPr>
  </w:style>
  <w:style w:type="character" w:customStyle="1" w:styleId="Bodytext2Italic">
    <w:name w:val="Body text (2) + Italic"/>
    <w:basedOn w:val="Bodytext2"/>
    <w:rsid w:val="000716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5">
    <w:name w:val="Body text (5)_"/>
    <w:basedOn w:val="Numatytasispastraiposriftas"/>
    <w:rsid w:val="004D026F"/>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4D026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apple-converted-space">
    <w:name w:val="apple-converted-space"/>
    <w:basedOn w:val="Numatytasispastraiposriftas"/>
    <w:rsid w:val="00E87DBE"/>
  </w:style>
  <w:style w:type="paragraph" w:styleId="Puslapioinaostekstas">
    <w:name w:val="footnote text"/>
    <w:basedOn w:val="prastasis"/>
    <w:link w:val="PuslapioinaostekstasDiagrama"/>
    <w:uiPriority w:val="99"/>
    <w:semiHidden/>
    <w:unhideWhenUsed/>
    <w:rsid w:val="000F608C"/>
    <w:rPr>
      <w:sz w:val="20"/>
      <w:szCs w:val="20"/>
    </w:rPr>
  </w:style>
  <w:style w:type="character" w:customStyle="1" w:styleId="PuslapioinaostekstasDiagrama">
    <w:name w:val="Puslapio išnašos tekstas Diagrama"/>
    <w:basedOn w:val="Numatytasispastraiposriftas"/>
    <w:link w:val="Puslapioinaostekstas"/>
    <w:uiPriority w:val="99"/>
    <w:semiHidden/>
    <w:rsid w:val="000F608C"/>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F608C"/>
    <w:rPr>
      <w:vertAlign w:val="superscript"/>
    </w:rPr>
  </w:style>
  <w:style w:type="character" w:customStyle="1" w:styleId="quatationtext">
    <w:name w:val="quatation_text"/>
    <w:basedOn w:val="Numatytasispastraiposriftas"/>
    <w:rsid w:val="004C6A70"/>
    <w:rPr>
      <w:rFonts w:ascii="Arial" w:hAnsi="Arial" w:cs="Arial" w:hint="default"/>
      <w:b/>
      <w:bCs/>
      <w:vanish w:val="0"/>
      <w:webHidden w:val="0"/>
      <w:color w:val="4A473C"/>
      <w:sz w:val="17"/>
      <w:szCs w:val="17"/>
      <w:specVanish w:val="0"/>
    </w:rPr>
  </w:style>
  <w:style w:type="character" w:styleId="Grietas">
    <w:name w:val="Strong"/>
    <w:basedOn w:val="Numatytasispastraiposriftas"/>
    <w:uiPriority w:val="22"/>
    <w:qFormat/>
    <w:rsid w:val="001B04C7"/>
    <w:rPr>
      <w:b/>
      <w:bCs/>
    </w:rPr>
  </w:style>
  <w:style w:type="character" w:customStyle="1" w:styleId="st">
    <w:name w:val="st"/>
    <w:basedOn w:val="Numatytasispastraiposriftas"/>
    <w:rsid w:val="00BC2B99"/>
  </w:style>
  <w:style w:type="paragraph" w:styleId="Pagrindiniotekstotrauka">
    <w:name w:val="Body Text Indent"/>
    <w:basedOn w:val="prastasis"/>
    <w:link w:val="PagrindiniotekstotraukaDiagrama"/>
    <w:uiPriority w:val="99"/>
    <w:semiHidden/>
    <w:unhideWhenUsed/>
    <w:rsid w:val="004261F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261F0"/>
    <w:rPr>
      <w:rFonts w:ascii="Times New Roman" w:eastAsia="Times New Roman" w:hAnsi="Times New Roman" w:cs="Times New Roman"/>
      <w:sz w:val="24"/>
      <w:szCs w:val="24"/>
      <w:lang w:eastAsia="lt-LT"/>
    </w:rPr>
  </w:style>
  <w:style w:type="paragraph" w:customStyle="1" w:styleId="Default">
    <w:name w:val="Default"/>
    <w:rsid w:val="00F63D6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7419">
      <w:bodyDiv w:val="1"/>
      <w:marLeft w:val="225"/>
      <w:marRight w:val="225"/>
      <w:marTop w:val="0"/>
      <w:marBottom w:val="0"/>
      <w:divBdr>
        <w:top w:val="none" w:sz="0" w:space="0" w:color="auto"/>
        <w:left w:val="none" w:sz="0" w:space="0" w:color="auto"/>
        <w:bottom w:val="none" w:sz="0" w:space="0" w:color="auto"/>
        <w:right w:val="none" w:sz="0" w:space="0" w:color="auto"/>
      </w:divBdr>
      <w:divsChild>
        <w:div w:id="458644730">
          <w:marLeft w:val="0"/>
          <w:marRight w:val="0"/>
          <w:marTop w:val="0"/>
          <w:marBottom w:val="0"/>
          <w:divBdr>
            <w:top w:val="none" w:sz="0" w:space="0" w:color="auto"/>
            <w:left w:val="none" w:sz="0" w:space="0" w:color="auto"/>
            <w:bottom w:val="none" w:sz="0" w:space="0" w:color="auto"/>
            <w:right w:val="none" w:sz="0" w:space="0" w:color="auto"/>
          </w:divBdr>
        </w:div>
      </w:divsChild>
    </w:div>
    <w:div w:id="145319593">
      <w:bodyDiv w:val="1"/>
      <w:marLeft w:val="0"/>
      <w:marRight w:val="0"/>
      <w:marTop w:val="0"/>
      <w:marBottom w:val="0"/>
      <w:divBdr>
        <w:top w:val="none" w:sz="0" w:space="0" w:color="auto"/>
        <w:left w:val="none" w:sz="0" w:space="0" w:color="auto"/>
        <w:bottom w:val="none" w:sz="0" w:space="0" w:color="auto"/>
        <w:right w:val="none" w:sz="0" w:space="0" w:color="auto"/>
      </w:divBdr>
    </w:div>
    <w:div w:id="284194433">
      <w:bodyDiv w:val="1"/>
      <w:marLeft w:val="0"/>
      <w:marRight w:val="0"/>
      <w:marTop w:val="0"/>
      <w:marBottom w:val="0"/>
      <w:divBdr>
        <w:top w:val="none" w:sz="0" w:space="0" w:color="auto"/>
        <w:left w:val="none" w:sz="0" w:space="0" w:color="auto"/>
        <w:bottom w:val="none" w:sz="0" w:space="0" w:color="auto"/>
        <w:right w:val="none" w:sz="0" w:space="0" w:color="auto"/>
      </w:divBdr>
    </w:div>
    <w:div w:id="326322559">
      <w:bodyDiv w:val="1"/>
      <w:marLeft w:val="0"/>
      <w:marRight w:val="0"/>
      <w:marTop w:val="0"/>
      <w:marBottom w:val="0"/>
      <w:divBdr>
        <w:top w:val="none" w:sz="0" w:space="0" w:color="auto"/>
        <w:left w:val="none" w:sz="0" w:space="0" w:color="auto"/>
        <w:bottom w:val="none" w:sz="0" w:space="0" w:color="auto"/>
        <w:right w:val="none" w:sz="0" w:space="0" w:color="auto"/>
      </w:divBdr>
    </w:div>
    <w:div w:id="423310516">
      <w:bodyDiv w:val="1"/>
      <w:marLeft w:val="0"/>
      <w:marRight w:val="0"/>
      <w:marTop w:val="0"/>
      <w:marBottom w:val="0"/>
      <w:divBdr>
        <w:top w:val="none" w:sz="0" w:space="0" w:color="auto"/>
        <w:left w:val="none" w:sz="0" w:space="0" w:color="auto"/>
        <w:bottom w:val="none" w:sz="0" w:space="0" w:color="auto"/>
        <w:right w:val="none" w:sz="0" w:space="0" w:color="auto"/>
      </w:divBdr>
    </w:div>
    <w:div w:id="423919589">
      <w:bodyDiv w:val="1"/>
      <w:marLeft w:val="0"/>
      <w:marRight w:val="0"/>
      <w:marTop w:val="0"/>
      <w:marBottom w:val="0"/>
      <w:divBdr>
        <w:top w:val="none" w:sz="0" w:space="0" w:color="auto"/>
        <w:left w:val="none" w:sz="0" w:space="0" w:color="auto"/>
        <w:bottom w:val="none" w:sz="0" w:space="0" w:color="auto"/>
        <w:right w:val="none" w:sz="0" w:space="0" w:color="auto"/>
      </w:divBdr>
    </w:div>
    <w:div w:id="531188220">
      <w:bodyDiv w:val="1"/>
      <w:marLeft w:val="0"/>
      <w:marRight w:val="0"/>
      <w:marTop w:val="0"/>
      <w:marBottom w:val="0"/>
      <w:divBdr>
        <w:top w:val="none" w:sz="0" w:space="0" w:color="auto"/>
        <w:left w:val="none" w:sz="0" w:space="0" w:color="auto"/>
        <w:bottom w:val="none" w:sz="0" w:space="0" w:color="auto"/>
        <w:right w:val="none" w:sz="0" w:space="0" w:color="auto"/>
      </w:divBdr>
    </w:div>
    <w:div w:id="600334155">
      <w:bodyDiv w:val="1"/>
      <w:marLeft w:val="0"/>
      <w:marRight w:val="0"/>
      <w:marTop w:val="0"/>
      <w:marBottom w:val="0"/>
      <w:divBdr>
        <w:top w:val="none" w:sz="0" w:space="0" w:color="auto"/>
        <w:left w:val="none" w:sz="0" w:space="0" w:color="auto"/>
        <w:bottom w:val="none" w:sz="0" w:space="0" w:color="auto"/>
        <w:right w:val="none" w:sz="0" w:space="0" w:color="auto"/>
      </w:divBdr>
      <w:divsChild>
        <w:div w:id="1481772978">
          <w:marLeft w:val="0"/>
          <w:marRight w:val="0"/>
          <w:marTop w:val="0"/>
          <w:marBottom w:val="0"/>
          <w:divBdr>
            <w:top w:val="none" w:sz="0" w:space="0" w:color="auto"/>
            <w:left w:val="none" w:sz="0" w:space="0" w:color="auto"/>
            <w:bottom w:val="none" w:sz="0" w:space="0" w:color="auto"/>
            <w:right w:val="none" w:sz="0" w:space="0" w:color="auto"/>
          </w:divBdr>
          <w:divsChild>
            <w:div w:id="2136367366">
              <w:marLeft w:val="0"/>
              <w:marRight w:val="0"/>
              <w:marTop w:val="0"/>
              <w:marBottom w:val="0"/>
              <w:divBdr>
                <w:top w:val="none" w:sz="0" w:space="0" w:color="auto"/>
                <w:left w:val="none" w:sz="0" w:space="0" w:color="auto"/>
                <w:bottom w:val="none" w:sz="0" w:space="0" w:color="auto"/>
                <w:right w:val="none" w:sz="0" w:space="0" w:color="auto"/>
              </w:divBdr>
              <w:divsChild>
                <w:div w:id="1145927068">
                  <w:marLeft w:val="0"/>
                  <w:marRight w:val="0"/>
                  <w:marTop w:val="0"/>
                  <w:marBottom w:val="0"/>
                  <w:divBdr>
                    <w:top w:val="none" w:sz="0" w:space="0" w:color="auto"/>
                    <w:left w:val="none" w:sz="0" w:space="0" w:color="auto"/>
                    <w:bottom w:val="none" w:sz="0" w:space="0" w:color="auto"/>
                    <w:right w:val="none" w:sz="0" w:space="0" w:color="auto"/>
                  </w:divBdr>
                  <w:divsChild>
                    <w:div w:id="879587251">
                      <w:marLeft w:val="0"/>
                      <w:marRight w:val="0"/>
                      <w:marTop w:val="0"/>
                      <w:marBottom w:val="0"/>
                      <w:divBdr>
                        <w:top w:val="none" w:sz="0" w:space="0" w:color="auto"/>
                        <w:left w:val="none" w:sz="0" w:space="0" w:color="auto"/>
                        <w:bottom w:val="none" w:sz="0" w:space="0" w:color="auto"/>
                        <w:right w:val="none" w:sz="0" w:space="0" w:color="auto"/>
                      </w:divBdr>
                      <w:divsChild>
                        <w:div w:id="7973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11347">
      <w:bodyDiv w:val="1"/>
      <w:marLeft w:val="0"/>
      <w:marRight w:val="0"/>
      <w:marTop w:val="0"/>
      <w:marBottom w:val="0"/>
      <w:divBdr>
        <w:top w:val="none" w:sz="0" w:space="0" w:color="auto"/>
        <w:left w:val="none" w:sz="0" w:space="0" w:color="auto"/>
        <w:bottom w:val="none" w:sz="0" w:space="0" w:color="auto"/>
        <w:right w:val="none" w:sz="0" w:space="0" w:color="auto"/>
      </w:divBdr>
    </w:div>
    <w:div w:id="1321427551">
      <w:bodyDiv w:val="1"/>
      <w:marLeft w:val="0"/>
      <w:marRight w:val="0"/>
      <w:marTop w:val="0"/>
      <w:marBottom w:val="0"/>
      <w:divBdr>
        <w:top w:val="none" w:sz="0" w:space="0" w:color="auto"/>
        <w:left w:val="none" w:sz="0" w:space="0" w:color="auto"/>
        <w:bottom w:val="none" w:sz="0" w:space="0" w:color="auto"/>
        <w:right w:val="none" w:sz="0" w:space="0" w:color="auto"/>
      </w:divBdr>
    </w:div>
    <w:div w:id="1339042638">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53286786">
      <w:bodyDiv w:val="1"/>
      <w:marLeft w:val="0"/>
      <w:marRight w:val="0"/>
      <w:marTop w:val="0"/>
      <w:marBottom w:val="0"/>
      <w:divBdr>
        <w:top w:val="none" w:sz="0" w:space="0" w:color="auto"/>
        <w:left w:val="none" w:sz="0" w:space="0" w:color="auto"/>
        <w:bottom w:val="none" w:sz="0" w:space="0" w:color="auto"/>
        <w:right w:val="none" w:sz="0" w:space="0" w:color="auto"/>
      </w:divBdr>
    </w:div>
    <w:div w:id="1505434173">
      <w:bodyDiv w:val="1"/>
      <w:marLeft w:val="0"/>
      <w:marRight w:val="0"/>
      <w:marTop w:val="0"/>
      <w:marBottom w:val="0"/>
      <w:divBdr>
        <w:top w:val="none" w:sz="0" w:space="0" w:color="auto"/>
        <w:left w:val="none" w:sz="0" w:space="0" w:color="auto"/>
        <w:bottom w:val="none" w:sz="0" w:space="0" w:color="auto"/>
        <w:right w:val="none" w:sz="0" w:space="0" w:color="auto"/>
      </w:divBdr>
    </w:div>
    <w:div w:id="1507094316">
      <w:bodyDiv w:val="1"/>
      <w:marLeft w:val="0"/>
      <w:marRight w:val="0"/>
      <w:marTop w:val="0"/>
      <w:marBottom w:val="0"/>
      <w:divBdr>
        <w:top w:val="none" w:sz="0" w:space="0" w:color="auto"/>
        <w:left w:val="none" w:sz="0" w:space="0" w:color="auto"/>
        <w:bottom w:val="none" w:sz="0" w:space="0" w:color="auto"/>
        <w:right w:val="none" w:sz="0" w:space="0" w:color="auto"/>
      </w:divBdr>
      <w:divsChild>
        <w:div w:id="786847515">
          <w:marLeft w:val="0"/>
          <w:marRight w:val="0"/>
          <w:marTop w:val="0"/>
          <w:marBottom w:val="0"/>
          <w:divBdr>
            <w:top w:val="none" w:sz="0" w:space="0" w:color="auto"/>
            <w:left w:val="none" w:sz="0" w:space="0" w:color="auto"/>
            <w:bottom w:val="none" w:sz="0" w:space="0" w:color="auto"/>
            <w:right w:val="none" w:sz="0" w:space="0" w:color="auto"/>
          </w:divBdr>
          <w:divsChild>
            <w:div w:id="579801314">
              <w:marLeft w:val="0"/>
              <w:marRight w:val="0"/>
              <w:marTop w:val="0"/>
              <w:marBottom w:val="0"/>
              <w:divBdr>
                <w:top w:val="none" w:sz="0" w:space="0" w:color="auto"/>
                <w:left w:val="none" w:sz="0" w:space="0" w:color="auto"/>
                <w:bottom w:val="none" w:sz="0" w:space="0" w:color="auto"/>
                <w:right w:val="none" w:sz="0" w:space="0" w:color="auto"/>
              </w:divBdr>
              <w:divsChild>
                <w:div w:id="973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6758">
      <w:bodyDiv w:val="1"/>
      <w:marLeft w:val="0"/>
      <w:marRight w:val="0"/>
      <w:marTop w:val="0"/>
      <w:marBottom w:val="0"/>
      <w:divBdr>
        <w:top w:val="none" w:sz="0" w:space="0" w:color="auto"/>
        <w:left w:val="none" w:sz="0" w:space="0" w:color="auto"/>
        <w:bottom w:val="none" w:sz="0" w:space="0" w:color="auto"/>
        <w:right w:val="none" w:sz="0" w:space="0" w:color="auto"/>
      </w:divBdr>
    </w:div>
    <w:div w:id="1543978712">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72104843">
      <w:bodyDiv w:val="1"/>
      <w:marLeft w:val="0"/>
      <w:marRight w:val="0"/>
      <w:marTop w:val="0"/>
      <w:marBottom w:val="0"/>
      <w:divBdr>
        <w:top w:val="none" w:sz="0" w:space="0" w:color="auto"/>
        <w:left w:val="none" w:sz="0" w:space="0" w:color="auto"/>
        <w:bottom w:val="none" w:sz="0" w:space="0" w:color="auto"/>
        <w:right w:val="none" w:sz="0" w:space="0" w:color="auto"/>
      </w:divBdr>
    </w:div>
    <w:div w:id="1805003214">
      <w:bodyDiv w:val="1"/>
      <w:marLeft w:val="0"/>
      <w:marRight w:val="0"/>
      <w:marTop w:val="0"/>
      <w:marBottom w:val="0"/>
      <w:divBdr>
        <w:top w:val="none" w:sz="0" w:space="0" w:color="auto"/>
        <w:left w:val="none" w:sz="0" w:space="0" w:color="auto"/>
        <w:bottom w:val="none" w:sz="0" w:space="0" w:color="auto"/>
        <w:right w:val="none" w:sz="0" w:space="0" w:color="auto"/>
      </w:divBdr>
    </w:div>
    <w:div w:id="1817456435">
      <w:bodyDiv w:val="1"/>
      <w:marLeft w:val="225"/>
      <w:marRight w:val="225"/>
      <w:marTop w:val="0"/>
      <w:marBottom w:val="0"/>
      <w:divBdr>
        <w:top w:val="none" w:sz="0" w:space="0" w:color="auto"/>
        <w:left w:val="none" w:sz="0" w:space="0" w:color="auto"/>
        <w:bottom w:val="none" w:sz="0" w:space="0" w:color="auto"/>
        <w:right w:val="none" w:sz="0" w:space="0" w:color="auto"/>
      </w:divBdr>
    </w:div>
    <w:div w:id="1857577443">
      <w:bodyDiv w:val="1"/>
      <w:marLeft w:val="0"/>
      <w:marRight w:val="0"/>
      <w:marTop w:val="0"/>
      <w:marBottom w:val="0"/>
      <w:divBdr>
        <w:top w:val="none" w:sz="0" w:space="0" w:color="auto"/>
        <w:left w:val="none" w:sz="0" w:space="0" w:color="auto"/>
        <w:bottom w:val="none" w:sz="0" w:space="0" w:color="auto"/>
        <w:right w:val="none" w:sz="0" w:space="0" w:color="auto"/>
      </w:divBdr>
    </w:div>
    <w:div w:id="2025590127">
      <w:bodyDiv w:val="1"/>
      <w:marLeft w:val="0"/>
      <w:marRight w:val="0"/>
      <w:marTop w:val="0"/>
      <w:marBottom w:val="0"/>
      <w:divBdr>
        <w:top w:val="none" w:sz="0" w:space="0" w:color="auto"/>
        <w:left w:val="none" w:sz="0" w:space="0" w:color="auto"/>
        <w:bottom w:val="none" w:sz="0" w:space="0" w:color="auto"/>
        <w:right w:val="none" w:sz="0" w:space="0" w:color="auto"/>
      </w:divBdr>
    </w:div>
    <w:div w:id="2027753480">
      <w:bodyDiv w:val="1"/>
      <w:marLeft w:val="0"/>
      <w:marRight w:val="0"/>
      <w:marTop w:val="0"/>
      <w:marBottom w:val="0"/>
      <w:divBdr>
        <w:top w:val="none" w:sz="0" w:space="0" w:color="auto"/>
        <w:left w:val="none" w:sz="0" w:space="0" w:color="auto"/>
        <w:bottom w:val="none" w:sz="0" w:space="0" w:color="auto"/>
        <w:right w:val="none" w:sz="0" w:space="0" w:color="auto"/>
      </w:divBdr>
    </w:div>
    <w:div w:id="2085685353">
      <w:bodyDiv w:val="1"/>
      <w:marLeft w:val="0"/>
      <w:marRight w:val="0"/>
      <w:marTop w:val="0"/>
      <w:marBottom w:val="0"/>
      <w:divBdr>
        <w:top w:val="none" w:sz="0" w:space="0" w:color="auto"/>
        <w:left w:val="none" w:sz="0" w:space="0" w:color="auto"/>
        <w:bottom w:val="none" w:sz="0" w:space="0" w:color="auto"/>
        <w:right w:val="none" w:sz="0" w:space="0" w:color="auto"/>
      </w:divBdr>
    </w:div>
    <w:div w:id="21209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432861"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46D9-6233-4494-AEE8-943FA1E3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5704</TotalTime>
  <Pages>30</Pages>
  <Words>59635</Words>
  <Characters>33992</Characters>
  <Application>Microsoft Office Word</Application>
  <DocSecurity>0</DocSecurity>
  <Lines>283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2015-12-16T12:58:00Z</dcterms:created>
  <dc:creator>a.vagelaite</dc:creator>
  <cp:lastModifiedBy>Aida Gritienė</cp:lastModifiedBy>
  <cp:lastPrinted>2019-04-16T10:41:00Z</cp:lastPrinted>
  <dcterms:modified xsi:type="dcterms:W3CDTF">2019-04-17T06:44:00Z</dcterms:modified>
  <cp:revision>556</cp:revision>
</cp:coreProperties>
</file>