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25DD" w14:textId="41651C46" w:rsidR="00ED2248" w:rsidRDefault="00ED2248" w:rsidP="00ED2248">
      <w:pPr>
        <w:pStyle w:val="Pavadinimas"/>
      </w:pPr>
      <w:r w:rsidRPr="00FF386E">
        <w:rPr>
          <w:caps/>
          <w:lang w:eastAsia="lt-LT"/>
        </w:rPr>
        <w:t xml:space="preserve">Lietuvos Respublikos įstatymo „Dėl Europos Sąjungos valstybių narių sprendimų baudžiamosiose bylose tarpusavio pripažinimo ir vykdymo“ Nr. XII-1322 3, 4, 5, 6, 7, 11, 12, 14, 17, 18, 20, 21, 22, 23, 24, 26, </w:t>
      </w:r>
      <w:r w:rsidRPr="00FF386E">
        <w:rPr>
          <w:caps/>
        </w:rPr>
        <w:t xml:space="preserve">37, 43, 52, 67, 72 straipsnių ir priedo pakeitimo </w:t>
      </w:r>
      <w:r w:rsidR="00887BA8">
        <w:rPr>
          <w:caps/>
          <w:lang w:eastAsia="lt-LT"/>
        </w:rPr>
        <w:t>bei</w:t>
      </w:r>
      <w:r w:rsidRPr="00FF386E">
        <w:rPr>
          <w:caps/>
          <w:lang w:eastAsia="lt-LT"/>
        </w:rPr>
        <w:t xml:space="preserve"> įstatymo papildymo 24</w:t>
      </w:r>
      <w:r w:rsidRPr="00FF386E">
        <w:rPr>
          <w:caps/>
          <w:vertAlign w:val="superscript"/>
          <w:lang w:eastAsia="lt-LT"/>
        </w:rPr>
        <w:t>1</w:t>
      </w:r>
      <w:r>
        <w:rPr>
          <w:caps/>
          <w:lang w:eastAsia="lt-LT"/>
        </w:rPr>
        <w:t xml:space="preserve"> straipsniu įstatymo projekto</w:t>
      </w:r>
      <w:r w:rsidRPr="00FF386E">
        <w:rPr>
          <w:caps/>
          <w:lang w:eastAsia="lt-LT"/>
        </w:rPr>
        <w:t xml:space="preserve"> ir Lietuvos Respublikos Vyriausybės nutarimo „Dėl Lietuvos Respublikos įstatymo „Dėl Europos Sąjungos valstybių narių sprendimų baudžiamosiose bylose tarpusavio pripažinimo ir vykdymo“ Nr. XII-1322 3, 4, 5, 6, 7, 11, 12 14, 17, 18, 20, 21, 22, 23, 24, 26, </w:t>
      </w:r>
      <w:r w:rsidRPr="00FF386E">
        <w:rPr>
          <w:caps/>
        </w:rPr>
        <w:t xml:space="preserve">37, 43, 52, 67, 72 straipsnių ir priedo pakeitimo </w:t>
      </w:r>
      <w:r w:rsidR="00887BA8">
        <w:rPr>
          <w:caps/>
        </w:rPr>
        <w:t>bei</w:t>
      </w:r>
      <w:r w:rsidRPr="00FF386E">
        <w:rPr>
          <w:caps/>
          <w:lang w:eastAsia="lt-LT"/>
        </w:rPr>
        <w:t xml:space="preserve"> įstatymo papildymo 24</w:t>
      </w:r>
      <w:r w:rsidRPr="00FF386E">
        <w:rPr>
          <w:caps/>
          <w:vertAlign w:val="superscript"/>
          <w:lang w:eastAsia="lt-LT"/>
        </w:rPr>
        <w:t>1</w:t>
      </w:r>
      <w:r w:rsidRPr="00FF386E">
        <w:rPr>
          <w:caps/>
          <w:lang w:eastAsia="lt-LT"/>
        </w:rPr>
        <w:t xml:space="preserve"> straipsniu įstatymo projekt</w:t>
      </w:r>
      <w:r>
        <w:rPr>
          <w:caps/>
          <w:lang w:eastAsia="lt-LT"/>
        </w:rPr>
        <w:t>o</w:t>
      </w:r>
      <w:r w:rsidRPr="00FF386E">
        <w:rPr>
          <w:caps/>
          <w:lang w:eastAsia="lt-LT"/>
        </w:rPr>
        <w:t xml:space="preserve"> pateikimo Lietuvos Respublikos Seimui“ projekt</w:t>
      </w:r>
      <w:r>
        <w:rPr>
          <w:caps/>
          <w:lang w:eastAsia="lt-LT"/>
        </w:rPr>
        <w:t xml:space="preserve">o </w:t>
      </w:r>
      <w:r>
        <w:t>DERINIMO PAŽYMA</w:t>
      </w:r>
    </w:p>
    <w:p w14:paraId="0B546202" w14:textId="77777777" w:rsidR="00ED2248" w:rsidRDefault="00ED2248" w:rsidP="00ED2248">
      <w:pPr>
        <w:pStyle w:val="Pavadinimas"/>
      </w:pPr>
    </w:p>
    <w:tbl>
      <w:tblPr>
        <w:tblStyle w:val="Lentelstinklelis"/>
        <w:tblW w:w="0" w:type="auto"/>
        <w:tblLook w:val="04A0" w:firstRow="1" w:lastRow="0" w:firstColumn="1" w:lastColumn="0" w:noHBand="0" w:noVBand="1"/>
      </w:tblPr>
      <w:tblGrid>
        <w:gridCol w:w="704"/>
        <w:gridCol w:w="2693"/>
        <w:gridCol w:w="5529"/>
        <w:gridCol w:w="5634"/>
      </w:tblGrid>
      <w:tr w:rsidR="00702C4E" w14:paraId="6BBB976D" w14:textId="77777777" w:rsidTr="007E6F95">
        <w:tc>
          <w:tcPr>
            <w:tcW w:w="704" w:type="dxa"/>
          </w:tcPr>
          <w:p w14:paraId="2DD3E631" w14:textId="6234660E" w:rsidR="00702C4E" w:rsidRDefault="00702C4E" w:rsidP="00ED2248">
            <w:pPr>
              <w:pStyle w:val="Pavadinimas"/>
            </w:pPr>
            <w:r>
              <w:rPr>
                <w:b w:val="0"/>
                <w:bCs w:val="0"/>
              </w:rPr>
              <w:t>Eil. Nr.</w:t>
            </w:r>
          </w:p>
        </w:tc>
        <w:tc>
          <w:tcPr>
            <w:tcW w:w="2693" w:type="dxa"/>
          </w:tcPr>
          <w:p w14:paraId="3532A125" w14:textId="1D1D8CB0" w:rsidR="00702C4E" w:rsidRDefault="00702C4E" w:rsidP="00ED2248">
            <w:pPr>
              <w:pStyle w:val="Pavadinimas"/>
            </w:pPr>
            <w:r>
              <w:rPr>
                <w:b w:val="0"/>
                <w:bCs w:val="0"/>
              </w:rPr>
              <w:t>Institucijos pavadinimas</w:t>
            </w:r>
          </w:p>
        </w:tc>
        <w:tc>
          <w:tcPr>
            <w:tcW w:w="5529" w:type="dxa"/>
          </w:tcPr>
          <w:p w14:paraId="725CDCE2" w14:textId="38EB9BA8" w:rsidR="00702C4E" w:rsidRDefault="00702C4E" w:rsidP="00ED2248">
            <w:pPr>
              <w:pStyle w:val="Pavadinimas"/>
            </w:pPr>
            <w:r>
              <w:rPr>
                <w:b w:val="0"/>
                <w:bCs w:val="0"/>
              </w:rPr>
              <w:t>Pastabos ir pasiūlymai</w:t>
            </w:r>
          </w:p>
        </w:tc>
        <w:tc>
          <w:tcPr>
            <w:tcW w:w="5634" w:type="dxa"/>
          </w:tcPr>
          <w:p w14:paraId="6F92BF23" w14:textId="60BD0BA7" w:rsidR="00702C4E" w:rsidRDefault="00702C4E" w:rsidP="00ED2248">
            <w:pPr>
              <w:pStyle w:val="Pavadinimas"/>
            </w:pPr>
            <w:r>
              <w:rPr>
                <w:b w:val="0"/>
                <w:bCs w:val="0"/>
              </w:rPr>
              <w:t>Argumentai, kodėl į pastabas ir pasiūlymus neatsižvelgta</w:t>
            </w:r>
          </w:p>
        </w:tc>
      </w:tr>
      <w:tr w:rsidR="00477C11" w14:paraId="0FB4003D" w14:textId="77777777" w:rsidTr="007E6F95">
        <w:tc>
          <w:tcPr>
            <w:tcW w:w="704" w:type="dxa"/>
            <w:vMerge w:val="restart"/>
          </w:tcPr>
          <w:p w14:paraId="16AD183A" w14:textId="414D0474" w:rsidR="00477C11" w:rsidRPr="00477C11" w:rsidRDefault="00477C11" w:rsidP="00477C11">
            <w:pPr>
              <w:pStyle w:val="Pavadinimas"/>
              <w:rPr>
                <w:b w:val="0"/>
              </w:rPr>
            </w:pPr>
            <w:r>
              <w:rPr>
                <w:b w:val="0"/>
              </w:rPr>
              <w:t>1.</w:t>
            </w:r>
          </w:p>
        </w:tc>
        <w:tc>
          <w:tcPr>
            <w:tcW w:w="2693" w:type="dxa"/>
            <w:vMerge w:val="restart"/>
          </w:tcPr>
          <w:p w14:paraId="684BA6C2" w14:textId="77777777" w:rsidR="00477C11" w:rsidRDefault="00477C11" w:rsidP="00702C4E">
            <w:pPr>
              <w:pStyle w:val="Pavadinimas"/>
              <w:rPr>
                <w:b w:val="0"/>
                <w:bCs w:val="0"/>
              </w:rPr>
            </w:pPr>
            <w:r>
              <w:rPr>
                <w:b w:val="0"/>
                <w:bCs w:val="0"/>
              </w:rPr>
              <w:t>Nacionalinės teismų administracija</w:t>
            </w:r>
          </w:p>
          <w:p w14:paraId="098724A4" w14:textId="39495FDB" w:rsidR="00477C11" w:rsidRDefault="00477C11" w:rsidP="00702C4E">
            <w:pPr>
              <w:pStyle w:val="Pavadinimas"/>
            </w:pPr>
            <w:r>
              <w:rPr>
                <w:b w:val="0"/>
                <w:bCs w:val="0"/>
              </w:rPr>
              <w:t>(2020-05-13 raštas Nr. 4R-698-(6.13))</w:t>
            </w:r>
          </w:p>
        </w:tc>
        <w:tc>
          <w:tcPr>
            <w:tcW w:w="5529" w:type="dxa"/>
          </w:tcPr>
          <w:p w14:paraId="7B469CC4" w14:textId="77777777" w:rsidR="00477C11" w:rsidRDefault="00477C11" w:rsidP="007E6F95">
            <w:pPr>
              <w:ind w:firstLine="34"/>
              <w:jc w:val="both"/>
            </w:pPr>
            <w:r>
              <w:t xml:space="preserve">Teismų vertinimu, Įstatymo projektu keičiant </w:t>
            </w:r>
            <w:r w:rsidRPr="006922CF">
              <w:t>Lietuvos Respublikos įstatymo „Dėl Europos Sąjungos valstybių narių sprendimų baudžiamosiose bylose tarpusavio pripažinimo ir vykdymo</w:t>
            </w:r>
            <w:r>
              <w:t>“ (toliau – Įstatymas) 5 straipsnio 2 dalį, ji galėtų būti papildyta nuostata, kad, kai į Kalėjimų departamentą su prašymu kreipiasi nuteistojo šeimos narys, su prašymu turėtų būti pateikta nuteistojo nuomonė.</w:t>
            </w:r>
          </w:p>
          <w:p w14:paraId="20956A91" w14:textId="77777777" w:rsidR="00477C11" w:rsidRDefault="00477C11" w:rsidP="007E6F95">
            <w:pPr>
              <w:pStyle w:val="Pavadinimas"/>
              <w:ind w:firstLine="34"/>
            </w:pPr>
          </w:p>
        </w:tc>
        <w:tc>
          <w:tcPr>
            <w:tcW w:w="5634" w:type="dxa"/>
          </w:tcPr>
          <w:p w14:paraId="1F25FEFD" w14:textId="7C16A213" w:rsidR="00477C11" w:rsidRDefault="00477C11" w:rsidP="00A3281E">
            <w:pPr>
              <w:pStyle w:val="Pavadinimas"/>
              <w:jc w:val="both"/>
            </w:pPr>
            <w:r>
              <w:t xml:space="preserve">Neatsižvelgta. </w:t>
            </w:r>
            <w:r w:rsidRPr="00B75CDE">
              <w:rPr>
                <w:b w:val="0"/>
              </w:rPr>
              <w:t xml:space="preserve">Nepritartina siūlymui kartu su nuteistojo šeimos prašymu pateikti nuteistojo nuomonę, nes tai sukeltų papildomą administracinę naštą šeimos nariui. Nuteistojo šeimos narys tokiu atveju turėtų gauti raštišką nuteistojo, kuris yra kitoje Europos Sąjungos valstybėje narėje, nuomonę. Taip pat pažymėtina, kad toks reikalavimas būtų perteklinis, nes nuteistojo nuomonė būtų gaunama kartu su kitos Europos Sąjungos valstybės narės Lietuvos Respublikos kompetentingai institucijai siunčiamu liudijimu, kuriame bus nurodoma visa pagrindinė su nuteistuoju, teismo sprendimu bei bausmės atlikimu susijusi informacija. </w:t>
            </w:r>
            <w:r>
              <w:t xml:space="preserve"> </w:t>
            </w:r>
          </w:p>
        </w:tc>
      </w:tr>
      <w:tr w:rsidR="00477C11" w14:paraId="13F6CAA4" w14:textId="77777777" w:rsidTr="007E6F95">
        <w:tc>
          <w:tcPr>
            <w:tcW w:w="704" w:type="dxa"/>
            <w:vMerge/>
          </w:tcPr>
          <w:p w14:paraId="0779CCDA" w14:textId="77777777" w:rsidR="00477C11" w:rsidRDefault="00477C11" w:rsidP="00ED2248">
            <w:pPr>
              <w:pStyle w:val="Pavadinimas"/>
            </w:pPr>
          </w:p>
        </w:tc>
        <w:tc>
          <w:tcPr>
            <w:tcW w:w="2693" w:type="dxa"/>
            <w:vMerge/>
          </w:tcPr>
          <w:p w14:paraId="66B46C82" w14:textId="77777777" w:rsidR="00477C11" w:rsidRDefault="00477C11" w:rsidP="00ED2248">
            <w:pPr>
              <w:pStyle w:val="Pavadinimas"/>
            </w:pPr>
          </w:p>
        </w:tc>
        <w:tc>
          <w:tcPr>
            <w:tcW w:w="5529" w:type="dxa"/>
          </w:tcPr>
          <w:p w14:paraId="2D1E5F87" w14:textId="77777777" w:rsidR="00477C11" w:rsidRDefault="00477C11" w:rsidP="007E6F95">
            <w:pPr>
              <w:ind w:firstLine="34"/>
              <w:jc w:val="both"/>
            </w:pPr>
            <w:r w:rsidRPr="001A26D7">
              <w:t>Įstatymo 12 straipsnio pataisos tiksling</w:t>
            </w:r>
            <w:r>
              <w:t>o</w:t>
            </w:r>
            <w:r w:rsidRPr="001A26D7">
              <w:t>s, ypač tais atvejais, kai Lietuvai perduodami nuteistieji, kuriems turi būti taikomos priverčiamosios medicinos priemonės. Vis dėlto, iki galo nėra aišku, kaip bus nusprendžiama, kurios konkrečios priverčiamąsias medicinos priemones Lietuvos teritorijoje vykdančios įstaigos darbuotojai turės dalyvauti perimant nuteistąjį, t. y. nenumatyta, kaip įstaigos ir darbuotojai, kurie turės dalyvauti perėmime, bus kiekvieną kartą parenkami, nenustatyti parinkimo kriterijai (pvz., pagal perėmimo vietą, pagal konkrečias teikiamas medicinos paslaugas, pagal nuteistojo sveikatos būklę ar kt.).</w:t>
            </w:r>
          </w:p>
          <w:p w14:paraId="32B3A29A" w14:textId="77777777" w:rsidR="00477C11" w:rsidRDefault="00477C11" w:rsidP="007E6F95">
            <w:pPr>
              <w:pStyle w:val="Pavadinimas"/>
              <w:ind w:firstLine="34"/>
            </w:pPr>
          </w:p>
        </w:tc>
        <w:tc>
          <w:tcPr>
            <w:tcW w:w="5634" w:type="dxa"/>
          </w:tcPr>
          <w:p w14:paraId="3071AC96" w14:textId="15E4F048" w:rsidR="00477C11" w:rsidRDefault="00477C11" w:rsidP="00702C4E">
            <w:pPr>
              <w:pStyle w:val="Pavadinimas"/>
              <w:jc w:val="both"/>
            </w:pPr>
            <w:r w:rsidRPr="00B152AE">
              <w:t>Neatsižvelgta.</w:t>
            </w:r>
            <w:r>
              <w:rPr>
                <w:b w:val="0"/>
              </w:rPr>
              <w:t xml:space="preserve"> Priverčiamąsias medicinos priemones Lietuvos teritorijoje vykdo viena institucija – Viešoji įstaiga „Rokiškio psichiatrijos ligoninė“ (toliau – Įstaiga). Vadovaujantis viešosios įstaigos „Rokiškio psichiatrinė ligoninė“ įstatais, patvirtintais Lietuvos Respublikos sveikatos apsaugos ministro 2012 m. balandžio 5 d. įsakymu Nr. V-300, Į</w:t>
            </w:r>
            <w:r w:rsidRPr="00FE7697">
              <w:rPr>
                <w:b w:val="0"/>
              </w:rPr>
              <w:t>staigos veiklos tikslai – gerinti Lietuvos gyventojų sveikatą, siekiant sumažinti jų sergamumą, mirtingumą, kokybiškai teikiant asmens sveikatos priežiūros paslaugas ligoniams su psichikos negalia, taip pat priverstinai gydomiems pacientams, padariusiems nusikalstamas veikas ir pripažintiems nepakaltinamais bei užtikrinti šių asmenų apsaugą.</w:t>
            </w:r>
            <w:r>
              <w:rPr>
                <w:b w:val="0"/>
              </w:rPr>
              <w:t xml:space="preserve"> Visi praktiniai aspektai bus reguliuojami Sveikatos apsaugos ministro patvirtintoje tvarkoje, kaip siūloma Įstatymo projekte.</w:t>
            </w:r>
          </w:p>
        </w:tc>
      </w:tr>
      <w:tr w:rsidR="00477C11" w14:paraId="3889CCB3" w14:textId="77777777" w:rsidTr="007E6F95">
        <w:tc>
          <w:tcPr>
            <w:tcW w:w="704" w:type="dxa"/>
            <w:vMerge/>
          </w:tcPr>
          <w:p w14:paraId="7DC8A860" w14:textId="77777777" w:rsidR="00477C11" w:rsidRDefault="00477C11" w:rsidP="00ED2248">
            <w:pPr>
              <w:pStyle w:val="Pavadinimas"/>
            </w:pPr>
          </w:p>
        </w:tc>
        <w:tc>
          <w:tcPr>
            <w:tcW w:w="2693" w:type="dxa"/>
            <w:vMerge/>
          </w:tcPr>
          <w:p w14:paraId="15F070ED" w14:textId="77777777" w:rsidR="00477C11" w:rsidRDefault="00477C11" w:rsidP="00ED2248">
            <w:pPr>
              <w:pStyle w:val="Pavadinimas"/>
            </w:pPr>
          </w:p>
        </w:tc>
        <w:tc>
          <w:tcPr>
            <w:tcW w:w="5529" w:type="dxa"/>
          </w:tcPr>
          <w:p w14:paraId="4428E5ED" w14:textId="77647F58" w:rsidR="00477C11" w:rsidRPr="00702C4E" w:rsidRDefault="00477C11" w:rsidP="00702C4E">
            <w:pPr>
              <w:pStyle w:val="Pavadinimas"/>
              <w:jc w:val="both"/>
              <w:rPr>
                <w:b w:val="0"/>
              </w:rPr>
            </w:pPr>
            <w:r w:rsidRPr="00702C4E">
              <w:rPr>
                <w:b w:val="0"/>
              </w:rPr>
              <w:t>Siūlomos Įstatymo 20 straipsnio 3 dalies pataisos nėra susietos su Įstatymo 19 straipsnio atitinkamu punktu, aiškiai nurodant, kuriam konkrečiai teismui Kalėjimų departamentas Įstatymo 18 straipsnio 5 dalyje numatytais atvejais turi pateikti teikimą. Šiuo konkrečiu atveju turėtų būti suformuota nuoroda į Įstatymo 19 straipsnio 2 punktą.</w:t>
            </w:r>
          </w:p>
        </w:tc>
        <w:tc>
          <w:tcPr>
            <w:tcW w:w="5634" w:type="dxa"/>
          </w:tcPr>
          <w:p w14:paraId="700986EB" w14:textId="1C329513" w:rsidR="00477C11" w:rsidRDefault="00477C11" w:rsidP="00702C4E">
            <w:pPr>
              <w:pStyle w:val="Pavadinimas"/>
              <w:jc w:val="both"/>
            </w:pPr>
            <w:r w:rsidRPr="00B152AE">
              <w:t>Neatsižvelgta.</w:t>
            </w:r>
            <w:r>
              <w:rPr>
                <w:b w:val="0"/>
              </w:rPr>
              <w:t xml:space="preserve"> Taikant vieną nuostatą domėn turi būti priimamos ir atitinkamai taikomos kitos įstatymų nuostatos. Egzistuojant taisyklei, pagal kurią d</w:t>
            </w:r>
            <w:r w:rsidRPr="008613AB">
              <w:rPr>
                <w:b w:val="0"/>
              </w:rPr>
              <w:t>ėl Lietuvos Respublikos teismo sprendimo dėl laisvės atėmimo bausmės perdavimo vykdyti kitai Europos Sąjungos valstybei narei sprendžia</w:t>
            </w:r>
            <w:r>
              <w:rPr>
                <w:b w:val="0"/>
              </w:rPr>
              <w:t xml:space="preserve"> –  k</w:t>
            </w:r>
            <w:r w:rsidRPr="008613AB">
              <w:rPr>
                <w:b w:val="0"/>
              </w:rPr>
              <w:t>ai nuteistojo nėra Lietuvos Respublikos teritorijoje, – pirmąja instancija baudžiamąją bylą išnagrinėjęs teismas</w:t>
            </w:r>
            <w:r>
              <w:rPr>
                <w:b w:val="0"/>
              </w:rPr>
              <w:t>, daryti papildomos nuorodos į šią dalį kitose nuostatose nebūtina.</w:t>
            </w:r>
          </w:p>
        </w:tc>
      </w:tr>
      <w:tr w:rsidR="00477C11" w14:paraId="78898486" w14:textId="77777777" w:rsidTr="007E6F95">
        <w:tc>
          <w:tcPr>
            <w:tcW w:w="704" w:type="dxa"/>
            <w:vMerge/>
          </w:tcPr>
          <w:p w14:paraId="197EB517" w14:textId="77777777" w:rsidR="00477C11" w:rsidRDefault="00477C11" w:rsidP="00ED2248">
            <w:pPr>
              <w:pStyle w:val="Pavadinimas"/>
            </w:pPr>
          </w:p>
        </w:tc>
        <w:tc>
          <w:tcPr>
            <w:tcW w:w="2693" w:type="dxa"/>
            <w:vMerge/>
          </w:tcPr>
          <w:p w14:paraId="2CF5E077" w14:textId="77777777" w:rsidR="00477C11" w:rsidRDefault="00477C11" w:rsidP="00ED2248">
            <w:pPr>
              <w:pStyle w:val="Pavadinimas"/>
            </w:pPr>
          </w:p>
        </w:tc>
        <w:tc>
          <w:tcPr>
            <w:tcW w:w="5529" w:type="dxa"/>
          </w:tcPr>
          <w:p w14:paraId="51E848A3" w14:textId="77777777" w:rsidR="00477C11" w:rsidRDefault="00477C11" w:rsidP="007E6F95">
            <w:pPr>
              <w:ind w:firstLine="34"/>
              <w:jc w:val="both"/>
            </w:pPr>
            <w:r>
              <w:t>Įstatymo papildymas 24</w:t>
            </w:r>
            <w:r w:rsidRPr="00EB3299">
              <w:rPr>
                <w:vertAlign w:val="superscript"/>
              </w:rPr>
              <w:t>1</w:t>
            </w:r>
            <w:r>
              <w:rPr>
                <w:vertAlign w:val="superscript"/>
              </w:rPr>
              <w:t xml:space="preserve"> </w:t>
            </w:r>
            <w:r>
              <w:t xml:space="preserve">straipsniu būtų reikšmingas </w:t>
            </w:r>
            <w:r w:rsidRPr="00132E55">
              <w:t xml:space="preserve">tais atvejais, kai kitos Europos Sąjungos valstybės narės pilietis perduodamas Lietuvai, kaip Europos arešto orderį išdavusiai valstybei, su sąlyga, kad bus grąžintas atgal atlikti jam paskirtos bausmės. Nors siūlomas reguliavimas ganėtinai detalus, tačiau galima būtų svarstyti, ar visais atvejais „dvigubas asmens perdavimas“ padeda užtikrinti tinkamą ir savalaikį proceso veiksmų atlikimą. Pavyzdžiui, tie atvejai, kai kitos Europos Sąjungos valstybės narės piliečiui ar nuolat joje gyvenančiam asmeniui jau yra Lietuvos Respublikos nuosprendžiu paskirta su laisvės atėmimu susijusi bausmė ir šio nuosprendžio pagrindu buvo išduotas Europos arešto orderis, tuomet galima būtų nebeperduoti asmens Lietuvos Respublikai baudžiamojo persekiojimo tikslais, o iš karto spręsti klausimą dėl </w:t>
            </w:r>
            <w:r>
              <w:t>galimybės laisvės atėmimo bausmės vykdymą perduoti</w:t>
            </w:r>
            <w:r w:rsidRPr="00132E55">
              <w:t xml:space="preserve"> kitai Europos Sąjungos valstybei narei. Taigi</w:t>
            </w:r>
            <w:r>
              <w:t>,</w:t>
            </w:r>
            <w:r w:rsidRPr="00132E55">
              <w:t xml:space="preserve"> </w:t>
            </w:r>
            <w:r>
              <w:t>Į</w:t>
            </w:r>
            <w:r w:rsidRPr="00132E55">
              <w:t>statyme reikėtų numatyti atvejus, kada „dvigubas perdavimas“ netaikomas arba bent jau patikslinti atve</w:t>
            </w:r>
            <w:r>
              <w:t>jus, kuriems būtent taikomas 24</w:t>
            </w:r>
            <w:r w:rsidRPr="00132E55">
              <w:rPr>
                <w:vertAlign w:val="superscript"/>
              </w:rPr>
              <w:t>1</w:t>
            </w:r>
            <w:r w:rsidRPr="00132E55">
              <w:t xml:space="preserve"> straipsnyje įtvirtintas reguliavimas.</w:t>
            </w:r>
          </w:p>
          <w:p w14:paraId="6FB0F60A" w14:textId="77777777" w:rsidR="00477C11" w:rsidRDefault="00477C11" w:rsidP="00ED2248">
            <w:pPr>
              <w:pStyle w:val="Pavadinimas"/>
            </w:pPr>
          </w:p>
        </w:tc>
        <w:tc>
          <w:tcPr>
            <w:tcW w:w="5634" w:type="dxa"/>
          </w:tcPr>
          <w:p w14:paraId="417571A8" w14:textId="77777777" w:rsidR="00477C11" w:rsidRDefault="00477C11" w:rsidP="00702C4E">
            <w:pPr>
              <w:pStyle w:val="Pavadinimas"/>
              <w:jc w:val="both"/>
              <w:rPr>
                <w:b w:val="0"/>
                <w:lang w:eastAsia="en-GB"/>
              </w:rPr>
            </w:pPr>
            <w:r w:rsidRPr="00494AE7">
              <w:t>Neatsižvelgta.</w:t>
            </w:r>
            <w:r w:rsidRPr="00C22F27">
              <w:rPr>
                <w:b w:val="0"/>
              </w:rPr>
              <w:t xml:space="preserve"> </w:t>
            </w:r>
            <w:r w:rsidRPr="00221DA5">
              <w:rPr>
                <w:b w:val="0"/>
                <w:lang w:eastAsia="en-GB"/>
              </w:rPr>
              <w:t xml:space="preserve">Pažymėtina, kad Įstatymas šiuo metu nustato taisykles tik dėl </w:t>
            </w:r>
            <w:r>
              <w:rPr>
                <w:b w:val="0"/>
                <w:lang w:eastAsia="en-GB"/>
              </w:rPr>
              <w:t xml:space="preserve">atvejų, kai </w:t>
            </w:r>
            <w:r w:rsidRPr="00B6142F">
              <w:rPr>
                <w:b w:val="0"/>
                <w:lang w:eastAsia="en-GB"/>
              </w:rPr>
              <w:t>Lietuvos Respublikos pilietis ar nuolat Lietuvos Respublikoje gyvenantis asmuo buvo perduotas baudžiamojo persekiojimo tikslais Europos arešto orderį išdavusiai Europos Sąjungos valstybei narei su sąlyga, kad nuteistasis bus grąžintas į Lietuvos Respubliką atlikti jam paskirtą su laisvės atėmimu susijusią bausmę</w:t>
            </w:r>
            <w:r>
              <w:rPr>
                <w:b w:val="0"/>
                <w:lang w:eastAsia="en-GB"/>
              </w:rPr>
              <w:t xml:space="preserve"> </w:t>
            </w:r>
            <w:r w:rsidRPr="00221DA5">
              <w:rPr>
                <w:b w:val="0"/>
                <w:lang w:eastAsia="en-GB"/>
              </w:rPr>
              <w:t>(17 straipsnis), tačiau nereglamentuoja su Europos arešto orderio vykdymu susijusių sprendimo dėl laisvės atėmimo bausmės perdavimo vykdyti kitai Europos Sąjungos valstybei narei ypatumų. Lietuvos Respublikos baudžiamojo kodekso 9</w:t>
            </w:r>
            <w:r w:rsidRPr="00221DA5">
              <w:rPr>
                <w:b w:val="0"/>
                <w:vertAlign w:val="superscript"/>
                <w:lang w:eastAsia="en-GB"/>
              </w:rPr>
              <w:t xml:space="preserve">1 </w:t>
            </w:r>
            <w:r w:rsidRPr="00221DA5">
              <w:rPr>
                <w:b w:val="0"/>
                <w:lang w:eastAsia="en-GB"/>
              </w:rPr>
              <w:t xml:space="preserve">straipsnio 7 dalis numato situaciją, kai Lietuvos Respublikos pilietis ar nuolat Lietuvos Respublikoje gyvenantis asmuo gali būti perduodamas pagal Europos arešto orderį, išduotą baudžiamojo persekiojimo tikslais, su sąlyga, kad asmuo, dėl kurio Europos arešto orderį išdavusi valstybė priėmė nuosprendį, bus grąžintas į Lietuvos Respubliką atlikti jam paskirtą su laisvės atėmimu susijusią bausmę, jeigu to prašytų perduotasis asmuo arba to pareikalautų Lietuvos Respublikos generalinė prokuratūra. </w:t>
            </w:r>
          </w:p>
          <w:p w14:paraId="51961DFC" w14:textId="77777777" w:rsidR="00477C11" w:rsidRDefault="00477C11" w:rsidP="00702C4E">
            <w:pPr>
              <w:pStyle w:val="Pavadinimas"/>
              <w:jc w:val="both"/>
              <w:rPr>
                <w:b w:val="0"/>
                <w:lang w:eastAsia="en-GB"/>
              </w:rPr>
            </w:pPr>
            <w:r w:rsidRPr="00C22F27">
              <w:rPr>
                <w:b w:val="0"/>
                <w:lang w:eastAsia="en-GB"/>
              </w:rPr>
              <w:t>Nauju Įstatymo 24</w:t>
            </w:r>
            <w:r w:rsidRPr="00C22F27">
              <w:rPr>
                <w:b w:val="0"/>
                <w:vertAlign w:val="superscript"/>
                <w:lang w:eastAsia="en-GB"/>
              </w:rPr>
              <w:t>1</w:t>
            </w:r>
            <w:r w:rsidRPr="00C22F27">
              <w:rPr>
                <w:b w:val="0"/>
                <w:lang w:eastAsia="en-GB"/>
              </w:rPr>
              <w:t xml:space="preserve"> straipsniu siekiama sureguliuoti </w:t>
            </w:r>
            <w:r>
              <w:rPr>
                <w:b w:val="0"/>
                <w:lang w:eastAsia="en-GB"/>
              </w:rPr>
              <w:t xml:space="preserve">galimas analogiškas </w:t>
            </w:r>
            <w:r w:rsidRPr="00C22F27">
              <w:rPr>
                <w:b w:val="0"/>
                <w:lang w:eastAsia="en-GB"/>
              </w:rPr>
              <w:t xml:space="preserve">situacijas, kai Europos Sąjungos valstybės narės pilietis ar nuolat joje gyvenantis asmuo yra perduodamas baudžiamojo persekiojimo tikslais Europos arešto orderį išdavusiai Lietuvos Respublikai su sąlyga, kad nuteistasis bus grąžintas į Europos arešto </w:t>
            </w:r>
            <w:r w:rsidRPr="00C22F27">
              <w:rPr>
                <w:b w:val="0"/>
                <w:lang w:eastAsia="en-GB"/>
              </w:rPr>
              <w:lastRenderedPageBreak/>
              <w:t>orderį vykdančią Europos Sąjungos valstybę narę atlikti jam paskirtą su laisvės atėmimu susijusią bausmę.</w:t>
            </w:r>
            <w:r>
              <w:rPr>
                <w:b w:val="0"/>
                <w:lang w:eastAsia="en-GB"/>
              </w:rPr>
              <w:t xml:space="preserve"> Tokią galimybę numato </w:t>
            </w:r>
            <w:r w:rsidRPr="00B6142F">
              <w:rPr>
                <w:b w:val="0"/>
                <w:lang w:eastAsia="en-GB"/>
              </w:rPr>
              <w:t>Pamatinio spre</w:t>
            </w:r>
            <w:r>
              <w:rPr>
                <w:b w:val="0"/>
                <w:lang w:eastAsia="en-GB"/>
              </w:rPr>
              <w:t xml:space="preserve">ndimo 2008/909/TVR 25 straipsnis. </w:t>
            </w:r>
            <w:r w:rsidRPr="00B6142F">
              <w:rPr>
                <w:b w:val="0"/>
                <w:lang w:eastAsia="en-GB"/>
              </w:rPr>
              <w:t xml:space="preserve">Pagal </w:t>
            </w:r>
            <w:r>
              <w:rPr>
                <w:b w:val="0"/>
                <w:lang w:eastAsia="en-GB"/>
              </w:rPr>
              <w:t>Europos arešto orderio</w:t>
            </w:r>
            <w:r w:rsidRPr="00B6142F">
              <w:rPr>
                <w:b w:val="0"/>
                <w:lang w:eastAsia="en-GB"/>
              </w:rPr>
              <w:t xml:space="preserve"> </w:t>
            </w:r>
            <w:r>
              <w:rPr>
                <w:b w:val="0"/>
                <w:lang w:eastAsia="en-GB"/>
              </w:rPr>
              <w:t xml:space="preserve">pamatinio sprendimo </w:t>
            </w:r>
            <w:r w:rsidRPr="00B6142F">
              <w:rPr>
                <w:b w:val="0"/>
                <w:lang w:eastAsia="en-GB"/>
              </w:rPr>
              <w:t xml:space="preserve">2002/584/TVR 5 straipsnio 3 dalį, kai asmuo, kurio atžvilgiu yra išduotas </w:t>
            </w:r>
            <w:r>
              <w:rPr>
                <w:b w:val="0"/>
                <w:lang w:eastAsia="en-GB"/>
              </w:rPr>
              <w:t>Europos arešto orderis</w:t>
            </w:r>
            <w:r w:rsidRPr="00B6142F">
              <w:rPr>
                <w:b w:val="0"/>
                <w:lang w:eastAsia="en-GB"/>
              </w:rPr>
              <w:t>, siekiant jį patraukti baudžiamojon atsakomybėn, yra vykdančiosios valstybės narės pilietis arba gyventojas, vykdančioji valstybė narė gali nustatyti sąlygą, pagal kurią išduodančioji valstybė narė tokį asmenį grąžina į vykdančiosios valstybės narės teritoriją, kad joje jis atliktų jam paskirtą laisvės atėmimo bausmę arba būtų įvykdytas sprendimas dėl įkalinimo.</w:t>
            </w:r>
          </w:p>
          <w:p w14:paraId="0709323A" w14:textId="77777777" w:rsidR="00477C11" w:rsidRDefault="00477C11" w:rsidP="00702C4E">
            <w:pPr>
              <w:pStyle w:val="Pavadinimas"/>
              <w:jc w:val="both"/>
              <w:rPr>
                <w:b w:val="0"/>
                <w:lang w:eastAsia="en-GB"/>
              </w:rPr>
            </w:pPr>
            <w:r>
              <w:rPr>
                <w:b w:val="0"/>
                <w:lang w:eastAsia="en-GB"/>
              </w:rPr>
              <w:t>Pastaboje pateiktu pavyzdžiu siekiama atkreipti dėmesį į poreikį apibrėžti situacijas, kai Europos arešto orderį išduoda Generalinė prokuratūra (dėl baudžiamojo proceso) ir teismai (dėl bausmės vykdymo). Teisingumo ministerija nematytų poreikio smulkiau detalizuoti siūlomų Įstatymo 24</w:t>
            </w:r>
            <w:r w:rsidRPr="00317F3D">
              <w:rPr>
                <w:b w:val="0"/>
                <w:vertAlign w:val="superscript"/>
                <w:lang w:eastAsia="en-GB"/>
              </w:rPr>
              <w:t>1</w:t>
            </w:r>
            <w:r>
              <w:rPr>
                <w:b w:val="0"/>
                <w:lang w:eastAsia="en-GB"/>
              </w:rPr>
              <w:t xml:space="preserve"> nuostatų, nes asmens perdavimas pagal Europos arešto orderį vyktų </w:t>
            </w:r>
            <w:r w:rsidRPr="00C22F27">
              <w:rPr>
                <w:b w:val="0"/>
                <w:lang w:eastAsia="en-GB"/>
              </w:rPr>
              <w:t>baudžiamojo persekiojimo tikslais</w:t>
            </w:r>
            <w:r>
              <w:rPr>
                <w:b w:val="0"/>
                <w:lang w:eastAsia="en-GB"/>
              </w:rPr>
              <w:t xml:space="preserve">. Tuomet, kai po šių procesinių veiksmų atlikimo asmuo bus teisiamas Lietuvoje, teismas galės subendrinti bausmes su anksčiau paskirtomis bausmėmis, dėl kurių buvo išduotas Europos arešto orderis bausmei vykdyti ir nuteistasis galės būti grąžintas bausmei atlikti pagal visus teismo </w:t>
            </w:r>
            <w:r w:rsidRPr="001356A7">
              <w:rPr>
                <w:b w:val="0"/>
                <w:lang w:eastAsia="en-GB"/>
              </w:rPr>
              <w:t>sprendim</w:t>
            </w:r>
            <w:r>
              <w:rPr>
                <w:b w:val="0"/>
                <w:lang w:eastAsia="en-GB"/>
              </w:rPr>
              <w:t>us</w:t>
            </w:r>
            <w:r w:rsidRPr="001356A7">
              <w:rPr>
                <w:b w:val="0"/>
                <w:lang w:eastAsia="en-GB"/>
              </w:rPr>
              <w:t xml:space="preserve"> dėl laisvės atėmimo bausmės</w:t>
            </w:r>
            <w:r>
              <w:rPr>
                <w:b w:val="0"/>
                <w:lang w:eastAsia="en-GB"/>
              </w:rPr>
              <w:t>.</w:t>
            </w:r>
          </w:p>
          <w:p w14:paraId="72DBE267" w14:textId="77777777" w:rsidR="00477C11" w:rsidRDefault="00477C11" w:rsidP="00702C4E">
            <w:pPr>
              <w:pStyle w:val="Pavadinimas"/>
              <w:jc w:val="both"/>
            </w:pPr>
          </w:p>
        </w:tc>
      </w:tr>
      <w:tr w:rsidR="007E6F95" w14:paraId="2D969A24" w14:textId="77777777" w:rsidTr="007E6F95">
        <w:tc>
          <w:tcPr>
            <w:tcW w:w="704" w:type="dxa"/>
            <w:vMerge w:val="restart"/>
          </w:tcPr>
          <w:p w14:paraId="4EADF34D" w14:textId="42B09F59" w:rsidR="007E6F95" w:rsidRPr="00477C11" w:rsidRDefault="007E6F95" w:rsidP="00ED2248">
            <w:pPr>
              <w:pStyle w:val="Pavadinimas"/>
              <w:rPr>
                <w:b w:val="0"/>
              </w:rPr>
            </w:pPr>
            <w:r w:rsidRPr="00477C11">
              <w:rPr>
                <w:b w:val="0"/>
              </w:rPr>
              <w:lastRenderedPageBreak/>
              <w:t>2.</w:t>
            </w:r>
          </w:p>
        </w:tc>
        <w:tc>
          <w:tcPr>
            <w:tcW w:w="2693" w:type="dxa"/>
            <w:vMerge w:val="restart"/>
          </w:tcPr>
          <w:p w14:paraId="700AD391" w14:textId="77777777" w:rsidR="007E6F95" w:rsidRDefault="007E6F95" w:rsidP="00702C4E">
            <w:pPr>
              <w:pStyle w:val="Pavadinimas"/>
              <w:rPr>
                <w:b w:val="0"/>
                <w:bCs w:val="0"/>
              </w:rPr>
            </w:pPr>
            <w:r>
              <w:rPr>
                <w:b w:val="0"/>
                <w:bCs w:val="0"/>
              </w:rPr>
              <w:t>Lietuvos Respublikos generalinė prokuratūra</w:t>
            </w:r>
          </w:p>
          <w:p w14:paraId="025BBD19" w14:textId="6A6366D2" w:rsidR="007E6F95" w:rsidRDefault="007E6F95" w:rsidP="00702C4E">
            <w:pPr>
              <w:pStyle w:val="Pavadinimas"/>
            </w:pPr>
            <w:r>
              <w:rPr>
                <w:b w:val="0"/>
                <w:bCs w:val="0"/>
              </w:rPr>
              <w:t>(</w:t>
            </w:r>
            <w:r w:rsidRPr="00FC12E9">
              <w:rPr>
                <w:b w:val="0"/>
                <w:bCs w:val="0"/>
              </w:rPr>
              <w:t xml:space="preserve">2020-04-27 </w:t>
            </w:r>
            <w:r>
              <w:rPr>
                <w:b w:val="0"/>
                <w:bCs w:val="0"/>
              </w:rPr>
              <w:t xml:space="preserve">raštas </w:t>
            </w:r>
            <w:r w:rsidRPr="00FC12E9">
              <w:rPr>
                <w:b w:val="0"/>
                <w:bCs w:val="0"/>
              </w:rPr>
              <w:t>Nr. 17.2.-1626</w:t>
            </w:r>
            <w:r>
              <w:rPr>
                <w:b w:val="0"/>
                <w:bCs w:val="0"/>
              </w:rPr>
              <w:t>)</w:t>
            </w:r>
          </w:p>
        </w:tc>
        <w:tc>
          <w:tcPr>
            <w:tcW w:w="5529" w:type="dxa"/>
          </w:tcPr>
          <w:p w14:paraId="14721FAF" w14:textId="0EFC0446" w:rsidR="007E6F95" w:rsidRPr="00702C4E" w:rsidRDefault="007E6F95" w:rsidP="007E6F95">
            <w:pPr>
              <w:pStyle w:val="Pavadinimas"/>
              <w:jc w:val="both"/>
              <w:rPr>
                <w:b w:val="0"/>
              </w:rPr>
            </w:pPr>
            <w:r w:rsidRPr="00702C4E">
              <w:rPr>
                <w:b w:val="0"/>
                <w:lang w:eastAsia="lt-LT"/>
              </w:rPr>
              <w:t>Siūlytina peržiūrėti Įstatymo pakeitimo projekto 13 straipsnio, kuriuo keičiama Įstatymo 22 straipsnio 5 dalis, formuluotę teisės technikos aspektu dėl teisinio aiškumo, siekiant išvengti dvigubo nukreipimo iš vienos straipsnio nuostatos į kitą.</w:t>
            </w:r>
          </w:p>
        </w:tc>
        <w:tc>
          <w:tcPr>
            <w:tcW w:w="5634" w:type="dxa"/>
          </w:tcPr>
          <w:p w14:paraId="79362782" w14:textId="36DF0A85" w:rsidR="007E6F95" w:rsidRDefault="007E6F95" w:rsidP="00702C4E">
            <w:pPr>
              <w:pStyle w:val="Pavadinimas"/>
              <w:jc w:val="both"/>
            </w:pPr>
            <w:r w:rsidRPr="00ED0134">
              <w:t>Neatsižvelgta.</w:t>
            </w:r>
            <w:r>
              <w:rPr>
                <w:b w:val="0"/>
              </w:rPr>
              <w:t xml:space="preserve"> Teisės technikos aspektu ši nuostata yra</w:t>
            </w:r>
            <w:r w:rsidR="0041263B">
              <w:rPr>
                <w:b w:val="0"/>
              </w:rPr>
              <w:t xml:space="preserve"> įvertinti Teisingumo ministerijos atitinkamų ekspertų ir yra</w:t>
            </w:r>
            <w:r>
              <w:rPr>
                <w:b w:val="0"/>
              </w:rPr>
              <w:t xml:space="preserve"> tinkama.</w:t>
            </w:r>
          </w:p>
        </w:tc>
      </w:tr>
      <w:tr w:rsidR="007E6F95" w14:paraId="65EECB8D" w14:textId="77777777" w:rsidTr="007E6F95">
        <w:tc>
          <w:tcPr>
            <w:tcW w:w="704" w:type="dxa"/>
            <w:vMerge/>
          </w:tcPr>
          <w:p w14:paraId="05A430EC" w14:textId="77777777" w:rsidR="007E6F95" w:rsidRDefault="007E6F95" w:rsidP="00ED2248">
            <w:pPr>
              <w:pStyle w:val="Pavadinimas"/>
            </w:pPr>
          </w:p>
        </w:tc>
        <w:tc>
          <w:tcPr>
            <w:tcW w:w="2693" w:type="dxa"/>
            <w:vMerge/>
          </w:tcPr>
          <w:p w14:paraId="06F5790C" w14:textId="77777777" w:rsidR="007E6F95" w:rsidRDefault="007E6F95" w:rsidP="00ED2248">
            <w:pPr>
              <w:pStyle w:val="Pavadinimas"/>
            </w:pPr>
          </w:p>
        </w:tc>
        <w:tc>
          <w:tcPr>
            <w:tcW w:w="5529" w:type="dxa"/>
          </w:tcPr>
          <w:p w14:paraId="5E042361" w14:textId="77777777" w:rsidR="007E6F95" w:rsidRPr="00702C4E" w:rsidRDefault="007E6F95" w:rsidP="007E6F95">
            <w:pPr>
              <w:autoSpaceDE w:val="0"/>
              <w:autoSpaceDN w:val="0"/>
              <w:adjustRightInd w:val="0"/>
              <w:jc w:val="both"/>
              <w:rPr>
                <w:lang w:eastAsia="lt-LT"/>
              </w:rPr>
            </w:pPr>
            <w:r w:rsidRPr="00702C4E">
              <w:rPr>
                <w:lang w:eastAsia="lt-LT"/>
              </w:rPr>
              <w:t>Nepritartina siūlomam BPK 69</w:t>
            </w:r>
            <w:r w:rsidRPr="00702C4E">
              <w:rPr>
                <w:vertAlign w:val="superscript"/>
                <w:lang w:eastAsia="lt-LT"/>
              </w:rPr>
              <w:t>1</w:t>
            </w:r>
            <w:r w:rsidRPr="00702C4E">
              <w:rPr>
                <w:lang w:eastAsia="lt-LT"/>
              </w:rPr>
              <w:t xml:space="preserve"> straipsnio 1 dalies pakeitimui, nustatant, kad „Lietuvos Respublikos generalinė prokuratūra gali išduoti Europos arešto orderį dėl kompetentingos Europos Sąjungos valstybės narės, į kurią kreipiasi, piliečio ar joje gyvenančio </w:t>
            </w:r>
            <w:r w:rsidRPr="00702C4E">
              <w:rPr>
                <w:lang w:eastAsia="lt-LT"/>
              </w:rPr>
              <w:lastRenderedPageBreak/>
              <w:t>asmens, suteikdama garantiją, kad asmuo būtų grąžintas atlikti bausmės į kompetentingą Europos Sąjungos valstybę narę, į kurią kreipiamasi.“ Pažymėtina, kad daugeliu atvejų Europos arešto orderis (toliau – ir EAO) išduodamas nežinant, kurioje ES valstybėje narėje, taikančioje perdavimo pagal EAO procedūrą, asmuo bus sulaikytas, todėl tokia išankstinė garantija dėl grąžinimo atlikti laisvės atėmimo bausmę nėra tikslinga ir negalėtų būtų įrašyta į EAO ar kitu būdu pareikšta išduodant EAO. Be to, minėtos išankstinės garantijos suteikimas išduodant EAO dėl įtariamojo, kaltinamojo baudžiamojo persekiojimo vertintinas kaip pažeidžiantis nekaltumo prezumpcijos principą.</w:t>
            </w:r>
          </w:p>
          <w:p w14:paraId="5FCE18A7" w14:textId="77777777" w:rsidR="007E6F95" w:rsidRPr="00702C4E" w:rsidRDefault="007E6F95" w:rsidP="007E6F95">
            <w:pPr>
              <w:autoSpaceDE w:val="0"/>
              <w:autoSpaceDN w:val="0"/>
              <w:adjustRightInd w:val="0"/>
              <w:jc w:val="both"/>
              <w:rPr>
                <w:lang w:eastAsia="lt-LT"/>
              </w:rPr>
            </w:pPr>
            <w:r w:rsidRPr="00702C4E">
              <w:rPr>
                <w:lang w:eastAsia="lt-LT"/>
              </w:rPr>
              <w:t>Manytina, kad Pamatinio sprendimo 2002/584/TVR 5 straipsnio 3 dalies nuostatos nereikalauja, jog garantija, kad pagal EAO perduotas asmuo būtų grąžintas atlikti bausmę į EAO įvykdžiusią Europos Sąjungos valstybę narę, būtų suteikiama iš anksto. Garantija teikiama konkrečiu atveju vykdančiajai valstybei sprendžiant dėl asmens perdavimo pagal EAO ir</w:t>
            </w:r>
          </w:p>
          <w:p w14:paraId="12317463" w14:textId="0094A566" w:rsidR="007E6F95" w:rsidRDefault="007E6F95" w:rsidP="007E6F95">
            <w:pPr>
              <w:pStyle w:val="Pavadinimas"/>
              <w:jc w:val="both"/>
            </w:pPr>
            <w:r w:rsidRPr="00702C4E">
              <w:rPr>
                <w:b w:val="0"/>
                <w:lang w:eastAsia="lt-LT"/>
              </w:rPr>
              <w:t>nurodžius tokią perdavimo sąlygą. Pritartina, kad tikslinga reglamentuoti garantijos suteikimą ir jos įgyvendinimą, tačiau Generalinė prokuratūra nėra tas subjektas, kuris galėtų tokią garantiją suteikti ir ją kontroliuoti. Kaip minėta, šiuo metu galiojantis teisinis reguliavimas nenumato prokuratūrai nuosprendžių vykdymo kontrolės funkcijos. Atsižvelgiant į tai, siūlytina atsisakyti teikiamo BPK 69</w:t>
            </w:r>
            <w:r w:rsidRPr="00702C4E">
              <w:rPr>
                <w:b w:val="0"/>
                <w:vertAlign w:val="superscript"/>
                <w:lang w:eastAsia="lt-LT"/>
              </w:rPr>
              <w:t>1</w:t>
            </w:r>
            <w:r w:rsidRPr="00702C4E">
              <w:rPr>
                <w:b w:val="0"/>
                <w:lang w:eastAsia="lt-LT"/>
              </w:rPr>
              <w:t xml:space="preserve"> straipsnio 1 dalies pakeitimo ir apsvarstyti kitus garantijos suteikimo ir įgyvendinimo reglamentavimo būdus ir formas. Manytina, kad garantijos vykdymas galėtų būti užtikrinamas teisėjui ją įrašant patvarkyme vykdyti nuosprendį.</w:t>
            </w:r>
          </w:p>
        </w:tc>
        <w:tc>
          <w:tcPr>
            <w:tcW w:w="5634" w:type="dxa"/>
          </w:tcPr>
          <w:p w14:paraId="0E4AC831" w14:textId="2BCE87D1" w:rsidR="007E6F95" w:rsidRDefault="007E6F95" w:rsidP="00477C11">
            <w:pPr>
              <w:pStyle w:val="Pavadinimas"/>
              <w:jc w:val="both"/>
            </w:pPr>
            <w:r w:rsidRPr="00ED0134">
              <w:lastRenderedPageBreak/>
              <w:t>Neatsižvelgta.</w:t>
            </w:r>
            <w:r>
              <w:rPr>
                <w:b w:val="0"/>
              </w:rPr>
              <w:t xml:space="preserve"> Teikiant Įstatymo projektą atsisakoma idėjos keisti Baudžiamojo proceso kodekso 69</w:t>
            </w:r>
            <w:r>
              <w:rPr>
                <w:b w:val="0"/>
                <w:vertAlign w:val="superscript"/>
              </w:rPr>
              <w:t>1</w:t>
            </w:r>
            <w:r>
              <w:rPr>
                <w:b w:val="0"/>
              </w:rPr>
              <w:t xml:space="preserve"> straipsnį. Keliamas klausimas reikalauja išsamesnių diskusijų ir praktikos analizės. Iškelti klausimai bus nagrinėjami kituose teisės aktų projektuose.</w:t>
            </w:r>
          </w:p>
        </w:tc>
      </w:tr>
      <w:tr w:rsidR="007E6F95" w14:paraId="09AEBF6D" w14:textId="77777777" w:rsidTr="007E6F95">
        <w:tc>
          <w:tcPr>
            <w:tcW w:w="704" w:type="dxa"/>
            <w:vMerge/>
          </w:tcPr>
          <w:p w14:paraId="1503D291" w14:textId="77777777" w:rsidR="007E6F95" w:rsidRDefault="007E6F95" w:rsidP="00ED2248">
            <w:pPr>
              <w:pStyle w:val="Pavadinimas"/>
            </w:pPr>
          </w:p>
        </w:tc>
        <w:tc>
          <w:tcPr>
            <w:tcW w:w="2693" w:type="dxa"/>
            <w:vMerge/>
          </w:tcPr>
          <w:p w14:paraId="4EB1BF32" w14:textId="77777777" w:rsidR="007E6F95" w:rsidRDefault="007E6F95" w:rsidP="00ED2248">
            <w:pPr>
              <w:pStyle w:val="Pavadinimas"/>
            </w:pPr>
          </w:p>
        </w:tc>
        <w:tc>
          <w:tcPr>
            <w:tcW w:w="5529" w:type="dxa"/>
          </w:tcPr>
          <w:p w14:paraId="257FBC81" w14:textId="3B7896E7" w:rsidR="007E6F95" w:rsidRPr="00477C11" w:rsidRDefault="007E6F95" w:rsidP="007E6F95">
            <w:pPr>
              <w:autoSpaceDE w:val="0"/>
              <w:autoSpaceDN w:val="0"/>
              <w:adjustRightInd w:val="0"/>
              <w:jc w:val="both"/>
              <w:rPr>
                <w:lang w:eastAsia="lt-LT"/>
              </w:rPr>
            </w:pPr>
            <w:r w:rsidRPr="00477C11">
              <w:rPr>
                <w:lang w:eastAsia="lt-LT"/>
              </w:rPr>
              <w:t>Atsižvelgiant į tai, kad inicijuojami BPK 69</w:t>
            </w:r>
            <w:r w:rsidRPr="00477C11">
              <w:rPr>
                <w:vertAlign w:val="superscript"/>
                <w:lang w:eastAsia="lt-LT"/>
              </w:rPr>
              <w:t>1</w:t>
            </w:r>
            <w:r w:rsidRPr="00477C11">
              <w:rPr>
                <w:lang w:eastAsia="lt-LT"/>
              </w:rPr>
              <w:t xml:space="preserve"> straipsnio 1 dalies pakeitimai, siūlytina atkreipti dėmesį į oficialiąją konstitucinę doktriną, kurioje aiškinami Konstitucijoje įtvirtinti teisėjo ir teismų nepriklausomumo principai, taip pat į svarbią Europos </w:t>
            </w:r>
            <w:r w:rsidRPr="00477C11">
              <w:rPr>
                <w:lang w:eastAsia="lt-LT"/>
              </w:rPr>
              <w:lastRenderedPageBreak/>
              <w:t xml:space="preserve">Sąjungos Teisingumo Teismo (toliau – ESTT) praktiką. Konstitucinis Teismas yra konstatavęs, kad vienas iš teisėjo ir teismų nepriklausomumo principo aspektų yra teisėjo procesinis nepriklausomumas, apimantis </w:t>
            </w:r>
            <w:r w:rsidRPr="00477C11">
              <w:rPr>
                <w:i/>
                <w:iCs/>
                <w:lang w:eastAsia="lt-LT"/>
              </w:rPr>
              <w:t xml:space="preserve">inter alia </w:t>
            </w:r>
            <w:r w:rsidRPr="00477C11">
              <w:rPr>
                <w:lang w:eastAsia="lt-LT"/>
              </w:rPr>
              <w:t>teismo savarankiškumą sprendžiant visus su nagrinėjama byla susijusius klausimus. Teisėjo sprendimus proceso įstatymų nustatyta tvarka gali peržiūrėti ir pakeisti ar panaikinti tik aukštesnės pakopos teismas (Konstitucinio Teismo 1999 m. gruodžio 21 d. nutarimas).</w:t>
            </w:r>
          </w:p>
          <w:p w14:paraId="3BA70C65" w14:textId="391BACCE" w:rsidR="007E6F95" w:rsidRPr="00477C11" w:rsidRDefault="007E6F95" w:rsidP="007E6F95">
            <w:pPr>
              <w:autoSpaceDE w:val="0"/>
              <w:autoSpaceDN w:val="0"/>
              <w:adjustRightInd w:val="0"/>
              <w:jc w:val="both"/>
              <w:rPr>
                <w:lang w:eastAsia="lt-LT"/>
              </w:rPr>
            </w:pPr>
            <w:r w:rsidRPr="00477C11">
              <w:rPr>
                <w:lang w:eastAsia="lt-LT"/>
              </w:rPr>
              <w:t>ESTT ne kartą yra pažymėjęs, kad Pagrindų sprendimo 2002/584/TVR 1 straipsnio 2 dalyje įtvirtintas tarpusavio pripažinimo principas, pagal kurį vykdančioji teisminė institucija turi vykdyti išduodančiosios teisminės institucijos išduotą arešto orderį, grindžiamas prielaida, kad teisminė institucija įsikiša prieš įvykdant Europos arešto orderį tam, kad atliktų teisminę kontrolę. Spręsdamas klausimus, ar Pagrindų sprendimo 6 straipsnio 1 dalyje vartojama sąvoka „teisminė institucija“ yra savarankiška Sąjungos teisės sąvoka ir ar šio 6 straipsnio 1 dalis turi būti aiškinama taip, kad Teisingumo ministeriją ir policijos įstaigą apima sąvoka „išduodančioji teisminė institucija“, ESTT pažymėjo, kad nors išduodančiosios institucijos dalyvavimas, pirma, griežtai apsiriboja įsiteisėjusio teismo sprendimo, priimto pasibaigus teismo procesui, vykdymu ir, antra, vykdomas tik teismo prašymu, iš tiesų matyti, kad galutinį sprendimą dėl Europos arešto orderio išdavimo priima išduodančioji institucija, o ne teismas, skyręs laisvės atėmimo bausmę, kuria grindžiamas šis Europos arešto orderis. Išduodančioji institucija yra vienintelė, turinti kompetenciją patikrinti, ar įvykdytos šio išdavimo sąlygos, numatytos Pagrindų sprendime, ir įvertinusi įvairius, įskaitant suinteresuotojo asmens, interesus nuspręsti, ar šis išdavimas yra</w:t>
            </w:r>
            <w:r>
              <w:rPr>
                <w:lang w:eastAsia="lt-LT"/>
              </w:rPr>
              <w:t xml:space="preserve"> </w:t>
            </w:r>
            <w:r w:rsidRPr="00477C11">
              <w:rPr>
                <w:lang w:eastAsia="lt-LT"/>
              </w:rPr>
              <w:t>proporcinga priemonė (2016 m. lapkričio mėn. 10 d. sprendimas Kovalkovo byloje C-477/16).</w:t>
            </w:r>
          </w:p>
          <w:p w14:paraId="1400B5B0" w14:textId="12936439" w:rsidR="007E6F95" w:rsidRDefault="007E6F95" w:rsidP="007E6F95">
            <w:pPr>
              <w:pStyle w:val="Pavadinimas"/>
              <w:jc w:val="both"/>
            </w:pPr>
            <w:r w:rsidRPr="00477C11">
              <w:rPr>
                <w:b w:val="0"/>
                <w:lang w:eastAsia="lt-LT"/>
              </w:rPr>
              <w:lastRenderedPageBreak/>
              <w:t>Taigi nepaisant to, kad Generalinės prokuratūra baudžiamosios bylos nagrinėjimo teisme metu EAO išduoda tik bylą nagrinėjančio teismo prašymo ir nutarties skirti kaltinamajam kardomąją priemonę – suėmimą – pagrindu, visgi sprendžiant, ar konkrečiu atveju išduoti EAO, galutinį sprendimą priima Generalinė prokuratūra. Būtent ji, o ne EAO inicijavęs teismas ar aukštesnės instancijos teismas, be kita ko, baudžiamosios bylos nagrinėjimo teisme metu turi diskreciją vertinti EAO proporcingumą. Atsižvelgiant į tai, siūlytina paskirti teismus kompetentingomis institucijomis Lietuvoje išduoti EAO dėl kaltinamųjų baudžiamojo persekiojimo, t. y. bylos nagrinėjimo teisme metu. Generalinė prokuratūra EAO išduotų tik dėl įtariamųjų ikiteisminio tyrimo metu.</w:t>
            </w:r>
          </w:p>
        </w:tc>
        <w:tc>
          <w:tcPr>
            <w:tcW w:w="5634" w:type="dxa"/>
          </w:tcPr>
          <w:p w14:paraId="7A46D037" w14:textId="0AA4EE7E" w:rsidR="007E6F95" w:rsidRDefault="007E6F95" w:rsidP="00477C11">
            <w:pPr>
              <w:pStyle w:val="Pavadinimas"/>
              <w:jc w:val="both"/>
            </w:pPr>
            <w:r w:rsidRPr="00ED0134">
              <w:lastRenderedPageBreak/>
              <w:t>Neatsižvelgta.</w:t>
            </w:r>
            <w:r>
              <w:t xml:space="preserve"> </w:t>
            </w:r>
            <w:r>
              <w:rPr>
                <w:b w:val="0"/>
              </w:rPr>
              <w:t>Žr. komentarą, pateiktą dėl Generalinės prokuratūros antros pastabos.</w:t>
            </w:r>
          </w:p>
        </w:tc>
      </w:tr>
      <w:tr w:rsidR="00477C11" w14:paraId="1F108262" w14:textId="77777777" w:rsidTr="007E6F95">
        <w:tc>
          <w:tcPr>
            <w:tcW w:w="704" w:type="dxa"/>
          </w:tcPr>
          <w:p w14:paraId="75DBE169" w14:textId="4C7DA8D4" w:rsidR="00477C11" w:rsidRPr="007E6F95" w:rsidRDefault="007E6F95" w:rsidP="00ED2248">
            <w:pPr>
              <w:pStyle w:val="Pavadinimas"/>
              <w:rPr>
                <w:b w:val="0"/>
              </w:rPr>
            </w:pPr>
            <w:r w:rsidRPr="007E6F95">
              <w:rPr>
                <w:b w:val="0"/>
              </w:rPr>
              <w:lastRenderedPageBreak/>
              <w:t>3.</w:t>
            </w:r>
          </w:p>
        </w:tc>
        <w:tc>
          <w:tcPr>
            <w:tcW w:w="2693" w:type="dxa"/>
          </w:tcPr>
          <w:p w14:paraId="0F636C16" w14:textId="746B7CD0" w:rsidR="00477C11" w:rsidRDefault="00477C11" w:rsidP="00ED2248">
            <w:pPr>
              <w:pStyle w:val="Pavadinimas"/>
            </w:pPr>
            <w:r>
              <w:rPr>
                <w:b w:val="0"/>
                <w:bCs w:val="0"/>
              </w:rPr>
              <w:t>Lietuvos Respublikos sveikatos apsaugos ministerija (2020-04-23 raštas Nr. (1.1.5-141)10-2959)</w:t>
            </w:r>
          </w:p>
        </w:tc>
        <w:tc>
          <w:tcPr>
            <w:tcW w:w="5529" w:type="dxa"/>
          </w:tcPr>
          <w:p w14:paraId="76145DF0" w14:textId="77777777" w:rsidR="00477C11" w:rsidRPr="00DA0D04" w:rsidRDefault="00477C11" w:rsidP="00477C11">
            <w:pPr>
              <w:autoSpaceDE w:val="0"/>
              <w:autoSpaceDN w:val="0"/>
              <w:adjustRightInd w:val="0"/>
              <w:jc w:val="both"/>
              <w:rPr>
                <w:lang w:eastAsia="lt-LT"/>
              </w:rPr>
            </w:pPr>
            <w:r w:rsidRPr="00DA0D04">
              <w:rPr>
                <w:lang w:eastAsia="lt-LT"/>
              </w:rPr>
              <w:t>Atsižvelgiant į tai, kad perimant nuteistąjį dalyvauja tiek Lietuvos Respublikos vidaus reikalų ministerijos, tiek Lietuvos Respublikos sveikatos apsaugos ministerijos valdymo srities įstaigų darbuotojai, manome, kad nuteistojo parėmimo tvarka turėtų būti viena ir patvirtinta bendru abiejų ministrų įsakymu. Todėl siūlome Įstatymo projekto 7 straipsnį dėstyti taip:</w:t>
            </w:r>
          </w:p>
          <w:p w14:paraId="7436540B" w14:textId="0664BCDF" w:rsidR="00477C11" w:rsidRPr="00477C11" w:rsidRDefault="00477C11" w:rsidP="00477C11">
            <w:pPr>
              <w:autoSpaceDE w:val="0"/>
              <w:autoSpaceDN w:val="0"/>
              <w:adjustRightInd w:val="0"/>
              <w:ind w:firstLine="404"/>
              <w:jc w:val="both"/>
              <w:rPr>
                <w:lang w:eastAsia="lt-LT"/>
              </w:rPr>
            </w:pPr>
            <w:r w:rsidRPr="00DA0D04">
              <w:rPr>
                <w:lang w:eastAsia="lt-LT"/>
              </w:rPr>
              <w:t xml:space="preserve">„2. Nuteistojo perėmimą iš kitos Europos Sąjungos valstybės narės į Lietuvos Respubliką vykdo Viešojo saugumo tarnyba prie Lietuvos Respublikos vidaus reikalų ministerijos ir Lietuvos kriminalinės policijos biuras Lietuvos Respublikos vidaus reikalų ministro nustatyta tvarka. Perimant nuteistąjį, kuriam paskirtos priverčiamosios medicinos priemonės, dalyvauja ir priverčiamąsias medicinos priemones Lietuvos teritorijoje vykdančios įstaigos darbuotojai. </w:t>
            </w:r>
            <w:r w:rsidRPr="00477C11">
              <w:rPr>
                <w:lang w:eastAsia="lt-LT"/>
              </w:rPr>
              <w:t>Nuteistojo perėmimas vykdomas Lietuvos Respublikos vidaus reikalų ministro ir Lietuvos Respublikos sveikatos apsaugos ministro nustatyta tvarka.“</w:t>
            </w:r>
          </w:p>
        </w:tc>
        <w:tc>
          <w:tcPr>
            <w:tcW w:w="5634" w:type="dxa"/>
          </w:tcPr>
          <w:p w14:paraId="634311D8" w14:textId="337DC66A" w:rsidR="00477C11" w:rsidRPr="0041263B" w:rsidRDefault="00477C11" w:rsidP="00477C11">
            <w:pPr>
              <w:pStyle w:val="Pavadinimas"/>
              <w:jc w:val="both"/>
              <w:rPr>
                <w:b w:val="0"/>
              </w:rPr>
            </w:pPr>
            <w:r>
              <w:t>Neatsižvelgta</w:t>
            </w:r>
            <w:r w:rsidRPr="00ED0134">
              <w:t>.</w:t>
            </w:r>
            <w:r w:rsidR="0041263B">
              <w:t xml:space="preserve"> </w:t>
            </w:r>
            <w:r w:rsidR="0041263B">
              <w:rPr>
                <w:b w:val="0"/>
              </w:rPr>
              <w:t>Įstatymo 12 straipsnio 2 dalyje reglamentuota, kad n</w:t>
            </w:r>
            <w:r w:rsidR="0041263B" w:rsidRPr="0041263B">
              <w:rPr>
                <w:b w:val="0"/>
              </w:rPr>
              <w:t xml:space="preserve">uteistojo perėmimą iš kitos Europos Sąjungos valstybės narės į Lietuvos Respubliką vykdo Viešojo saugumo tarnyba prie Lietuvos Respublikos vidaus reikalų ministerijos ir Lietuvos kriminalinės policijos biuras </w:t>
            </w:r>
            <w:r w:rsidR="0041263B" w:rsidRPr="0041263B">
              <w:rPr>
                <w:b w:val="0"/>
                <w:i/>
              </w:rPr>
              <w:t>Lietuvos Respublikos vidaus reikalų ministro nustatyta tvarka</w:t>
            </w:r>
            <w:r w:rsidR="0041263B" w:rsidRPr="0041263B">
              <w:rPr>
                <w:b w:val="0"/>
              </w:rPr>
              <w:t>.</w:t>
            </w:r>
            <w:r w:rsidR="0041263B">
              <w:rPr>
                <w:b w:val="0"/>
              </w:rPr>
              <w:t xml:space="preserve"> Vadinasi, vidaus reikalų ministras yra (ar turi </w:t>
            </w:r>
            <w:bookmarkStart w:id="0" w:name="_GoBack"/>
            <w:bookmarkEnd w:id="0"/>
            <w:r w:rsidR="0041263B">
              <w:rPr>
                <w:b w:val="0"/>
              </w:rPr>
              <w:t>būti) patvirtinęs tvarką, kuria vadovaujasi Viešojo saugumo tarnyba ir Lietuvos kriminalinės policijos biuras. Papildomu įgaliojimai Vidaus reikalų ministrui, manytina, nėra tikslingi.</w:t>
            </w:r>
          </w:p>
        </w:tc>
      </w:tr>
    </w:tbl>
    <w:p w14:paraId="3F40AE95" w14:textId="77777777" w:rsidR="00ED2248" w:rsidRDefault="00ED2248" w:rsidP="00ED2248">
      <w:pPr>
        <w:pStyle w:val="Pavadinimas"/>
      </w:pPr>
    </w:p>
    <w:p w14:paraId="4E995615" w14:textId="77777777" w:rsidR="009E0791" w:rsidRDefault="009E0791" w:rsidP="00D102CF">
      <w:pPr>
        <w:pStyle w:val="Pavadinimas"/>
        <w:jc w:val="both"/>
        <w:rPr>
          <w:b w:val="0"/>
          <w:bCs w:val="0"/>
        </w:rPr>
      </w:pPr>
    </w:p>
    <w:sectPr w:rsidR="009E0791" w:rsidSect="00904CBC">
      <w:headerReference w:type="even" r:id="rId8"/>
      <w:headerReference w:type="default" r:id="rId9"/>
      <w:pgSz w:w="16838" w:h="11906" w:orient="landscape" w:code="9"/>
      <w:pgMar w:top="709" w:right="113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132AD" w14:textId="77777777" w:rsidR="007F70FF" w:rsidRDefault="007F70FF">
      <w:r>
        <w:separator/>
      </w:r>
    </w:p>
  </w:endnote>
  <w:endnote w:type="continuationSeparator" w:id="0">
    <w:p w14:paraId="5EE95B4A" w14:textId="77777777" w:rsidR="007F70FF" w:rsidRDefault="007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38BF6" w14:textId="77777777" w:rsidR="007F70FF" w:rsidRDefault="007F70FF">
      <w:r>
        <w:separator/>
      </w:r>
    </w:p>
  </w:footnote>
  <w:footnote w:type="continuationSeparator" w:id="0">
    <w:p w14:paraId="3F0B8C7E" w14:textId="77777777" w:rsidR="007F70FF" w:rsidRDefault="007F7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595F5" w14:textId="77777777" w:rsidR="00FC12E9" w:rsidRDefault="00FC12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869F57" w14:textId="77777777" w:rsidR="00FC12E9" w:rsidRDefault="00FC12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7C79" w14:textId="77777777" w:rsidR="00FC12E9" w:rsidRDefault="00FC12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2CC5">
      <w:rPr>
        <w:rStyle w:val="Puslapionumeris"/>
        <w:noProof/>
      </w:rPr>
      <w:t>4</w:t>
    </w:r>
    <w:r>
      <w:rPr>
        <w:rStyle w:val="Puslapionumeris"/>
      </w:rPr>
      <w:fldChar w:fldCharType="end"/>
    </w:r>
  </w:p>
  <w:p w14:paraId="7E2612BB" w14:textId="77777777" w:rsidR="00FC12E9" w:rsidRDefault="00FC12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DE8"/>
    <w:multiLevelType w:val="hybridMultilevel"/>
    <w:tmpl w:val="67520B8E"/>
    <w:lvl w:ilvl="0" w:tplc="41FCBDA2">
      <w:start w:val="1"/>
      <w:numFmt w:val="decimal"/>
      <w:lvlText w:val="%1."/>
      <w:lvlJc w:val="left"/>
      <w:pPr>
        <w:ind w:left="1607" w:hanging="360"/>
      </w:pPr>
      <w:rPr>
        <w:rFonts w:cs="Times New Roman" w:hint="default"/>
      </w:rPr>
    </w:lvl>
    <w:lvl w:ilvl="1" w:tplc="04270019" w:tentative="1">
      <w:start w:val="1"/>
      <w:numFmt w:val="lowerLetter"/>
      <w:lvlText w:val="%2."/>
      <w:lvlJc w:val="left"/>
      <w:pPr>
        <w:ind w:left="2327" w:hanging="360"/>
      </w:pPr>
      <w:rPr>
        <w:rFonts w:cs="Times New Roman"/>
      </w:rPr>
    </w:lvl>
    <w:lvl w:ilvl="2" w:tplc="0427001B" w:tentative="1">
      <w:start w:val="1"/>
      <w:numFmt w:val="lowerRoman"/>
      <w:lvlText w:val="%3."/>
      <w:lvlJc w:val="right"/>
      <w:pPr>
        <w:ind w:left="3047" w:hanging="180"/>
      </w:pPr>
      <w:rPr>
        <w:rFonts w:cs="Times New Roman"/>
      </w:rPr>
    </w:lvl>
    <w:lvl w:ilvl="3" w:tplc="0427000F" w:tentative="1">
      <w:start w:val="1"/>
      <w:numFmt w:val="decimal"/>
      <w:lvlText w:val="%4."/>
      <w:lvlJc w:val="left"/>
      <w:pPr>
        <w:ind w:left="3767" w:hanging="360"/>
      </w:pPr>
      <w:rPr>
        <w:rFonts w:cs="Times New Roman"/>
      </w:rPr>
    </w:lvl>
    <w:lvl w:ilvl="4" w:tplc="04270019" w:tentative="1">
      <w:start w:val="1"/>
      <w:numFmt w:val="lowerLetter"/>
      <w:lvlText w:val="%5."/>
      <w:lvlJc w:val="left"/>
      <w:pPr>
        <w:ind w:left="4487" w:hanging="360"/>
      </w:pPr>
      <w:rPr>
        <w:rFonts w:cs="Times New Roman"/>
      </w:rPr>
    </w:lvl>
    <w:lvl w:ilvl="5" w:tplc="0427001B" w:tentative="1">
      <w:start w:val="1"/>
      <w:numFmt w:val="lowerRoman"/>
      <w:lvlText w:val="%6."/>
      <w:lvlJc w:val="right"/>
      <w:pPr>
        <w:ind w:left="5207" w:hanging="180"/>
      </w:pPr>
      <w:rPr>
        <w:rFonts w:cs="Times New Roman"/>
      </w:rPr>
    </w:lvl>
    <w:lvl w:ilvl="6" w:tplc="0427000F" w:tentative="1">
      <w:start w:val="1"/>
      <w:numFmt w:val="decimal"/>
      <w:lvlText w:val="%7."/>
      <w:lvlJc w:val="left"/>
      <w:pPr>
        <w:ind w:left="5927" w:hanging="360"/>
      </w:pPr>
      <w:rPr>
        <w:rFonts w:cs="Times New Roman"/>
      </w:rPr>
    </w:lvl>
    <w:lvl w:ilvl="7" w:tplc="04270019" w:tentative="1">
      <w:start w:val="1"/>
      <w:numFmt w:val="lowerLetter"/>
      <w:lvlText w:val="%8."/>
      <w:lvlJc w:val="left"/>
      <w:pPr>
        <w:ind w:left="6647" w:hanging="360"/>
      </w:pPr>
      <w:rPr>
        <w:rFonts w:cs="Times New Roman"/>
      </w:rPr>
    </w:lvl>
    <w:lvl w:ilvl="8" w:tplc="0427001B" w:tentative="1">
      <w:start w:val="1"/>
      <w:numFmt w:val="lowerRoman"/>
      <w:lvlText w:val="%9."/>
      <w:lvlJc w:val="right"/>
      <w:pPr>
        <w:ind w:left="7367" w:hanging="180"/>
      </w:pPr>
      <w:rPr>
        <w:rFonts w:cs="Times New Roman"/>
      </w:rPr>
    </w:lvl>
  </w:abstractNum>
  <w:abstractNum w:abstractNumId="1" w15:restartNumberingAfterBreak="0">
    <w:nsid w:val="04F6777C"/>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345A7"/>
    <w:multiLevelType w:val="hybridMultilevel"/>
    <w:tmpl w:val="74C2960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17F40E62"/>
    <w:multiLevelType w:val="hybridMultilevel"/>
    <w:tmpl w:val="6E203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A645B"/>
    <w:multiLevelType w:val="hybridMultilevel"/>
    <w:tmpl w:val="94C6FD2E"/>
    <w:lvl w:ilvl="0" w:tplc="590E038C">
      <w:start w:val="2"/>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5" w15:restartNumberingAfterBreak="0">
    <w:nsid w:val="1B497EC1"/>
    <w:multiLevelType w:val="hybridMultilevel"/>
    <w:tmpl w:val="59045E02"/>
    <w:lvl w:ilvl="0" w:tplc="0E4E4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6" w15:restartNumberingAfterBreak="0">
    <w:nsid w:val="2DF24D2D"/>
    <w:multiLevelType w:val="hybridMultilevel"/>
    <w:tmpl w:val="B8D0A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D446D7"/>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256A1E"/>
    <w:multiLevelType w:val="hybridMultilevel"/>
    <w:tmpl w:val="99049E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42560FAF"/>
    <w:multiLevelType w:val="hybridMultilevel"/>
    <w:tmpl w:val="F23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CB0791"/>
    <w:multiLevelType w:val="hybridMultilevel"/>
    <w:tmpl w:val="E440F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AF39D5"/>
    <w:multiLevelType w:val="hybridMultilevel"/>
    <w:tmpl w:val="E7949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C95CAC"/>
    <w:multiLevelType w:val="hybridMultilevel"/>
    <w:tmpl w:val="9D9E2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83032A"/>
    <w:multiLevelType w:val="hybridMultilevel"/>
    <w:tmpl w:val="D902A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7213CE"/>
    <w:multiLevelType w:val="hybridMultilevel"/>
    <w:tmpl w:val="7A5C9100"/>
    <w:lvl w:ilvl="0" w:tplc="579676D6">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5" w15:restartNumberingAfterBreak="0">
    <w:nsid w:val="66B926F9"/>
    <w:multiLevelType w:val="hybridMultilevel"/>
    <w:tmpl w:val="37145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34476C"/>
    <w:multiLevelType w:val="hybridMultilevel"/>
    <w:tmpl w:val="3E745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6F2088"/>
    <w:multiLevelType w:val="hybridMultilevel"/>
    <w:tmpl w:val="871E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FC3BE3"/>
    <w:multiLevelType w:val="hybridMultilevel"/>
    <w:tmpl w:val="8DCAEEF8"/>
    <w:lvl w:ilvl="0" w:tplc="0427000F">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9" w15:restartNumberingAfterBreak="0">
    <w:nsid w:val="71CE384A"/>
    <w:multiLevelType w:val="hybridMultilevel"/>
    <w:tmpl w:val="D2C0C1BC"/>
    <w:lvl w:ilvl="0" w:tplc="BC72EF6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0" w15:restartNumberingAfterBreak="0">
    <w:nsid w:val="75CF6427"/>
    <w:multiLevelType w:val="hybridMultilevel"/>
    <w:tmpl w:val="B380D56A"/>
    <w:lvl w:ilvl="0" w:tplc="005C37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7FDE2AFE"/>
    <w:multiLevelType w:val="hybridMultilevel"/>
    <w:tmpl w:val="4F76F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5"/>
  </w:num>
  <w:num w:numId="3">
    <w:abstractNumId w:val="17"/>
  </w:num>
  <w:num w:numId="4">
    <w:abstractNumId w:val="11"/>
  </w:num>
  <w:num w:numId="5">
    <w:abstractNumId w:val="20"/>
  </w:num>
  <w:num w:numId="6">
    <w:abstractNumId w:val="13"/>
  </w:num>
  <w:num w:numId="7">
    <w:abstractNumId w:val="8"/>
  </w:num>
  <w:num w:numId="8">
    <w:abstractNumId w:val="3"/>
  </w:num>
  <w:num w:numId="9">
    <w:abstractNumId w:val="15"/>
  </w:num>
  <w:num w:numId="10">
    <w:abstractNumId w:val="2"/>
  </w:num>
  <w:num w:numId="11">
    <w:abstractNumId w:val="0"/>
  </w:num>
  <w:num w:numId="12">
    <w:abstractNumId w:val="16"/>
  </w:num>
  <w:num w:numId="13">
    <w:abstractNumId w:val="18"/>
  </w:num>
  <w:num w:numId="14">
    <w:abstractNumId w:val="19"/>
  </w:num>
  <w:num w:numId="15">
    <w:abstractNumId w:val="4"/>
  </w:num>
  <w:num w:numId="16">
    <w:abstractNumId w:val="10"/>
  </w:num>
  <w:num w:numId="17">
    <w:abstractNumId w:val="7"/>
  </w:num>
  <w:num w:numId="18">
    <w:abstractNumId w:val="9"/>
  </w:num>
  <w:num w:numId="19">
    <w:abstractNumId w:val="12"/>
  </w:num>
  <w:num w:numId="20">
    <w:abstractNumId w:val="1"/>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8"/>
    <w:rsid w:val="000055E7"/>
    <w:rsid w:val="000145F9"/>
    <w:rsid w:val="00016C5A"/>
    <w:rsid w:val="00032FD4"/>
    <w:rsid w:val="000360F6"/>
    <w:rsid w:val="00037630"/>
    <w:rsid w:val="000431A1"/>
    <w:rsid w:val="00045798"/>
    <w:rsid w:val="0004735D"/>
    <w:rsid w:val="00050BB4"/>
    <w:rsid w:val="00070DBB"/>
    <w:rsid w:val="00073B24"/>
    <w:rsid w:val="000754DA"/>
    <w:rsid w:val="000845AC"/>
    <w:rsid w:val="00084F5D"/>
    <w:rsid w:val="000900E9"/>
    <w:rsid w:val="000919E6"/>
    <w:rsid w:val="000A6838"/>
    <w:rsid w:val="000B640F"/>
    <w:rsid w:val="000B6F4C"/>
    <w:rsid w:val="000E7C08"/>
    <w:rsid w:val="000F273A"/>
    <w:rsid w:val="00100A1C"/>
    <w:rsid w:val="001053BB"/>
    <w:rsid w:val="0011140D"/>
    <w:rsid w:val="00111CC8"/>
    <w:rsid w:val="001306D6"/>
    <w:rsid w:val="001356A7"/>
    <w:rsid w:val="001420E5"/>
    <w:rsid w:val="001425A9"/>
    <w:rsid w:val="00146372"/>
    <w:rsid w:val="001504A3"/>
    <w:rsid w:val="00151566"/>
    <w:rsid w:val="001705D9"/>
    <w:rsid w:val="001761FE"/>
    <w:rsid w:val="001828A4"/>
    <w:rsid w:val="00183F67"/>
    <w:rsid w:val="001842DF"/>
    <w:rsid w:val="001846AB"/>
    <w:rsid w:val="00192304"/>
    <w:rsid w:val="00192916"/>
    <w:rsid w:val="0019458D"/>
    <w:rsid w:val="001A6592"/>
    <w:rsid w:val="001B2A27"/>
    <w:rsid w:val="001D47C0"/>
    <w:rsid w:val="001D497F"/>
    <w:rsid w:val="001D4F5B"/>
    <w:rsid w:val="001D5B2F"/>
    <w:rsid w:val="001F2E3E"/>
    <w:rsid w:val="001F5C6B"/>
    <w:rsid w:val="00221DA5"/>
    <w:rsid w:val="00223B05"/>
    <w:rsid w:val="002375EF"/>
    <w:rsid w:val="00241B19"/>
    <w:rsid w:val="00251432"/>
    <w:rsid w:val="0027199F"/>
    <w:rsid w:val="0027326E"/>
    <w:rsid w:val="00274CB7"/>
    <w:rsid w:val="00277C0C"/>
    <w:rsid w:val="00280BF9"/>
    <w:rsid w:val="00282940"/>
    <w:rsid w:val="0028732D"/>
    <w:rsid w:val="00290DB3"/>
    <w:rsid w:val="00294D7A"/>
    <w:rsid w:val="002952B7"/>
    <w:rsid w:val="00296A92"/>
    <w:rsid w:val="002B43A1"/>
    <w:rsid w:val="002C0F0F"/>
    <w:rsid w:val="002C5053"/>
    <w:rsid w:val="002C7CDC"/>
    <w:rsid w:val="002C7E8B"/>
    <w:rsid w:val="002E055C"/>
    <w:rsid w:val="002E1195"/>
    <w:rsid w:val="002F0FF7"/>
    <w:rsid w:val="002F103F"/>
    <w:rsid w:val="00307533"/>
    <w:rsid w:val="00310B54"/>
    <w:rsid w:val="00315FCC"/>
    <w:rsid w:val="00317F3D"/>
    <w:rsid w:val="003223F8"/>
    <w:rsid w:val="0033180B"/>
    <w:rsid w:val="003440C0"/>
    <w:rsid w:val="00344CC1"/>
    <w:rsid w:val="00347818"/>
    <w:rsid w:val="003513E6"/>
    <w:rsid w:val="00353801"/>
    <w:rsid w:val="003548BE"/>
    <w:rsid w:val="0035640D"/>
    <w:rsid w:val="00366A8D"/>
    <w:rsid w:val="00370CAB"/>
    <w:rsid w:val="003816C0"/>
    <w:rsid w:val="003823F6"/>
    <w:rsid w:val="00383283"/>
    <w:rsid w:val="003838D4"/>
    <w:rsid w:val="00385C9D"/>
    <w:rsid w:val="00391B02"/>
    <w:rsid w:val="00394AE8"/>
    <w:rsid w:val="00394B2B"/>
    <w:rsid w:val="003977A5"/>
    <w:rsid w:val="003A1A50"/>
    <w:rsid w:val="003B6E66"/>
    <w:rsid w:val="003B70A6"/>
    <w:rsid w:val="003C017F"/>
    <w:rsid w:val="003C4B31"/>
    <w:rsid w:val="003E7864"/>
    <w:rsid w:val="00411A47"/>
    <w:rsid w:val="0041263B"/>
    <w:rsid w:val="00422A95"/>
    <w:rsid w:val="00424F8B"/>
    <w:rsid w:val="004253CF"/>
    <w:rsid w:val="00426448"/>
    <w:rsid w:val="00426D40"/>
    <w:rsid w:val="00430C44"/>
    <w:rsid w:val="0043162F"/>
    <w:rsid w:val="00436133"/>
    <w:rsid w:val="00440241"/>
    <w:rsid w:val="00443CD8"/>
    <w:rsid w:val="00446E12"/>
    <w:rsid w:val="0045573F"/>
    <w:rsid w:val="00455C1C"/>
    <w:rsid w:val="00465803"/>
    <w:rsid w:val="004728E8"/>
    <w:rsid w:val="00473B1F"/>
    <w:rsid w:val="00474B71"/>
    <w:rsid w:val="00477C11"/>
    <w:rsid w:val="00482417"/>
    <w:rsid w:val="0048698C"/>
    <w:rsid w:val="00486A4A"/>
    <w:rsid w:val="00494AE7"/>
    <w:rsid w:val="00497976"/>
    <w:rsid w:val="004A1183"/>
    <w:rsid w:val="004A59A9"/>
    <w:rsid w:val="004C0686"/>
    <w:rsid w:val="004C4878"/>
    <w:rsid w:val="004C53E4"/>
    <w:rsid w:val="004E0608"/>
    <w:rsid w:val="004E2890"/>
    <w:rsid w:val="004E7660"/>
    <w:rsid w:val="004F11A0"/>
    <w:rsid w:val="00503789"/>
    <w:rsid w:val="00523F07"/>
    <w:rsid w:val="00526088"/>
    <w:rsid w:val="00533B6D"/>
    <w:rsid w:val="00544E73"/>
    <w:rsid w:val="00554A21"/>
    <w:rsid w:val="00560336"/>
    <w:rsid w:val="00560E9D"/>
    <w:rsid w:val="005647D8"/>
    <w:rsid w:val="00566FCA"/>
    <w:rsid w:val="00573598"/>
    <w:rsid w:val="0057390A"/>
    <w:rsid w:val="005B2D98"/>
    <w:rsid w:val="005C3B9F"/>
    <w:rsid w:val="005C7FCA"/>
    <w:rsid w:val="005D6601"/>
    <w:rsid w:val="005E3332"/>
    <w:rsid w:val="005F3C59"/>
    <w:rsid w:val="005F57F6"/>
    <w:rsid w:val="00603C7A"/>
    <w:rsid w:val="00605BC8"/>
    <w:rsid w:val="006076DF"/>
    <w:rsid w:val="00610270"/>
    <w:rsid w:val="006222A3"/>
    <w:rsid w:val="0062234D"/>
    <w:rsid w:val="00624D82"/>
    <w:rsid w:val="006300C1"/>
    <w:rsid w:val="00634D37"/>
    <w:rsid w:val="00641655"/>
    <w:rsid w:val="00641F07"/>
    <w:rsid w:val="00641F80"/>
    <w:rsid w:val="006424BA"/>
    <w:rsid w:val="006434A1"/>
    <w:rsid w:val="0064555C"/>
    <w:rsid w:val="006477E0"/>
    <w:rsid w:val="00647C5B"/>
    <w:rsid w:val="00665B9F"/>
    <w:rsid w:val="00667EB7"/>
    <w:rsid w:val="006746BB"/>
    <w:rsid w:val="00677134"/>
    <w:rsid w:val="00681673"/>
    <w:rsid w:val="006832A1"/>
    <w:rsid w:val="00684DDB"/>
    <w:rsid w:val="00686588"/>
    <w:rsid w:val="0068681B"/>
    <w:rsid w:val="00691137"/>
    <w:rsid w:val="00692842"/>
    <w:rsid w:val="006964A8"/>
    <w:rsid w:val="006A13BA"/>
    <w:rsid w:val="006A4593"/>
    <w:rsid w:val="006B704B"/>
    <w:rsid w:val="006C1D22"/>
    <w:rsid w:val="006C28E2"/>
    <w:rsid w:val="006D72E8"/>
    <w:rsid w:val="006E5192"/>
    <w:rsid w:val="00702C4E"/>
    <w:rsid w:val="00704D44"/>
    <w:rsid w:val="00710AD3"/>
    <w:rsid w:val="0071670B"/>
    <w:rsid w:val="00721C54"/>
    <w:rsid w:val="00734C6B"/>
    <w:rsid w:val="00740294"/>
    <w:rsid w:val="00741A41"/>
    <w:rsid w:val="00751390"/>
    <w:rsid w:val="00763BD4"/>
    <w:rsid w:val="00763E34"/>
    <w:rsid w:val="00767F30"/>
    <w:rsid w:val="007739F2"/>
    <w:rsid w:val="0077512B"/>
    <w:rsid w:val="007805E8"/>
    <w:rsid w:val="00783BD0"/>
    <w:rsid w:val="00785CA0"/>
    <w:rsid w:val="00785DD6"/>
    <w:rsid w:val="00787801"/>
    <w:rsid w:val="007A0A67"/>
    <w:rsid w:val="007A0E61"/>
    <w:rsid w:val="007A37BC"/>
    <w:rsid w:val="007A5A2D"/>
    <w:rsid w:val="007B3A32"/>
    <w:rsid w:val="007B5D17"/>
    <w:rsid w:val="007C143F"/>
    <w:rsid w:val="007C472C"/>
    <w:rsid w:val="007C63C2"/>
    <w:rsid w:val="007C71BB"/>
    <w:rsid w:val="007D247B"/>
    <w:rsid w:val="007D7770"/>
    <w:rsid w:val="007E0DA5"/>
    <w:rsid w:val="007E12F5"/>
    <w:rsid w:val="007E4014"/>
    <w:rsid w:val="007E6F95"/>
    <w:rsid w:val="007F0F32"/>
    <w:rsid w:val="007F70FF"/>
    <w:rsid w:val="007F713B"/>
    <w:rsid w:val="007F7E72"/>
    <w:rsid w:val="00800515"/>
    <w:rsid w:val="008316CE"/>
    <w:rsid w:val="008358B6"/>
    <w:rsid w:val="00837B8F"/>
    <w:rsid w:val="00844C51"/>
    <w:rsid w:val="0084650E"/>
    <w:rsid w:val="00850647"/>
    <w:rsid w:val="00851BF3"/>
    <w:rsid w:val="00864683"/>
    <w:rsid w:val="008715EB"/>
    <w:rsid w:val="00887BA8"/>
    <w:rsid w:val="008918FD"/>
    <w:rsid w:val="008933E2"/>
    <w:rsid w:val="008A6265"/>
    <w:rsid w:val="008C12B0"/>
    <w:rsid w:val="008C27AC"/>
    <w:rsid w:val="008C4CED"/>
    <w:rsid w:val="008D1214"/>
    <w:rsid w:val="008D4D09"/>
    <w:rsid w:val="008E78A1"/>
    <w:rsid w:val="008F1236"/>
    <w:rsid w:val="008F2843"/>
    <w:rsid w:val="00904CBC"/>
    <w:rsid w:val="00925FE6"/>
    <w:rsid w:val="00933EFE"/>
    <w:rsid w:val="0093706E"/>
    <w:rsid w:val="009500F1"/>
    <w:rsid w:val="0095470E"/>
    <w:rsid w:val="009667B2"/>
    <w:rsid w:val="0097448B"/>
    <w:rsid w:val="00980F2F"/>
    <w:rsid w:val="00990BC7"/>
    <w:rsid w:val="00990D9D"/>
    <w:rsid w:val="009A4724"/>
    <w:rsid w:val="009B607E"/>
    <w:rsid w:val="009C119E"/>
    <w:rsid w:val="009C3B9C"/>
    <w:rsid w:val="009D0A58"/>
    <w:rsid w:val="009D7CF0"/>
    <w:rsid w:val="009E0791"/>
    <w:rsid w:val="009E33A7"/>
    <w:rsid w:val="009F00AD"/>
    <w:rsid w:val="00A00439"/>
    <w:rsid w:val="00A03561"/>
    <w:rsid w:val="00A174D9"/>
    <w:rsid w:val="00A23FBA"/>
    <w:rsid w:val="00A32202"/>
    <w:rsid w:val="00A3281E"/>
    <w:rsid w:val="00A41DCB"/>
    <w:rsid w:val="00A51764"/>
    <w:rsid w:val="00A54E51"/>
    <w:rsid w:val="00A55C8D"/>
    <w:rsid w:val="00A63113"/>
    <w:rsid w:val="00A631BE"/>
    <w:rsid w:val="00A6385F"/>
    <w:rsid w:val="00A6403B"/>
    <w:rsid w:val="00A65BD0"/>
    <w:rsid w:val="00A6642C"/>
    <w:rsid w:val="00A711E3"/>
    <w:rsid w:val="00A713BB"/>
    <w:rsid w:val="00A719BD"/>
    <w:rsid w:val="00A81928"/>
    <w:rsid w:val="00A90B04"/>
    <w:rsid w:val="00A91C7D"/>
    <w:rsid w:val="00AA2C22"/>
    <w:rsid w:val="00AB37D1"/>
    <w:rsid w:val="00AB780C"/>
    <w:rsid w:val="00AC26CC"/>
    <w:rsid w:val="00AC5105"/>
    <w:rsid w:val="00AD2FFF"/>
    <w:rsid w:val="00AD543A"/>
    <w:rsid w:val="00AE5543"/>
    <w:rsid w:val="00AE60A8"/>
    <w:rsid w:val="00AE63F6"/>
    <w:rsid w:val="00AE7543"/>
    <w:rsid w:val="00AF1372"/>
    <w:rsid w:val="00AF6263"/>
    <w:rsid w:val="00AF7668"/>
    <w:rsid w:val="00B00321"/>
    <w:rsid w:val="00B034A1"/>
    <w:rsid w:val="00B07B35"/>
    <w:rsid w:val="00B11405"/>
    <w:rsid w:val="00B152AE"/>
    <w:rsid w:val="00B16211"/>
    <w:rsid w:val="00B163FC"/>
    <w:rsid w:val="00B17A25"/>
    <w:rsid w:val="00B2028A"/>
    <w:rsid w:val="00B22082"/>
    <w:rsid w:val="00B26FC6"/>
    <w:rsid w:val="00B27ED8"/>
    <w:rsid w:val="00B554B3"/>
    <w:rsid w:val="00B57D3A"/>
    <w:rsid w:val="00B6142F"/>
    <w:rsid w:val="00B63537"/>
    <w:rsid w:val="00B65026"/>
    <w:rsid w:val="00B65DE7"/>
    <w:rsid w:val="00B7534F"/>
    <w:rsid w:val="00B77EE0"/>
    <w:rsid w:val="00B827EC"/>
    <w:rsid w:val="00B848F8"/>
    <w:rsid w:val="00B852C8"/>
    <w:rsid w:val="00B938E0"/>
    <w:rsid w:val="00B95E1E"/>
    <w:rsid w:val="00B97906"/>
    <w:rsid w:val="00BA2DD0"/>
    <w:rsid w:val="00BA7247"/>
    <w:rsid w:val="00BB15C6"/>
    <w:rsid w:val="00BB5AA4"/>
    <w:rsid w:val="00BB7D73"/>
    <w:rsid w:val="00BC191B"/>
    <w:rsid w:val="00BC2205"/>
    <w:rsid w:val="00BC6C97"/>
    <w:rsid w:val="00BE3C8F"/>
    <w:rsid w:val="00BE71C6"/>
    <w:rsid w:val="00BE79C1"/>
    <w:rsid w:val="00BF1D10"/>
    <w:rsid w:val="00BF3E09"/>
    <w:rsid w:val="00C046A4"/>
    <w:rsid w:val="00C059E4"/>
    <w:rsid w:val="00C22F27"/>
    <w:rsid w:val="00C30477"/>
    <w:rsid w:val="00C30F37"/>
    <w:rsid w:val="00C379A5"/>
    <w:rsid w:val="00C430AF"/>
    <w:rsid w:val="00C44C43"/>
    <w:rsid w:val="00C53651"/>
    <w:rsid w:val="00C54013"/>
    <w:rsid w:val="00C620F5"/>
    <w:rsid w:val="00C66BD2"/>
    <w:rsid w:val="00C74805"/>
    <w:rsid w:val="00C814CA"/>
    <w:rsid w:val="00C83CF3"/>
    <w:rsid w:val="00C84360"/>
    <w:rsid w:val="00C9195A"/>
    <w:rsid w:val="00C942BE"/>
    <w:rsid w:val="00C955C5"/>
    <w:rsid w:val="00C96C18"/>
    <w:rsid w:val="00C97E40"/>
    <w:rsid w:val="00CA1E94"/>
    <w:rsid w:val="00CA77D9"/>
    <w:rsid w:val="00CB6355"/>
    <w:rsid w:val="00CD0FE6"/>
    <w:rsid w:val="00CD1EA0"/>
    <w:rsid w:val="00CD2B95"/>
    <w:rsid w:val="00CE2F34"/>
    <w:rsid w:val="00CE5CE2"/>
    <w:rsid w:val="00CF3B65"/>
    <w:rsid w:val="00D0488A"/>
    <w:rsid w:val="00D102CF"/>
    <w:rsid w:val="00D106AF"/>
    <w:rsid w:val="00D15F6E"/>
    <w:rsid w:val="00D169E8"/>
    <w:rsid w:val="00D203A6"/>
    <w:rsid w:val="00D21E40"/>
    <w:rsid w:val="00D21E66"/>
    <w:rsid w:val="00D25BB6"/>
    <w:rsid w:val="00D25D50"/>
    <w:rsid w:val="00D326EF"/>
    <w:rsid w:val="00D33742"/>
    <w:rsid w:val="00D3482D"/>
    <w:rsid w:val="00D35CB6"/>
    <w:rsid w:val="00D37C5C"/>
    <w:rsid w:val="00D44A18"/>
    <w:rsid w:val="00D56E2A"/>
    <w:rsid w:val="00D57490"/>
    <w:rsid w:val="00D57E57"/>
    <w:rsid w:val="00D60A9D"/>
    <w:rsid w:val="00D6579E"/>
    <w:rsid w:val="00D67C93"/>
    <w:rsid w:val="00D70DBB"/>
    <w:rsid w:val="00D74597"/>
    <w:rsid w:val="00D855D9"/>
    <w:rsid w:val="00D878D4"/>
    <w:rsid w:val="00D913B3"/>
    <w:rsid w:val="00DA0D04"/>
    <w:rsid w:val="00DA426F"/>
    <w:rsid w:val="00DB497F"/>
    <w:rsid w:val="00DB5A74"/>
    <w:rsid w:val="00DC4AB7"/>
    <w:rsid w:val="00DC4B7E"/>
    <w:rsid w:val="00DD26AA"/>
    <w:rsid w:val="00DD2EC8"/>
    <w:rsid w:val="00DD398D"/>
    <w:rsid w:val="00DE1A16"/>
    <w:rsid w:val="00DE4D61"/>
    <w:rsid w:val="00E045B7"/>
    <w:rsid w:val="00E05477"/>
    <w:rsid w:val="00E244E8"/>
    <w:rsid w:val="00E25CB9"/>
    <w:rsid w:val="00E27A9B"/>
    <w:rsid w:val="00E32E87"/>
    <w:rsid w:val="00E41CDE"/>
    <w:rsid w:val="00E45657"/>
    <w:rsid w:val="00E517EC"/>
    <w:rsid w:val="00E70E22"/>
    <w:rsid w:val="00E712B8"/>
    <w:rsid w:val="00E749A1"/>
    <w:rsid w:val="00E82FDC"/>
    <w:rsid w:val="00E83A7C"/>
    <w:rsid w:val="00E85367"/>
    <w:rsid w:val="00E918CF"/>
    <w:rsid w:val="00E97E91"/>
    <w:rsid w:val="00EA2CC5"/>
    <w:rsid w:val="00EA38AA"/>
    <w:rsid w:val="00EA3DAB"/>
    <w:rsid w:val="00EA5D8E"/>
    <w:rsid w:val="00EC0AE1"/>
    <w:rsid w:val="00EC0F24"/>
    <w:rsid w:val="00EC6D99"/>
    <w:rsid w:val="00ED0134"/>
    <w:rsid w:val="00ED016C"/>
    <w:rsid w:val="00ED1BD0"/>
    <w:rsid w:val="00ED2248"/>
    <w:rsid w:val="00ED7B7C"/>
    <w:rsid w:val="00EF12A3"/>
    <w:rsid w:val="00EF225D"/>
    <w:rsid w:val="00F06EE3"/>
    <w:rsid w:val="00F23393"/>
    <w:rsid w:val="00F26C8B"/>
    <w:rsid w:val="00F36A66"/>
    <w:rsid w:val="00F37655"/>
    <w:rsid w:val="00F428BE"/>
    <w:rsid w:val="00F51D6E"/>
    <w:rsid w:val="00F5620F"/>
    <w:rsid w:val="00F5621A"/>
    <w:rsid w:val="00F578AC"/>
    <w:rsid w:val="00F619FD"/>
    <w:rsid w:val="00F62059"/>
    <w:rsid w:val="00F62F4B"/>
    <w:rsid w:val="00F6470C"/>
    <w:rsid w:val="00F70ED3"/>
    <w:rsid w:val="00F74757"/>
    <w:rsid w:val="00F93596"/>
    <w:rsid w:val="00FA36BB"/>
    <w:rsid w:val="00FC12E9"/>
    <w:rsid w:val="00FC7ABE"/>
    <w:rsid w:val="00FD128E"/>
    <w:rsid w:val="00FD1861"/>
    <w:rsid w:val="00FD2FC2"/>
    <w:rsid w:val="00FD49A5"/>
    <w:rsid w:val="00FE172C"/>
    <w:rsid w:val="00FE3BF1"/>
    <w:rsid w:val="00FE6DD6"/>
    <w:rsid w:val="00FF3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E941F"/>
  <w15:chartTrackingRefBased/>
  <w15:docId w15:val="{37A4BFEA-5F84-4DDE-ACB0-B20B1C1F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Pagrindinistekstas">
    <w:name w:val="Body Text"/>
    <w:basedOn w:val="prastasis"/>
    <w:pPr>
      <w:jc w:val="both"/>
    </w:pPr>
    <w:rPr>
      <w:sz w:val="22"/>
      <w:szCs w:val="22"/>
    </w:rPr>
  </w:style>
  <w:style w:type="paragraph" w:styleId="Pagrindinistekstas2">
    <w:name w:val="Body Text 2"/>
    <w:basedOn w:val="prastasis"/>
    <w:pPr>
      <w:jc w:val="both"/>
    </w:pPr>
    <w:rPr>
      <w:szCs w:val="22"/>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szCs w:val="20"/>
      <w:lang w:val="x-none"/>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Komentarotema">
    <w:name w:val="annotation subject"/>
    <w:basedOn w:val="Komentarotekstas"/>
    <w:next w:val="Komentarotekstas"/>
    <w:link w:val="KomentarotemaDiagrama"/>
    <w:rsid w:val="00E32E87"/>
    <w:rPr>
      <w:b/>
      <w:bCs/>
    </w:rPr>
  </w:style>
  <w:style w:type="character" w:customStyle="1" w:styleId="KomentarotekstasDiagrama">
    <w:name w:val="Komentaro tekstas Diagrama"/>
    <w:link w:val="Komentarotekstas"/>
    <w:semiHidden/>
    <w:rsid w:val="00E32E87"/>
    <w:rPr>
      <w:lang w:eastAsia="en-US"/>
    </w:rPr>
  </w:style>
  <w:style w:type="character" w:customStyle="1" w:styleId="KomentarotemaDiagrama">
    <w:name w:val="Komentaro tema Diagrama"/>
    <w:basedOn w:val="KomentarotekstasDiagrama"/>
    <w:link w:val="Komentarotema"/>
    <w:rsid w:val="00E32E87"/>
    <w:rPr>
      <w:lang w:eastAsia="en-US"/>
    </w:rPr>
  </w:style>
  <w:style w:type="paragraph" w:styleId="Debesliotekstas">
    <w:name w:val="Balloon Text"/>
    <w:basedOn w:val="prastasis"/>
    <w:link w:val="DebesliotekstasDiagrama"/>
    <w:rsid w:val="00E32E87"/>
    <w:rPr>
      <w:rFonts w:ascii="Tahoma" w:hAnsi="Tahoma"/>
      <w:sz w:val="16"/>
      <w:szCs w:val="16"/>
      <w:lang w:val="x-none"/>
    </w:rPr>
  </w:style>
  <w:style w:type="character" w:customStyle="1" w:styleId="DebesliotekstasDiagrama">
    <w:name w:val="Debesėlio tekstas Diagrama"/>
    <w:link w:val="Debesliotekstas"/>
    <w:rsid w:val="00E32E87"/>
    <w:rPr>
      <w:rFonts w:ascii="Tahoma" w:hAnsi="Tahoma" w:cs="Tahoma"/>
      <w:sz w:val="16"/>
      <w:szCs w:val="16"/>
      <w:lang w:eastAsia="en-US"/>
    </w:rPr>
  </w:style>
  <w:style w:type="paragraph" w:customStyle="1" w:styleId="Tekstas">
    <w:name w:val="Tekstas"/>
    <w:basedOn w:val="prastasis"/>
    <w:rsid w:val="000B640F"/>
    <w:pPr>
      <w:spacing w:before="40" w:after="40"/>
      <w:ind w:right="40" w:firstLine="1247"/>
      <w:jc w:val="both"/>
    </w:pPr>
  </w:style>
  <w:style w:type="paragraph" w:styleId="Betarp">
    <w:name w:val="No Spacing"/>
    <w:uiPriority w:val="1"/>
    <w:qFormat/>
    <w:rsid w:val="00D44A18"/>
    <w:rPr>
      <w:sz w:val="24"/>
      <w:szCs w:val="24"/>
      <w:lang w:eastAsia="en-US"/>
    </w:rPr>
  </w:style>
  <w:style w:type="paragraph" w:styleId="Sraopastraipa">
    <w:name w:val="List Paragraph"/>
    <w:basedOn w:val="prastasis"/>
    <w:uiPriority w:val="34"/>
    <w:qFormat/>
    <w:rsid w:val="00785DD6"/>
    <w:pPr>
      <w:ind w:left="1296"/>
    </w:pPr>
  </w:style>
  <w:style w:type="paragraph" w:styleId="Porat">
    <w:name w:val="footer"/>
    <w:basedOn w:val="prastasis"/>
    <w:link w:val="PoratDiagrama"/>
    <w:rsid w:val="00EA38AA"/>
    <w:pPr>
      <w:tabs>
        <w:tab w:val="center" w:pos="4819"/>
        <w:tab w:val="right" w:pos="9638"/>
      </w:tabs>
    </w:pPr>
    <w:rPr>
      <w:lang w:val="x-none"/>
    </w:rPr>
  </w:style>
  <w:style w:type="character" w:customStyle="1" w:styleId="PoratDiagrama">
    <w:name w:val="Poraštė Diagrama"/>
    <w:link w:val="Porat"/>
    <w:rsid w:val="00EA38AA"/>
    <w:rPr>
      <w:sz w:val="24"/>
      <w:szCs w:val="24"/>
      <w:lang w:eastAsia="en-US"/>
    </w:rPr>
  </w:style>
  <w:style w:type="paragraph" w:customStyle="1" w:styleId="Default">
    <w:name w:val="Default"/>
    <w:rsid w:val="00C66BD2"/>
    <w:pPr>
      <w:autoSpaceDE w:val="0"/>
      <w:autoSpaceDN w:val="0"/>
      <w:adjustRightInd w:val="0"/>
    </w:pPr>
    <w:rPr>
      <w:color w:val="000000"/>
      <w:sz w:val="24"/>
      <w:szCs w:val="24"/>
    </w:rPr>
  </w:style>
  <w:style w:type="table" w:styleId="Lentelstinklelis">
    <w:name w:val="Table Grid"/>
    <w:basedOn w:val="prastojilentel"/>
    <w:rsid w:val="00702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5303">
      <w:bodyDiv w:val="1"/>
      <w:marLeft w:val="0"/>
      <w:marRight w:val="0"/>
      <w:marTop w:val="0"/>
      <w:marBottom w:val="150"/>
      <w:divBdr>
        <w:top w:val="none" w:sz="0" w:space="0" w:color="auto"/>
        <w:left w:val="none" w:sz="0" w:space="0" w:color="auto"/>
        <w:bottom w:val="none" w:sz="0" w:space="0" w:color="auto"/>
        <w:right w:val="none" w:sz="0" w:space="0" w:color="auto"/>
      </w:divBdr>
      <w:divsChild>
        <w:div w:id="509174114">
          <w:marLeft w:val="615"/>
          <w:marRight w:val="0"/>
          <w:marTop w:val="0"/>
          <w:marBottom w:val="0"/>
          <w:divBdr>
            <w:top w:val="none" w:sz="0" w:space="0" w:color="auto"/>
            <w:left w:val="none" w:sz="0" w:space="0" w:color="auto"/>
            <w:bottom w:val="none" w:sz="0" w:space="0" w:color="auto"/>
            <w:right w:val="none" w:sz="0" w:space="0" w:color="auto"/>
          </w:divBdr>
          <w:divsChild>
            <w:div w:id="1337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6341">
      <w:bodyDiv w:val="1"/>
      <w:marLeft w:val="0"/>
      <w:marRight w:val="0"/>
      <w:marTop w:val="0"/>
      <w:marBottom w:val="0"/>
      <w:divBdr>
        <w:top w:val="none" w:sz="0" w:space="0" w:color="auto"/>
        <w:left w:val="none" w:sz="0" w:space="0" w:color="auto"/>
        <w:bottom w:val="none" w:sz="0" w:space="0" w:color="auto"/>
        <w:right w:val="none" w:sz="0" w:space="0" w:color="auto"/>
      </w:divBdr>
    </w:div>
    <w:div w:id="1427579266">
      <w:bodyDiv w:val="1"/>
      <w:marLeft w:val="0"/>
      <w:marRight w:val="0"/>
      <w:marTop w:val="0"/>
      <w:marBottom w:val="0"/>
      <w:divBdr>
        <w:top w:val="none" w:sz="0" w:space="0" w:color="auto"/>
        <w:left w:val="none" w:sz="0" w:space="0" w:color="auto"/>
        <w:bottom w:val="none" w:sz="0" w:space="0" w:color="auto"/>
        <w:right w:val="none" w:sz="0" w:space="0" w:color="auto"/>
      </w:divBdr>
      <w:divsChild>
        <w:div w:id="1566842531">
          <w:marLeft w:val="0"/>
          <w:marRight w:val="0"/>
          <w:marTop w:val="0"/>
          <w:marBottom w:val="0"/>
          <w:divBdr>
            <w:top w:val="none" w:sz="0" w:space="0" w:color="auto"/>
            <w:left w:val="none" w:sz="0" w:space="0" w:color="auto"/>
            <w:bottom w:val="none" w:sz="0" w:space="0" w:color="auto"/>
            <w:right w:val="none" w:sz="0" w:space="0" w:color="auto"/>
          </w:divBdr>
          <w:divsChild>
            <w:div w:id="36928533">
              <w:marLeft w:val="0"/>
              <w:marRight w:val="0"/>
              <w:marTop w:val="0"/>
              <w:marBottom w:val="0"/>
              <w:divBdr>
                <w:top w:val="none" w:sz="0" w:space="0" w:color="auto"/>
                <w:left w:val="none" w:sz="0" w:space="0" w:color="auto"/>
                <w:bottom w:val="none" w:sz="0" w:space="0" w:color="auto"/>
                <w:right w:val="none" w:sz="0" w:space="0" w:color="auto"/>
              </w:divBdr>
              <w:divsChild>
                <w:div w:id="868882926">
                  <w:marLeft w:val="0"/>
                  <w:marRight w:val="0"/>
                  <w:marTop w:val="0"/>
                  <w:marBottom w:val="0"/>
                  <w:divBdr>
                    <w:top w:val="none" w:sz="0" w:space="0" w:color="auto"/>
                    <w:left w:val="none" w:sz="0" w:space="0" w:color="auto"/>
                    <w:bottom w:val="none" w:sz="0" w:space="0" w:color="auto"/>
                    <w:right w:val="none" w:sz="0" w:space="0" w:color="auto"/>
                  </w:divBdr>
                </w:div>
                <w:div w:id="15178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4436">
      <w:bodyDiv w:val="1"/>
      <w:marLeft w:val="0"/>
      <w:marRight w:val="0"/>
      <w:marTop w:val="0"/>
      <w:marBottom w:val="0"/>
      <w:divBdr>
        <w:top w:val="none" w:sz="0" w:space="0" w:color="auto"/>
        <w:left w:val="none" w:sz="0" w:space="0" w:color="auto"/>
        <w:bottom w:val="none" w:sz="0" w:space="0" w:color="auto"/>
        <w:right w:val="none" w:sz="0" w:space="0" w:color="auto"/>
      </w:divBdr>
    </w:div>
    <w:div w:id="1882933626">
      <w:bodyDiv w:val="1"/>
      <w:marLeft w:val="0"/>
      <w:marRight w:val="0"/>
      <w:marTop w:val="0"/>
      <w:marBottom w:val="0"/>
      <w:divBdr>
        <w:top w:val="none" w:sz="0" w:space="0" w:color="auto"/>
        <w:left w:val="none" w:sz="0" w:space="0" w:color="auto"/>
        <w:bottom w:val="none" w:sz="0" w:space="0" w:color="auto"/>
        <w:right w:val="none" w:sz="0" w:space="0" w:color="auto"/>
      </w:divBdr>
    </w:div>
    <w:div w:id="19837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87F3F-EC22-43AA-9599-BB32CDAF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9844</Words>
  <Characters>5612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2020-06-12T06:01:00Z</dcterms:created>
  <dc:creator>Jolanta</dc:creator>
  <cp:lastModifiedBy>Petras Butrimas</cp:lastModifiedBy>
  <cp:lastPrinted>2012-07-20T06:38:00Z</cp:lastPrinted>
  <dcterms:modified xsi:type="dcterms:W3CDTF">2020-06-12T06:47:00Z</dcterms:modified>
  <cp:revision>3</cp:revision>
  <dc:title>DERINIMO PAŽYMA</dc:title>
</cp:coreProperties>
</file>