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458AC" w14:textId="000AFF6E" w:rsidR="00786B92" w:rsidRDefault="00E01A4E" w:rsidP="00E01A4E">
      <w:pPr>
        <w:pStyle w:val="Pavadinimas"/>
        <w:tabs>
          <w:tab w:val="left" w:pos="3180"/>
        </w:tabs>
        <w:spacing w:line="240" w:lineRule="auto"/>
        <w:ind w:right="0"/>
        <w:jc w:val="left"/>
      </w:pPr>
      <w:r>
        <w:tab/>
      </w:r>
    </w:p>
    <w:p w14:paraId="3C397691" w14:textId="77777777" w:rsidR="00D72B5F" w:rsidRPr="00AE24BF" w:rsidRDefault="00D72B5F" w:rsidP="00E662D6">
      <w:pPr>
        <w:pStyle w:val="Pavadinimas"/>
        <w:spacing w:line="240" w:lineRule="auto"/>
        <w:ind w:right="0"/>
      </w:pPr>
      <w:r w:rsidRPr="00AE24BF">
        <w:t xml:space="preserve">lIETUVOS rESPUBLIKOS POZICIJOS DĖL KLAUSIMŲ, SVARSTOMŲ </w:t>
      </w:r>
    </w:p>
    <w:p w14:paraId="03866435" w14:textId="3BD9F5C8" w:rsidR="00D72B5F" w:rsidRPr="00AE24BF" w:rsidRDefault="00D72B5F" w:rsidP="00E662D6">
      <w:pPr>
        <w:pStyle w:val="Pavadinimas"/>
        <w:spacing w:line="240" w:lineRule="auto"/>
        <w:ind w:right="0"/>
      </w:pPr>
      <w:r w:rsidRPr="00AE24BF">
        <w:t>201</w:t>
      </w:r>
      <w:r w:rsidR="00941F2F">
        <w:t>9</w:t>
      </w:r>
      <w:r w:rsidRPr="00AE24BF">
        <w:t xml:space="preserve"> m. </w:t>
      </w:r>
      <w:r w:rsidR="00941F2F">
        <w:rPr>
          <w:lang w:eastAsia="lt-LT"/>
        </w:rPr>
        <w:t>sausio 2</w:t>
      </w:r>
      <w:r w:rsidR="001D7C38">
        <w:rPr>
          <w:lang w:eastAsia="lt-LT"/>
        </w:rPr>
        <w:t>8</w:t>
      </w:r>
      <w:r w:rsidRPr="00076701">
        <w:rPr>
          <w:lang w:eastAsia="lt-LT"/>
        </w:rPr>
        <w:t xml:space="preserve"> D. </w:t>
      </w:r>
      <w:r w:rsidRPr="00AE24BF">
        <w:t>ES TARYBOS</w:t>
      </w:r>
    </w:p>
    <w:p w14:paraId="55BEFC53" w14:textId="77777777" w:rsidR="00D72B5F" w:rsidRPr="00AE24BF" w:rsidRDefault="00D72B5F" w:rsidP="00E662D6">
      <w:pPr>
        <w:jc w:val="center"/>
        <w:rPr>
          <w:b/>
          <w:bCs/>
          <w:caps/>
        </w:rPr>
      </w:pPr>
      <w:r w:rsidRPr="00AE24BF">
        <w:rPr>
          <w:b/>
          <w:bCs/>
          <w:caps/>
        </w:rPr>
        <w:t>(ŽEMĖS ŪKIs IR ŽUVININKYSTĖ) POSĖDYJE</w:t>
      </w:r>
    </w:p>
    <w:p w14:paraId="1AE2E966" w14:textId="77777777" w:rsidR="00D72B5F" w:rsidRPr="00AE24BF" w:rsidRDefault="00D72B5F" w:rsidP="00D72B5F">
      <w:pPr>
        <w:spacing w:line="120" w:lineRule="auto"/>
        <w:jc w:val="center"/>
      </w:pPr>
    </w:p>
    <w:p w14:paraId="0E20C174" w14:textId="77777777" w:rsidR="00D72B5F" w:rsidRPr="00AE24BF" w:rsidRDefault="00D72B5F" w:rsidP="00D72B5F">
      <w:pPr>
        <w:ind w:firstLine="720"/>
        <w:jc w:val="both"/>
      </w:pPr>
    </w:p>
    <w:p w14:paraId="19AA38FD" w14:textId="683983C8" w:rsidR="00D72B5F" w:rsidRPr="00535829" w:rsidRDefault="00D72B5F" w:rsidP="00DE6B92">
      <w:pPr>
        <w:spacing w:line="360" w:lineRule="auto"/>
        <w:ind w:firstLine="284"/>
        <w:jc w:val="both"/>
      </w:pPr>
      <w:r w:rsidRPr="00535829">
        <w:t xml:space="preserve">Š. m. </w:t>
      </w:r>
      <w:r w:rsidR="00941F2F">
        <w:t>sausio 2</w:t>
      </w:r>
      <w:r w:rsidR="001D7C38" w:rsidRPr="00535829">
        <w:t>8</w:t>
      </w:r>
      <w:r w:rsidR="00DE6B92" w:rsidRPr="00535829">
        <w:t> </w:t>
      </w:r>
      <w:r w:rsidRPr="00535829">
        <w:t>d. vyksiančio ES Tarybos (</w:t>
      </w:r>
      <w:r w:rsidRPr="00535829">
        <w:rPr>
          <w:bCs/>
        </w:rPr>
        <w:t>žemės ūkis ir žuvininkystė</w:t>
      </w:r>
      <w:r w:rsidRPr="00535829">
        <w:t xml:space="preserve">) posėdžio (toliau – ES Tarybos </w:t>
      </w:r>
      <w:r w:rsidRPr="00535829">
        <w:rPr>
          <w:bCs/>
        </w:rPr>
        <w:t>posėdis</w:t>
      </w:r>
      <w:r w:rsidRPr="00535829">
        <w:t>) preliminarioje darbotvarkėje numatyta svarstyti šiuos klausimus:</w:t>
      </w:r>
    </w:p>
    <w:p w14:paraId="3258FE14" w14:textId="0FF11B01" w:rsidR="00D72B5F" w:rsidRPr="00535829" w:rsidRDefault="00D72B5F" w:rsidP="00D72B5F">
      <w:pPr>
        <w:pStyle w:val="Default"/>
      </w:pPr>
      <w:r w:rsidRPr="00535829">
        <w:t>1. Darbotvarkės priėmimas</w:t>
      </w:r>
      <w:r w:rsidR="00077A57">
        <w:t>.</w:t>
      </w:r>
    </w:p>
    <w:p w14:paraId="1B1819A3" w14:textId="77777777" w:rsidR="00D359D8" w:rsidRPr="00535829" w:rsidRDefault="00D359D8" w:rsidP="00D72B5F">
      <w:pPr>
        <w:pStyle w:val="Default"/>
      </w:pPr>
    </w:p>
    <w:p w14:paraId="069C49ED" w14:textId="1B87D2A1" w:rsidR="00D72B5F" w:rsidRPr="00535829" w:rsidRDefault="00D359D8" w:rsidP="00D72B5F">
      <w:pPr>
        <w:pStyle w:val="Default"/>
      </w:pPr>
      <w:r w:rsidRPr="00535829">
        <w:t>2. </w:t>
      </w:r>
      <w:r w:rsidR="00D72B5F" w:rsidRPr="00535829">
        <w:t>(</w:t>
      </w:r>
      <w:r w:rsidR="00D72B5F" w:rsidRPr="00535829">
        <w:rPr>
          <w:i/>
        </w:rPr>
        <w:t>galimas</w:t>
      </w:r>
      <w:r w:rsidR="00D72B5F" w:rsidRPr="00535829">
        <w:t>) A punktų patvirtinimas</w:t>
      </w:r>
      <w:r w:rsidR="00077A57">
        <w:t>.</w:t>
      </w:r>
    </w:p>
    <w:p w14:paraId="34CCB60E" w14:textId="01C8D070" w:rsidR="00D72B5F" w:rsidRPr="00535829" w:rsidRDefault="00D72B5F" w:rsidP="00C53218">
      <w:pPr>
        <w:pStyle w:val="Default"/>
        <w:numPr>
          <w:ilvl w:val="0"/>
          <w:numId w:val="3"/>
        </w:numPr>
        <w:ind w:left="284" w:hanging="284"/>
      </w:pPr>
      <w:r w:rsidRPr="00535829">
        <w:t>Ne teisėkūros procedūros punktų sąrašas</w:t>
      </w:r>
      <w:r w:rsidR="00077A57">
        <w:t>.</w:t>
      </w:r>
    </w:p>
    <w:p w14:paraId="2C711054" w14:textId="44A8260E" w:rsidR="00D72B5F" w:rsidRPr="00535829" w:rsidRDefault="00D72B5F" w:rsidP="00C53218">
      <w:pPr>
        <w:pStyle w:val="Default"/>
        <w:numPr>
          <w:ilvl w:val="0"/>
          <w:numId w:val="3"/>
        </w:numPr>
        <w:ind w:left="284" w:hanging="284"/>
      </w:pPr>
      <w:r w:rsidRPr="00535829">
        <w:t>Teisėkūros procedūros punktų sąrašas (viešas svarstymas pagal Europos Sąjungos sutarties 16 straipsnio 8 dalį)</w:t>
      </w:r>
      <w:r w:rsidR="00077A57">
        <w:t>.</w:t>
      </w:r>
    </w:p>
    <w:p w14:paraId="088C26CF" w14:textId="77777777" w:rsidR="00D72B5F" w:rsidRPr="00535829" w:rsidRDefault="00D72B5F" w:rsidP="00D72B5F">
      <w:pPr>
        <w:pStyle w:val="Default"/>
        <w:ind w:left="720"/>
      </w:pPr>
    </w:p>
    <w:p w14:paraId="0DA47E10" w14:textId="77777777" w:rsidR="00535829" w:rsidRPr="00535829" w:rsidRDefault="00535829" w:rsidP="00535829">
      <w:pPr>
        <w:pStyle w:val="Default"/>
        <w:rPr>
          <w:bCs/>
          <w:u w:val="single"/>
        </w:rPr>
      </w:pPr>
      <w:r w:rsidRPr="00535829">
        <w:rPr>
          <w:bCs/>
          <w:u w:val="single"/>
        </w:rPr>
        <w:t>Su teisėkūros procedūra nesusijusi veikla</w:t>
      </w:r>
    </w:p>
    <w:p w14:paraId="7A84D578" w14:textId="77777777" w:rsidR="00535829" w:rsidRPr="00535829" w:rsidRDefault="00535829" w:rsidP="00D72B5F">
      <w:pPr>
        <w:pStyle w:val="Default"/>
        <w:rPr>
          <w:bCs/>
          <w:u w:val="single"/>
        </w:rPr>
      </w:pPr>
    </w:p>
    <w:p w14:paraId="6432E653" w14:textId="343DDDA3" w:rsidR="00941F2F" w:rsidRDefault="00941F2F" w:rsidP="00941F2F">
      <w:pPr>
        <w:jc w:val="both"/>
      </w:pPr>
      <w:r>
        <w:t>3. Pirmininkaujančios valstybės narės darbo programa</w:t>
      </w:r>
      <w:r w:rsidR="00246DBD">
        <w:t>.</w:t>
      </w:r>
    </w:p>
    <w:p w14:paraId="641397F8" w14:textId="77777777" w:rsidR="00246DBD" w:rsidRDefault="00246DBD" w:rsidP="00535829">
      <w:pPr>
        <w:jc w:val="both"/>
      </w:pPr>
    </w:p>
    <w:p w14:paraId="639D17F8" w14:textId="5EB9E680" w:rsidR="00535829" w:rsidRDefault="00246DBD" w:rsidP="00535829">
      <w:pPr>
        <w:jc w:val="both"/>
        <w:rPr>
          <w:b/>
        </w:rPr>
      </w:pPr>
      <w:r w:rsidRPr="00246DBD">
        <w:rPr>
          <w:b/>
        </w:rPr>
        <w:t>ŽEMĖS ŪKIS</w:t>
      </w:r>
    </w:p>
    <w:p w14:paraId="1CCC9B70" w14:textId="77777777" w:rsidR="00246DBD" w:rsidRPr="00246DBD" w:rsidRDefault="00246DBD" w:rsidP="00246DBD">
      <w:pPr>
        <w:jc w:val="both"/>
        <w:rPr>
          <w:b/>
        </w:rPr>
      </w:pPr>
    </w:p>
    <w:p w14:paraId="1CAD799C" w14:textId="77777777" w:rsidR="00D72B5F" w:rsidRPr="00535829" w:rsidRDefault="00D72B5F" w:rsidP="00D72B5F">
      <w:pPr>
        <w:pStyle w:val="Default"/>
        <w:rPr>
          <w:bCs/>
          <w:u w:val="single"/>
        </w:rPr>
      </w:pPr>
      <w:r w:rsidRPr="00535829">
        <w:rPr>
          <w:bCs/>
          <w:u w:val="single"/>
        </w:rPr>
        <w:t>Teisėkūros procedūra priimamų aktų svarstymas</w:t>
      </w:r>
    </w:p>
    <w:p w14:paraId="461F1A75" w14:textId="6F719352" w:rsidR="00D72B5F" w:rsidRDefault="00D72B5F" w:rsidP="00D72B5F">
      <w:pPr>
        <w:pStyle w:val="Default"/>
      </w:pPr>
      <w:r w:rsidRPr="00535829">
        <w:t>(Viešas svarstymas pagal Europos Sąjungos sutarties 16 straipsnio 8 dalį)</w:t>
      </w:r>
    </w:p>
    <w:p w14:paraId="732DA8E5" w14:textId="39B55FFD" w:rsidR="00941F2F" w:rsidRDefault="00941F2F" w:rsidP="00D72B5F">
      <w:pPr>
        <w:pStyle w:val="Default"/>
      </w:pPr>
    </w:p>
    <w:p w14:paraId="78D78C27" w14:textId="76463F68" w:rsidR="00941F2F" w:rsidRPr="00246DBD" w:rsidRDefault="00246DBD" w:rsidP="00941F2F">
      <w:pPr>
        <w:pStyle w:val="Default"/>
        <w:rPr>
          <w:b/>
        </w:rPr>
      </w:pPr>
      <w:r>
        <w:rPr>
          <w:b/>
        </w:rPr>
        <w:t>4</w:t>
      </w:r>
      <w:r w:rsidR="00E25F2F" w:rsidRPr="00246DBD">
        <w:rPr>
          <w:b/>
        </w:rPr>
        <w:t xml:space="preserve">. </w:t>
      </w:r>
      <w:r w:rsidR="00941F2F" w:rsidRPr="00246DBD">
        <w:rPr>
          <w:b/>
        </w:rPr>
        <w:t>Dokumentų dėl BŽŪP reformos po 2020 m. rinkinys</w:t>
      </w:r>
    </w:p>
    <w:p w14:paraId="00289C2C" w14:textId="556BE99B" w:rsidR="00941F2F" w:rsidRDefault="00941F2F" w:rsidP="00941F2F">
      <w:pPr>
        <w:pStyle w:val="Default"/>
      </w:pPr>
      <w:r>
        <w:t>a) Reglamentas dėl BŽŪP strateginių planų</w:t>
      </w:r>
    </w:p>
    <w:p w14:paraId="30FBFBF5" w14:textId="53CF0FC6" w:rsidR="00941F2F" w:rsidRDefault="00941F2F" w:rsidP="00941F2F">
      <w:pPr>
        <w:pStyle w:val="Default"/>
        <w:ind w:firstLine="851"/>
      </w:pPr>
      <w:r>
        <w:t>i) Naujas įgyvendinimo modelis</w:t>
      </w:r>
    </w:p>
    <w:p w14:paraId="18E6D65A" w14:textId="41244419" w:rsidR="00941F2F" w:rsidRDefault="00941F2F" w:rsidP="00941F2F">
      <w:pPr>
        <w:pStyle w:val="Default"/>
        <w:ind w:firstLine="851"/>
      </w:pPr>
      <w:r>
        <w:t>ii) Žalioji architektūra</w:t>
      </w:r>
    </w:p>
    <w:p w14:paraId="7ADBB52D" w14:textId="2FA59F54" w:rsidR="00941F2F" w:rsidRDefault="00E25F2F" w:rsidP="00E25F2F">
      <w:pPr>
        <w:pStyle w:val="Default"/>
      </w:pPr>
      <w:r w:rsidRPr="00E25F2F">
        <w:t>b)</w:t>
      </w:r>
      <w:r>
        <w:t xml:space="preserve"> </w:t>
      </w:r>
      <w:r w:rsidR="00941F2F">
        <w:t>Reglamentas dėl žemės ūkio produktų bendro rinkos organizavimo (BRO)</w:t>
      </w:r>
      <w:r w:rsidR="00077A57">
        <w:t>.</w:t>
      </w:r>
    </w:p>
    <w:p w14:paraId="7E303E0E" w14:textId="57985E46" w:rsidR="00941F2F" w:rsidRPr="00535829" w:rsidRDefault="00941F2F" w:rsidP="00941F2F">
      <w:pPr>
        <w:pStyle w:val="Default"/>
      </w:pPr>
      <w:r>
        <w:tab/>
      </w:r>
    </w:p>
    <w:p w14:paraId="15050259" w14:textId="77777777" w:rsidR="00246DBD" w:rsidRPr="00246DBD" w:rsidRDefault="00246DBD" w:rsidP="00246DBD">
      <w:pPr>
        <w:pStyle w:val="Default"/>
        <w:rPr>
          <w:u w:val="single"/>
        </w:rPr>
      </w:pPr>
      <w:r w:rsidRPr="00246DBD">
        <w:rPr>
          <w:u w:val="single"/>
        </w:rPr>
        <w:t>Su teisėkūros procedūra nesusijusi veikla</w:t>
      </w:r>
    </w:p>
    <w:p w14:paraId="188E6BE8" w14:textId="77777777" w:rsidR="00246DBD" w:rsidRDefault="00246DBD" w:rsidP="00246DBD">
      <w:pPr>
        <w:pStyle w:val="Default"/>
      </w:pPr>
    </w:p>
    <w:p w14:paraId="7C37C381" w14:textId="7FDE1933" w:rsidR="00246DBD" w:rsidRPr="00246DBD" w:rsidRDefault="00246DBD" w:rsidP="00246DBD">
      <w:pPr>
        <w:pStyle w:val="Default"/>
      </w:pPr>
      <w:r>
        <w:t xml:space="preserve">5. </w:t>
      </w:r>
      <w:r w:rsidRPr="00246DBD">
        <w:t>ES augalinių baltymų gamybos planas</w:t>
      </w:r>
      <w:r w:rsidR="00077A57">
        <w:t>.</w:t>
      </w:r>
    </w:p>
    <w:p w14:paraId="1F3B66F6" w14:textId="6624E170" w:rsidR="00215DAC" w:rsidRPr="00535829" w:rsidRDefault="00246DBD" w:rsidP="00215DAC">
      <w:pPr>
        <w:pStyle w:val="Default"/>
        <w:rPr>
          <w:b/>
        </w:rPr>
      </w:pPr>
      <w:r w:rsidRPr="00246DBD">
        <w:tab/>
      </w:r>
    </w:p>
    <w:p w14:paraId="44E9B492" w14:textId="77777777" w:rsidR="001D7C38" w:rsidRPr="00246DBD" w:rsidRDefault="00535829" w:rsidP="00D72B5F">
      <w:pPr>
        <w:pStyle w:val="Default"/>
        <w:rPr>
          <w:b/>
        </w:rPr>
      </w:pPr>
      <w:r w:rsidRPr="00246DBD">
        <w:rPr>
          <w:b/>
        </w:rPr>
        <w:t>KITI KLAUSIMAI</w:t>
      </w:r>
    </w:p>
    <w:p w14:paraId="54C130A3" w14:textId="77777777" w:rsidR="001D7C38" w:rsidRPr="00535829" w:rsidRDefault="001D7C38" w:rsidP="00D72B5F">
      <w:pPr>
        <w:pStyle w:val="Default"/>
      </w:pPr>
    </w:p>
    <w:p w14:paraId="6076E224" w14:textId="6A82F60A" w:rsidR="00D72B5F" w:rsidRDefault="00246DBD" w:rsidP="00246DBD">
      <w:pPr>
        <w:pStyle w:val="Default"/>
        <w:rPr>
          <w:iCs/>
        </w:rPr>
      </w:pPr>
      <w:r>
        <w:t>6</w:t>
      </w:r>
      <w:r w:rsidR="00535829" w:rsidRPr="00246DBD">
        <w:t>. </w:t>
      </w:r>
      <w:r w:rsidR="00D72B5F" w:rsidRPr="00246DBD">
        <w:rPr>
          <w:iCs/>
        </w:rPr>
        <w:t xml:space="preserve"> </w:t>
      </w:r>
      <w:r w:rsidRPr="00246DBD">
        <w:rPr>
          <w:iCs/>
        </w:rPr>
        <w:t>Atsparumo antimikrobinėms medžiagoms sprendimų tarptautinio centro (angl. ICARS) įsteigimas</w:t>
      </w:r>
      <w:r>
        <w:rPr>
          <w:iCs/>
        </w:rPr>
        <w:t>.</w:t>
      </w:r>
    </w:p>
    <w:p w14:paraId="2BD977FA" w14:textId="50DC7FBF" w:rsidR="00246DBD" w:rsidRDefault="00246DBD" w:rsidP="00246DBD">
      <w:pPr>
        <w:pStyle w:val="Default"/>
        <w:rPr>
          <w:iCs/>
        </w:rPr>
      </w:pPr>
    </w:p>
    <w:p w14:paraId="3EC4ED65" w14:textId="3127790E" w:rsidR="00246DBD" w:rsidRPr="00246DBD" w:rsidRDefault="00246DBD" w:rsidP="00246DBD">
      <w:pPr>
        <w:pStyle w:val="Default"/>
        <w:rPr>
          <w:b/>
          <w:iCs/>
        </w:rPr>
      </w:pPr>
      <w:r>
        <w:rPr>
          <w:b/>
          <w:iCs/>
        </w:rPr>
        <w:t>Lietuvai aktualiausias 4</w:t>
      </w:r>
      <w:r w:rsidRPr="00246DBD">
        <w:rPr>
          <w:b/>
          <w:iCs/>
        </w:rPr>
        <w:t xml:space="preserve"> klausimas.</w:t>
      </w:r>
    </w:p>
    <w:p w14:paraId="361D98A1" w14:textId="1B8CC599" w:rsidR="00246DBD" w:rsidRDefault="00246DBD" w:rsidP="00246DBD">
      <w:pPr>
        <w:pStyle w:val="Default"/>
        <w:rPr>
          <w:iCs/>
        </w:rPr>
      </w:pPr>
      <w:r w:rsidRPr="00246DBD">
        <w:rPr>
          <w:iCs/>
        </w:rPr>
        <w:t>Teikiame Lietuvos Respublikos pozicijas preliminarios ES Tarybos darbotvarkės klausimais:</w:t>
      </w:r>
    </w:p>
    <w:p w14:paraId="4BCE5672" w14:textId="1FB12070" w:rsidR="00B67148" w:rsidRDefault="00B67148" w:rsidP="004A7CD9">
      <w:pPr>
        <w:ind w:left="-284"/>
      </w:pPr>
    </w:p>
    <w:p w14:paraId="10998C01" w14:textId="3345E18F" w:rsidR="00246DBD" w:rsidRPr="00246DBD" w:rsidRDefault="00246DBD" w:rsidP="00246DBD">
      <w:pPr>
        <w:ind w:left="-284"/>
        <w:rPr>
          <w:b/>
        </w:rPr>
      </w:pPr>
      <w:r w:rsidRPr="00246DBD">
        <w:rPr>
          <w:b/>
        </w:rPr>
        <w:t>3. Pirmininkaujančios valstybės narės darbo programa</w:t>
      </w:r>
    </w:p>
    <w:p w14:paraId="69362C1F" w14:textId="600FEAA0" w:rsidR="00246DBD" w:rsidRPr="00246DBD" w:rsidRDefault="00246DBD" w:rsidP="00246DBD">
      <w:pPr>
        <w:ind w:left="-284"/>
        <w:rPr>
          <w:b/>
          <w:i/>
        </w:rPr>
      </w:pPr>
      <w:r w:rsidRPr="00246DBD">
        <w:rPr>
          <w:b/>
          <w:i/>
        </w:rPr>
        <w:t>- Pirmininkaujančios valstybės narės pranešimas</w:t>
      </w:r>
    </w:p>
    <w:p w14:paraId="02F1E934" w14:textId="23CB988B" w:rsidR="006D5593" w:rsidRDefault="006D5593" w:rsidP="00246DBD">
      <w:pPr>
        <w:spacing w:line="360" w:lineRule="auto"/>
        <w:ind w:firstLine="851"/>
        <w:jc w:val="both"/>
      </w:pPr>
    </w:p>
    <w:p w14:paraId="54A7C4FE" w14:textId="61C0335C" w:rsidR="009E5644" w:rsidRDefault="009E5644" w:rsidP="00246DBD">
      <w:pPr>
        <w:spacing w:line="360" w:lineRule="auto"/>
        <w:ind w:firstLine="851"/>
        <w:jc w:val="both"/>
      </w:pPr>
      <w:r>
        <w:t xml:space="preserve">ES Tarybos posėdyje </w:t>
      </w:r>
      <w:r w:rsidR="00786B92">
        <w:t>2019 m. I-</w:t>
      </w:r>
      <w:proofErr w:type="spellStart"/>
      <w:r w:rsidR="00786B92">
        <w:t>ajam</w:t>
      </w:r>
      <w:r w:rsidR="00571076">
        <w:t>e</w:t>
      </w:r>
      <w:proofErr w:type="spellEnd"/>
      <w:r w:rsidR="00786B92">
        <w:t xml:space="preserve"> pusmetyje pirmininkausianti Rumunija pristatys savo </w:t>
      </w:r>
      <w:r w:rsidR="00783D41">
        <w:t>darbo</w:t>
      </w:r>
      <w:r w:rsidR="00786B92">
        <w:t xml:space="preserve"> programą. Kaip pagrindinį pirmininkavimo prioritetą Rumunija išskiria tolimesnes derybas dėl </w:t>
      </w:r>
      <w:r w:rsidR="00786B92">
        <w:lastRenderedPageBreak/>
        <w:t xml:space="preserve">Bendrosios žemės ūkio politikos </w:t>
      </w:r>
      <w:r w:rsidR="0014137D" w:rsidRPr="0014137D">
        <w:t xml:space="preserve">(BŽŪP) </w:t>
      </w:r>
      <w:r w:rsidR="00786B92">
        <w:t>teisės aktų rinkinio daugiametės finansinės p</w:t>
      </w:r>
      <w:r w:rsidR="008D3F8E">
        <w:t>rogramos</w:t>
      </w:r>
      <w:r w:rsidR="00786B92">
        <w:t xml:space="preserve"> kontekste.</w:t>
      </w:r>
      <w:r w:rsidR="001D5827">
        <w:t xml:space="preserve"> </w:t>
      </w:r>
      <w:r w:rsidR="00783D41">
        <w:t xml:space="preserve">Bus tęsiamos </w:t>
      </w:r>
      <w:r w:rsidR="001D5827">
        <w:t>diskusij</w:t>
      </w:r>
      <w:r w:rsidR="00783D41">
        <w:t>o</w:t>
      </w:r>
      <w:r w:rsidR="001D5827">
        <w:t xml:space="preserve">s dėl tolesnio BŽŪP supaprastinimo ir modernizavimo. </w:t>
      </w:r>
      <w:r w:rsidR="0014137D">
        <w:t xml:space="preserve"> </w:t>
      </w:r>
    </w:p>
    <w:p w14:paraId="2D5374BB" w14:textId="7676DCF4" w:rsidR="00255213" w:rsidRDefault="001D5827" w:rsidP="00833703">
      <w:pPr>
        <w:spacing w:line="360" w:lineRule="auto"/>
        <w:ind w:firstLine="851"/>
        <w:jc w:val="both"/>
      </w:pPr>
      <w:r>
        <w:t xml:space="preserve">Bus siekiama tokių tvarių tikslų, kaip apsirūpinimas maistu, </w:t>
      </w:r>
      <w:r w:rsidRPr="00B3165E">
        <w:t xml:space="preserve">gyvenimo kokybės </w:t>
      </w:r>
      <w:r w:rsidR="00B3165E" w:rsidRPr="00B3165E">
        <w:t>kaime</w:t>
      </w:r>
      <w:r w:rsidRPr="00B3165E">
        <w:t xml:space="preserve"> </w:t>
      </w:r>
      <w:r w:rsidR="00B3165E" w:rsidRPr="00B3165E">
        <w:t xml:space="preserve">bei ūkininkavimo sąlygų </w:t>
      </w:r>
      <w:r w:rsidRPr="00B3165E">
        <w:t>gerinimas,</w:t>
      </w:r>
      <w:r>
        <w:t xml:space="preserve"> </w:t>
      </w:r>
      <w:r w:rsidR="00E13A53">
        <w:t>gamybos produktyvumo ir ES žemės ūkio konkurencingumo didinimas.</w:t>
      </w:r>
      <w:r w:rsidR="00833703">
        <w:t xml:space="preserve"> Daug dėmesio numatoma skirti </w:t>
      </w:r>
      <w:proofErr w:type="spellStart"/>
      <w:r w:rsidR="00833703">
        <w:t>bioekonomikai</w:t>
      </w:r>
      <w:proofErr w:type="spellEnd"/>
      <w:r w:rsidR="00833703">
        <w:t xml:space="preserve">, inovacijoms, moksliniams tyrimams žemės ūkyje. </w:t>
      </w:r>
    </w:p>
    <w:p w14:paraId="59A1E6FF" w14:textId="4960EBCC" w:rsidR="00531C73" w:rsidRDefault="00C16FDE" w:rsidP="00531C73">
      <w:pPr>
        <w:spacing w:line="360" w:lineRule="auto"/>
        <w:ind w:firstLine="851"/>
        <w:jc w:val="both"/>
      </w:pPr>
      <w:r>
        <w:t xml:space="preserve">Rumunija tęs ir kitas </w:t>
      </w:r>
      <w:r w:rsidR="00E522CA">
        <w:t>pastaruoju metu aktualias</w:t>
      </w:r>
      <w:r>
        <w:t xml:space="preserve"> iniciatyvas, tokias kaip augalinių baltymų gamybos </w:t>
      </w:r>
      <w:r w:rsidR="00227B83">
        <w:t>ES plėtra, ES veiksmų planas</w:t>
      </w:r>
      <w:r w:rsidR="00227B83" w:rsidRPr="00227B83">
        <w:t xml:space="preserve"> antimikrobinio </w:t>
      </w:r>
      <w:r w:rsidR="008D0AE9">
        <w:t>atsparumo</w:t>
      </w:r>
      <w:r w:rsidR="00227B83" w:rsidRPr="00227B83">
        <w:t xml:space="preserve"> srityje</w:t>
      </w:r>
      <w:r w:rsidR="00227B83">
        <w:t>,</w:t>
      </w:r>
      <w:r>
        <w:t xml:space="preserve"> direktyvos dėl nesąžiningų prekybos praktikų</w:t>
      </w:r>
      <w:r w:rsidR="00E522CA">
        <w:t xml:space="preserve"> patvirtinimas.</w:t>
      </w:r>
      <w:r w:rsidR="00455F53">
        <w:t xml:space="preserve"> Programoje akcentuojamas </w:t>
      </w:r>
      <w:r w:rsidR="008D0AE9">
        <w:t>b</w:t>
      </w:r>
      <w:r w:rsidR="00455F53">
        <w:t xml:space="preserve">endros </w:t>
      </w:r>
      <w:r w:rsidR="00455F53" w:rsidRPr="00455F53">
        <w:t>gyvūnų sveikatos stebėsenos</w:t>
      </w:r>
      <w:r w:rsidR="00455F53">
        <w:t xml:space="preserve"> ir apsaugos ES strategijos poreikis,  </w:t>
      </w:r>
      <w:r w:rsidR="00455F53" w:rsidRPr="00455F53">
        <w:t xml:space="preserve">atsižvelgiant į </w:t>
      </w:r>
      <w:r w:rsidR="00455F53">
        <w:t>pavojingų</w:t>
      </w:r>
      <w:r w:rsidR="00455F53" w:rsidRPr="00455F53">
        <w:t xml:space="preserve"> virusinių gyvūnų ligų</w:t>
      </w:r>
      <w:r w:rsidR="00455F53">
        <w:t xml:space="preserve"> plitimą ES.</w:t>
      </w:r>
      <w:r w:rsidR="00283292" w:rsidRPr="00283292">
        <w:t xml:space="preserve"> </w:t>
      </w:r>
      <w:r w:rsidR="00283292">
        <w:t>G</w:t>
      </w:r>
      <w:r w:rsidR="00283292" w:rsidRPr="00283292">
        <w:t>yvūnų ligų kontrolės, stebėsenos ir likvidavimo priemonių įgyvendinimas turi didelį socialinį ir ekonominį poveikį. Dėl šios priežasties</w:t>
      </w:r>
      <w:r w:rsidR="008D0AE9">
        <w:t xml:space="preserve"> vieninga visų valstybių narių</w:t>
      </w:r>
      <w:r w:rsidR="00283292" w:rsidRPr="00283292">
        <w:t xml:space="preserve"> strategija sustiprintų ES prevencijos pajėgumus</w:t>
      </w:r>
      <w:r w:rsidR="00283292">
        <w:t>.</w:t>
      </w:r>
      <w:r w:rsidR="00531C73">
        <w:t xml:space="preserve"> </w:t>
      </w:r>
    </w:p>
    <w:p w14:paraId="30A3615B" w14:textId="3BDE48F6" w:rsidR="00283292" w:rsidRDefault="00283292" w:rsidP="00531C73">
      <w:pPr>
        <w:spacing w:line="360" w:lineRule="auto"/>
        <w:ind w:firstLine="851"/>
        <w:jc w:val="both"/>
      </w:pPr>
      <w:r>
        <w:t>Augalų sveikatos srityje pirmininkaujanti Rumunija sieks prisidėti prie didesnio visuomenės informuotumo šioje srityje.</w:t>
      </w:r>
    </w:p>
    <w:p w14:paraId="40EE54D6" w14:textId="77777777" w:rsidR="00786B92" w:rsidRDefault="00786B92" w:rsidP="008D0AE9">
      <w:pPr>
        <w:ind w:firstLine="851"/>
        <w:jc w:val="both"/>
      </w:pPr>
    </w:p>
    <w:p w14:paraId="16822246" w14:textId="6563A9E8" w:rsidR="00246DBD" w:rsidRDefault="00246DBD" w:rsidP="00246DBD">
      <w:pPr>
        <w:spacing w:line="360" w:lineRule="auto"/>
        <w:ind w:firstLine="851"/>
        <w:jc w:val="both"/>
        <w:rPr>
          <w:b/>
        </w:rPr>
      </w:pPr>
      <w:r w:rsidRPr="00786B92">
        <w:rPr>
          <w:b/>
        </w:rPr>
        <w:t>Lietuvos pozicija</w:t>
      </w:r>
    </w:p>
    <w:p w14:paraId="3B7A13E8" w14:textId="65E1473E" w:rsidR="00C16FDE" w:rsidRPr="00C16FDE" w:rsidRDefault="00C16FDE" w:rsidP="00246DBD">
      <w:pPr>
        <w:spacing w:line="360" w:lineRule="auto"/>
        <w:ind w:firstLine="851"/>
        <w:jc w:val="both"/>
      </w:pPr>
      <w:r w:rsidRPr="00C16FDE">
        <w:t>Lietuva išklausys pirmininkaujančios valstybės narės informaciją</w:t>
      </w:r>
      <w:r>
        <w:t>.</w:t>
      </w:r>
    </w:p>
    <w:p w14:paraId="4DEB48AB" w14:textId="564FB49E" w:rsidR="00246DBD" w:rsidRDefault="00246DBD" w:rsidP="008D0AE9">
      <w:pPr>
        <w:ind w:firstLine="284"/>
        <w:jc w:val="both"/>
      </w:pPr>
    </w:p>
    <w:p w14:paraId="49220BAE" w14:textId="78EC5B93" w:rsidR="00246DBD" w:rsidRPr="00246DBD" w:rsidRDefault="00262B49" w:rsidP="00246DBD">
      <w:pPr>
        <w:spacing w:after="120"/>
        <w:rPr>
          <w:rFonts w:eastAsia="Calibri"/>
          <w:b/>
          <w:szCs w:val="22"/>
        </w:rPr>
      </w:pPr>
      <w:r>
        <w:rPr>
          <w:rFonts w:eastAsia="Calibri"/>
          <w:b/>
          <w:szCs w:val="22"/>
        </w:rPr>
        <w:t xml:space="preserve">4. </w:t>
      </w:r>
      <w:r w:rsidR="00246DBD" w:rsidRPr="00246DBD">
        <w:rPr>
          <w:rFonts w:eastAsia="Calibri"/>
          <w:b/>
          <w:szCs w:val="22"/>
        </w:rPr>
        <w:t>Dokumentų dėl BŽŪP reformos po 2020 m. rinkinys</w:t>
      </w:r>
    </w:p>
    <w:p w14:paraId="3A270082" w14:textId="28E50514" w:rsidR="00246DBD" w:rsidRPr="00246DBD" w:rsidRDefault="00262B49" w:rsidP="00246DBD">
      <w:pPr>
        <w:rPr>
          <w:rFonts w:eastAsia="Calibri"/>
          <w:b/>
          <w:szCs w:val="22"/>
        </w:rPr>
      </w:pPr>
      <w:r w:rsidRPr="00262B49">
        <w:rPr>
          <w:rFonts w:eastAsia="Calibri"/>
          <w:b/>
          <w:szCs w:val="22"/>
        </w:rPr>
        <w:t xml:space="preserve">a) </w:t>
      </w:r>
      <w:r w:rsidR="00246DBD" w:rsidRPr="00246DBD">
        <w:rPr>
          <w:rFonts w:eastAsia="Calibri"/>
          <w:b/>
          <w:szCs w:val="22"/>
        </w:rPr>
        <w:t>Reglamentas dėl BŽŪP strateginių planų</w:t>
      </w:r>
    </w:p>
    <w:p w14:paraId="054B3D18" w14:textId="77777777" w:rsidR="00246DBD" w:rsidRPr="00246DBD" w:rsidRDefault="00246DBD" w:rsidP="00262B49">
      <w:pPr>
        <w:ind w:left="567" w:firstLine="284"/>
        <w:rPr>
          <w:rFonts w:eastAsia="Calibri"/>
          <w:b/>
          <w:szCs w:val="22"/>
        </w:rPr>
      </w:pPr>
      <w:r w:rsidRPr="00246DBD">
        <w:rPr>
          <w:rFonts w:eastAsia="Calibri"/>
          <w:b/>
          <w:szCs w:val="22"/>
        </w:rPr>
        <w:t>i)</w:t>
      </w:r>
      <w:r w:rsidRPr="00246DBD">
        <w:rPr>
          <w:rFonts w:eastAsia="Calibri"/>
          <w:b/>
          <w:szCs w:val="22"/>
        </w:rPr>
        <w:tab/>
        <w:t>Naujas įgyvendinimo modelis</w:t>
      </w:r>
    </w:p>
    <w:p w14:paraId="3273683C" w14:textId="00A9DE7A" w:rsidR="00246DBD" w:rsidRPr="00246DBD" w:rsidRDefault="00262B49" w:rsidP="00246DBD">
      <w:pPr>
        <w:ind w:left="1134"/>
        <w:rPr>
          <w:rFonts w:eastAsia="Calibri"/>
          <w:b/>
          <w:i/>
          <w:iCs/>
          <w:szCs w:val="22"/>
        </w:rPr>
      </w:pPr>
      <w:r>
        <w:rPr>
          <w:rFonts w:eastAsia="Calibri"/>
          <w:b/>
          <w:i/>
          <w:iCs/>
          <w:szCs w:val="22"/>
        </w:rPr>
        <w:t xml:space="preserve">- </w:t>
      </w:r>
      <w:r w:rsidR="00246DBD" w:rsidRPr="00246DBD">
        <w:rPr>
          <w:rFonts w:eastAsia="Calibri"/>
          <w:b/>
          <w:i/>
          <w:iCs/>
          <w:szCs w:val="22"/>
        </w:rPr>
        <w:t>Pasikeitimas nuomonėmis</w:t>
      </w:r>
    </w:p>
    <w:p w14:paraId="10728736" w14:textId="77777777" w:rsidR="00246DBD" w:rsidRPr="00246DBD" w:rsidRDefault="00246DBD" w:rsidP="00262B49">
      <w:pPr>
        <w:ind w:left="567" w:firstLine="284"/>
        <w:rPr>
          <w:rFonts w:eastAsia="Calibri"/>
          <w:b/>
          <w:szCs w:val="22"/>
        </w:rPr>
      </w:pPr>
      <w:r w:rsidRPr="00246DBD">
        <w:rPr>
          <w:rFonts w:eastAsia="Calibri"/>
          <w:b/>
          <w:szCs w:val="22"/>
        </w:rPr>
        <w:t>ii)</w:t>
      </w:r>
      <w:r w:rsidRPr="00246DBD">
        <w:rPr>
          <w:rFonts w:eastAsia="Calibri"/>
          <w:b/>
          <w:szCs w:val="22"/>
        </w:rPr>
        <w:tab/>
        <w:t>Žalioji architektūra</w:t>
      </w:r>
    </w:p>
    <w:p w14:paraId="14B9EC0D" w14:textId="73FF92EB" w:rsidR="00246DBD" w:rsidRPr="00246DBD" w:rsidRDefault="00262B49" w:rsidP="00246DBD">
      <w:pPr>
        <w:ind w:left="1134"/>
        <w:rPr>
          <w:rFonts w:eastAsia="Calibri"/>
          <w:b/>
          <w:i/>
          <w:iCs/>
          <w:szCs w:val="22"/>
        </w:rPr>
      </w:pPr>
      <w:r>
        <w:rPr>
          <w:rFonts w:eastAsia="Calibri"/>
          <w:b/>
          <w:i/>
          <w:iCs/>
          <w:szCs w:val="22"/>
        </w:rPr>
        <w:t xml:space="preserve">- Europos </w:t>
      </w:r>
      <w:r w:rsidR="00246DBD" w:rsidRPr="00246DBD">
        <w:rPr>
          <w:rFonts w:eastAsia="Calibri"/>
          <w:b/>
          <w:i/>
          <w:iCs/>
          <w:szCs w:val="22"/>
        </w:rPr>
        <w:t>Komisijos informacija</w:t>
      </w:r>
    </w:p>
    <w:p w14:paraId="3BA16280" w14:textId="77777777" w:rsidR="00246DBD" w:rsidRPr="00246DBD" w:rsidRDefault="00246DBD" w:rsidP="00246DBD">
      <w:pPr>
        <w:spacing w:before="240"/>
        <w:ind w:left="567" w:hanging="567"/>
        <w:rPr>
          <w:rFonts w:eastAsia="Calibri"/>
          <w:b/>
          <w:szCs w:val="22"/>
        </w:rPr>
      </w:pPr>
      <w:r w:rsidRPr="00246DBD">
        <w:rPr>
          <w:rFonts w:eastAsia="Calibri"/>
          <w:b/>
          <w:szCs w:val="22"/>
        </w:rPr>
        <w:t>b)</w:t>
      </w:r>
      <w:r w:rsidRPr="00246DBD">
        <w:rPr>
          <w:rFonts w:eastAsia="Calibri"/>
          <w:b/>
          <w:szCs w:val="22"/>
        </w:rPr>
        <w:tab/>
        <w:t>Reglamentas dėl žemės ūkio produktų bendro rinkos organizavimo (BRO)</w:t>
      </w:r>
    </w:p>
    <w:p w14:paraId="4AD0EBD6" w14:textId="31E9E233" w:rsidR="00246DBD" w:rsidRDefault="004B1247" w:rsidP="004B1247">
      <w:pPr>
        <w:spacing w:line="360" w:lineRule="auto"/>
        <w:ind w:firstLine="567"/>
        <w:jc w:val="both"/>
        <w:rPr>
          <w:rFonts w:eastAsia="Calibri"/>
          <w:i/>
          <w:iCs/>
          <w:szCs w:val="22"/>
        </w:rPr>
      </w:pPr>
      <w:r>
        <w:rPr>
          <w:rFonts w:eastAsia="Calibri"/>
          <w:b/>
          <w:i/>
          <w:iCs/>
          <w:szCs w:val="22"/>
        </w:rPr>
        <w:t xml:space="preserve">- </w:t>
      </w:r>
      <w:r w:rsidR="00246DBD" w:rsidRPr="00262B49">
        <w:rPr>
          <w:rFonts w:eastAsia="Calibri"/>
          <w:b/>
          <w:i/>
          <w:iCs/>
          <w:szCs w:val="22"/>
        </w:rPr>
        <w:t>Pasikeitimas nuomonėmis</w:t>
      </w:r>
    </w:p>
    <w:p w14:paraId="068C765E" w14:textId="7B04656C" w:rsidR="000C02C3" w:rsidRPr="000C02C3" w:rsidRDefault="000C02C3" w:rsidP="000C02C3">
      <w:pPr>
        <w:spacing w:line="360" w:lineRule="auto"/>
        <w:ind w:firstLine="851"/>
        <w:jc w:val="both"/>
        <w:rPr>
          <w:u w:val="single"/>
        </w:rPr>
      </w:pPr>
      <w:r w:rsidRPr="000C02C3">
        <w:rPr>
          <w:u w:val="single"/>
        </w:rPr>
        <w:t>Reglamentas dėl BŽŪP strateginių planų</w:t>
      </w:r>
      <w:r>
        <w:rPr>
          <w:u w:val="single"/>
        </w:rPr>
        <w:t>.</w:t>
      </w:r>
    </w:p>
    <w:p w14:paraId="6AFDC89F" w14:textId="1C9B2384" w:rsidR="00262B49" w:rsidRDefault="00262B49" w:rsidP="000C02C3">
      <w:pPr>
        <w:spacing w:line="360" w:lineRule="auto"/>
        <w:ind w:firstLine="851"/>
        <w:jc w:val="both"/>
      </w:pPr>
      <w:r>
        <w:t>2018 m. birželio 1 d. Europos Komisija</w:t>
      </w:r>
      <w:r w:rsidR="00900F8C">
        <w:t xml:space="preserve"> (EK)</w:t>
      </w:r>
      <w:r>
        <w:t xml:space="preserve"> paskelbė teisės aktų pasiūlymus dėl Bendrosios žemės ūkio politikos </w:t>
      </w:r>
      <w:bookmarkStart w:id="0" w:name="_GoBack"/>
      <w:bookmarkEnd w:id="0"/>
      <w:r>
        <w:t xml:space="preserve">po 2020 m. Pasiūlymuose dėl BŽŪP po 2020 m. esminis dėmesys skiriamas naujajam BŽŪP įgyvendinimo modeliui, orientuotam į veiklos rezultatus, numatant daugiau lankstumo ir daugiau laisvės valstybėms narėms įgyvendinti BŽŪP nuostatas naujuoju laikotarpiu. </w:t>
      </w:r>
    </w:p>
    <w:p w14:paraId="25067DC4" w14:textId="2A739E8F" w:rsidR="00262B49" w:rsidRDefault="00262B49" w:rsidP="00064981">
      <w:pPr>
        <w:spacing w:line="360" w:lineRule="auto"/>
        <w:ind w:firstLine="851"/>
        <w:jc w:val="both"/>
      </w:pPr>
      <w:r>
        <w:t>2018 m. gruodžio mėn</w:t>
      </w:r>
      <w:r w:rsidR="00900F8C">
        <w:t>.</w:t>
      </w:r>
      <w:r>
        <w:t xml:space="preserve"> ES Tarybos posėdyje pirmininkaujanti </w:t>
      </w:r>
      <w:r w:rsidR="000C02C3">
        <w:t>valstybė narė</w:t>
      </w:r>
      <w:r>
        <w:t xml:space="preserve">  pristatė savo pirmininkavimo metu atlikto darbo</w:t>
      </w:r>
      <w:r w:rsidR="00900F8C">
        <w:t>,</w:t>
      </w:r>
      <w:r>
        <w:t xml:space="preserve"> nagrinėjant teisės aktų pasiūlymus dėl BŽŪP po 2020 m.</w:t>
      </w:r>
      <w:r w:rsidR="00900F8C">
        <w:t>,</w:t>
      </w:r>
      <w:r>
        <w:t xml:space="preserve"> pažangos ataskaitą. Joje akcentuoti pagrindiniai diskusiniai spręstini klausimai norint pasiekti kompromisinį sutarimą ES Taryboje, tarp jų ir tokie</w:t>
      </w:r>
      <w:r w:rsidR="00900F8C">
        <w:t>,</w:t>
      </w:r>
      <w:r>
        <w:t xml:space="preserve"> kaip BŽŪP įgyvendinimo modelio realaus funkcionavimo užtikrinimas, veiklos rezultatų peržiūros struktūra.</w:t>
      </w:r>
    </w:p>
    <w:p w14:paraId="60AB982A" w14:textId="16A90E26" w:rsidR="00262B49" w:rsidRDefault="00262B49" w:rsidP="00064981">
      <w:pPr>
        <w:spacing w:line="360" w:lineRule="auto"/>
        <w:ind w:firstLine="851"/>
        <w:jc w:val="both"/>
      </w:pPr>
      <w:r>
        <w:lastRenderedPageBreak/>
        <w:t xml:space="preserve">ES Tarybos posėdyje bus toliau aptariami su naujuoju BŽŪP įgyvendinimo modeliu susiję aspektai, taip pat </w:t>
      </w:r>
      <w:r w:rsidR="00EB4E6E">
        <w:t xml:space="preserve">EK </w:t>
      </w:r>
      <w:r>
        <w:t>pateiks informaciją apie žaliąją architektūrą. ES Tarybai skirtas dokumentas  negautas.</w:t>
      </w:r>
    </w:p>
    <w:p w14:paraId="0F853FD6" w14:textId="72B3C9BB" w:rsidR="000C02C3" w:rsidRDefault="000C02C3" w:rsidP="000C02C3">
      <w:pPr>
        <w:spacing w:line="360" w:lineRule="auto"/>
        <w:ind w:firstLine="851"/>
        <w:jc w:val="both"/>
        <w:rPr>
          <w:u w:val="single"/>
        </w:rPr>
      </w:pPr>
      <w:r w:rsidRPr="000C02C3">
        <w:rPr>
          <w:u w:val="single"/>
        </w:rPr>
        <w:t>Reglamentas dėl žemės ūkio produktų bendro rinkos organizavimo (BRO)</w:t>
      </w:r>
      <w:r>
        <w:rPr>
          <w:u w:val="single"/>
        </w:rPr>
        <w:t>.</w:t>
      </w:r>
    </w:p>
    <w:p w14:paraId="138196F1" w14:textId="674FBA41" w:rsidR="000C02C3" w:rsidRPr="000C02C3" w:rsidRDefault="000C02C3" w:rsidP="00CF227F">
      <w:pPr>
        <w:spacing w:line="360" w:lineRule="auto"/>
        <w:ind w:firstLine="851"/>
        <w:jc w:val="both"/>
        <w:rPr>
          <w:rFonts w:eastAsia="Calibri"/>
        </w:rPr>
      </w:pPr>
      <w:r w:rsidRPr="000C02C3">
        <w:rPr>
          <w:rFonts w:eastAsia="Calibri"/>
        </w:rPr>
        <w:t>Numatoma, kad ES Tarybos posėdyje bus diskutuojama dėl BRO pasiūlymu daromų pakeitimų vyno sektoriuje, Pirmininkaujanti valstybė narė išskyrė šiuos klausimus:</w:t>
      </w:r>
    </w:p>
    <w:p w14:paraId="6D884EE0" w14:textId="77777777" w:rsidR="000C02C3" w:rsidRPr="000C02C3" w:rsidRDefault="000C02C3" w:rsidP="000C02C3">
      <w:pPr>
        <w:spacing w:line="360" w:lineRule="auto"/>
        <w:ind w:firstLine="851"/>
        <w:jc w:val="both"/>
        <w:rPr>
          <w:rFonts w:eastAsia="Calibri"/>
        </w:rPr>
      </w:pPr>
      <w:r w:rsidRPr="000C02C3">
        <w:rPr>
          <w:rFonts w:eastAsia="Calibri"/>
        </w:rPr>
        <w:t>- vynmedžių sodinimo leidimų sistemos pakeitimai. Pirmininkaujanti valstybė narė kviečia valstybes nares diskutuoti dėl leidimų sistemos apskaičiavimo metodo;</w:t>
      </w:r>
    </w:p>
    <w:p w14:paraId="2146D17A" w14:textId="02CE8108" w:rsidR="000C02C3" w:rsidRPr="000C02C3" w:rsidRDefault="000C02C3" w:rsidP="000C02C3">
      <w:pPr>
        <w:spacing w:line="360" w:lineRule="auto"/>
        <w:ind w:firstLine="851"/>
        <w:jc w:val="both"/>
        <w:rPr>
          <w:rFonts w:eastAsia="Calibri"/>
        </w:rPr>
      </w:pPr>
      <w:r w:rsidRPr="000C02C3">
        <w:rPr>
          <w:rFonts w:eastAsia="Calibri"/>
        </w:rPr>
        <w:t>- privalomos mitybinės deklaracijos ir sudedamųjų dalių sąrašo skelbimas vyno produktams</w:t>
      </w:r>
      <w:r>
        <w:rPr>
          <w:rFonts w:eastAsia="Calibri"/>
        </w:rPr>
        <w:t>.</w:t>
      </w:r>
      <w:r w:rsidRPr="000C02C3">
        <w:rPr>
          <w:rFonts w:eastAsia="Calibri"/>
        </w:rPr>
        <w:t xml:space="preserve"> Keliamas klausimas ar šie sąrašai gali būti pateikiami išimtinai ne etiketėje, naudojant technologinę pažangą, ar taip pat turėtų būti pateikiami etiketėje bei ar šie sąrašai turi tapti privalomi;</w:t>
      </w:r>
    </w:p>
    <w:p w14:paraId="34DEF097" w14:textId="1D66A597" w:rsidR="000C02C3" w:rsidRDefault="000C02C3" w:rsidP="000C02C3">
      <w:pPr>
        <w:spacing w:after="160" w:line="360" w:lineRule="auto"/>
        <w:ind w:firstLine="851"/>
        <w:jc w:val="both"/>
        <w:rPr>
          <w:rFonts w:eastAsia="Calibri"/>
        </w:rPr>
      </w:pPr>
      <w:r w:rsidRPr="000C02C3">
        <w:rPr>
          <w:rFonts w:eastAsia="Calibri"/>
        </w:rPr>
        <w:t>- nealkoholiniai ir sumažinto alkoholio kiekio vyno produktai</w:t>
      </w:r>
      <w:r w:rsidR="003477E4">
        <w:rPr>
          <w:rFonts w:eastAsia="Calibri"/>
        </w:rPr>
        <w:t>.</w:t>
      </w:r>
      <w:r w:rsidRPr="000C02C3">
        <w:rPr>
          <w:rFonts w:eastAsia="Calibri"/>
        </w:rPr>
        <w:t xml:space="preserve">  Pirmininkaujanti valstybė narė sieks išsiaiškinti, ar valstybės narės  sutinka su </w:t>
      </w:r>
      <w:r w:rsidR="003477E4">
        <w:rPr>
          <w:rFonts w:eastAsia="Calibri"/>
        </w:rPr>
        <w:t>nealkoholinių</w:t>
      </w:r>
      <w:r w:rsidR="003477E4" w:rsidRPr="003477E4">
        <w:rPr>
          <w:rFonts w:eastAsia="Calibri"/>
        </w:rPr>
        <w:t xml:space="preserve"> ir sumažinto alkoholio kiekio vyno </w:t>
      </w:r>
      <w:r w:rsidRPr="000C02C3">
        <w:rPr>
          <w:rFonts w:eastAsia="Calibri"/>
        </w:rPr>
        <w:t xml:space="preserve">produktų alkoholio kiekio apibrėžimu bei kad šie produktai </w:t>
      </w:r>
      <w:r w:rsidR="00FF4A99">
        <w:rPr>
          <w:rFonts w:eastAsia="Calibri"/>
        </w:rPr>
        <w:t>būtų</w:t>
      </w:r>
      <w:r w:rsidRPr="000C02C3">
        <w:rPr>
          <w:rFonts w:eastAsia="Calibri"/>
        </w:rPr>
        <w:t xml:space="preserve"> vadinami ,,vynais" su specialiomis ženklinimo nuostatomis. ES Tarybos posėdžiui skirtas dokumentas dar negautas.</w:t>
      </w:r>
      <w:r w:rsidR="00FB59AA">
        <w:rPr>
          <w:rFonts w:eastAsia="Calibri"/>
        </w:rPr>
        <w:t xml:space="preserve"> </w:t>
      </w:r>
    </w:p>
    <w:p w14:paraId="38C1DD96" w14:textId="2DE857C3" w:rsidR="000C02C3" w:rsidRDefault="000C02C3" w:rsidP="005868E3">
      <w:pPr>
        <w:spacing w:line="360" w:lineRule="auto"/>
        <w:ind w:firstLine="851"/>
        <w:jc w:val="both"/>
        <w:rPr>
          <w:rFonts w:eastAsia="Calibri"/>
          <w:b/>
        </w:rPr>
      </w:pPr>
      <w:bookmarkStart w:id="1" w:name="_Hlk535413891"/>
      <w:r w:rsidRPr="000C02C3">
        <w:rPr>
          <w:rFonts w:eastAsia="Calibri"/>
          <w:b/>
        </w:rPr>
        <w:t>Lietuvos pozicija</w:t>
      </w:r>
    </w:p>
    <w:bookmarkEnd w:id="1"/>
    <w:p w14:paraId="457B9447" w14:textId="2BD78164" w:rsidR="005868E3" w:rsidRPr="005868E3" w:rsidRDefault="005868E3" w:rsidP="000C02C3">
      <w:pPr>
        <w:spacing w:after="160" w:line="360" w:lineRule="auto"/>
        <w:ind w:firstLine="851"/>
        <w:jc w:val="both"/>
        <w:rPr>
          <w:rFonts w:eastAsia="Calibri"/>
          <w:u w:val="single"/>
        </w:rPr>
      </w:pPr>
      <w:r w:rsidRPr="005868E3">
        <w:rPr>
          <w:rFonts w:eastAsia="Calibri"/>
          <w:u w:val="single"/>
        </w:rPr>
        <w:t>Reglamentas dėl BŽŪP strateginių planų.</w:t>
      </w:r>
    </w:p>
    <w:p w14:paraId="36A190A3" w14:textId="744CCE1D" w:rsidR="0055141A" w:rsidRPr="0055141A" w:rsidRDefault="0055141A" w:rsidP="00064981">
      <w:pPr>
        <w:spacing w:line="360" w:lineRule="auto"/>
        <w:ind w:firstLine="851"/>
        <w:jc w:val="both"/>
      </w:pPr>
      <w:r w:rsidRPr="0055141A">
        <w:rPr>
          <w:rFonts w:eastAsia="Calibri"/>
        </w:rPr>
        <w:t xml:space="preserve">Lietuva </w:t>
      </w:r>
      <w:r w:rsidR="00064981">
        <w:rPr>
          <w:rFonts w:eastAsia="Calibri"/>
        </w:rPr>
        <w:t xml:space="preserve">iš esmės </w:t>
      </w:r>
      <w:r w:rsidRPr="0055141A">
        <w:rPr>
          <w:rFonts w:eastAsia="Calibri"/>
        </w:rPr>
        <w:t xml:space="preserve">palankiai žiūri į naują BŽŪP modelį, </w:t>
      </w:r>
      <w:r w:rsidR="005636DB">
        <w:rPr>
          <w:rFonts w:eastAsia="Calibri"/>
        </w:rPr>
        <w:t xml:space="preserve">kuriuo siekiama </w:t>
      </w:r>
      <w:r w:rsidRPr="0055141A">
        <w:rPr>
          <w:rFonts w:eastAsia="Calibri"/>
        </w:rPr>
        <w:t>rezultatais pagrįstos politikos. Į</w:t>
      </w:r>
      <w:r w:rsidRPr="0055141A">
        <w:t>gyvendinant naująjį BŽŪP modelį svarbus aspektas yra administracinės naštos mažinimas ir supaprastinimas, t</w:t>
      </w:r>
      <w:r w:rsidRPr="0055141A">
        <w:rPr>
          <w:rFonts w:eastAsia="Calibri"/>
        </w:rPr>
        <w:t xml:space="preserve">ačiau, </w:t>
      </w:r>
      <w:r w:rsidR="009036E4">
        <w:rPr>
          <w:rFonts w:eastAsia="Calibri"/>
        </w:rPr>
        <w:t>Lietuvos</w:t>
      </w:r>
      <w:r w:rsidRPr="0055141A">
        <w:rPr>
          <w:rFonts w:eastAsia="Calibri"/>
        </w:rPr>
        <w:t xml:space="preserve"> nuomone, sistema tampa sudėtingesnė.</w:t>
      </w:r>
      <w:r w:rsidRPr="0055141A">
        <w:t xml:space="preserve"> Todėl </w:t>
      </w:r>
      <w:r w:rsidR="009036E4">
        <w:t xml:space="preserve">Lietuva </w:t>
      </w:r>
      <w:r w:rsidRPr="0055141A">
        <w:t xml:space="preserve">pasisako už paprastesnę ir aiškesnę užsibrėžtų tikslų įgyvendinimo pažangos stebėjimo sistemą. </w:t>
      </w:r>
    </w:p>
    <w:p w14:paraId="6F369208" w14:textId="37C49DA3" w:rsidR="0055141A" w:rsidRPr="0055141A" w:rsidRDefault="0055141A" w:rsidP="00064981">
      <w:pPr>
        <w:spacing w:line="360" w:lineRule="auto"/>
        <w:ind w:firstLine="851"/>
        <w:jc w:val="both"/>
        <w:rPr>
          <w:rFonts w:eastAsia="Calibri"/>
        </w:rPr>
      </w:pPr>
      <w:r w:rsidRPr="0055141A">
        <w:rPr>
          <w:rFonts w:eastAsia="Calibri"/>
        </w:rPr>
        <w:t xml:space="preserve">Pirmininkaujančios valstybės narės pasiūlymą </w:t>
      </w:r>
      <w:r w:rsidRPr="0055141A">
        <w:rPr>
          <w:rFonts w:eastAsia="Calibri"/>
          <w:lang w:bidi="lt-LT"/>
        </w:rPr>
        <w:t xml:space="preserve">taikyti dvimetį tarpinių rezultatų </w:t>
      </w:r>
      <w:r w:rsidRPr="0055141A">
        <w:rPr>
          <w:rFonts w:eastAsia="Calibri"/>
        </w:rPr>
        <w:t>(</w:t>
      </w:r>
      <w:proofErr w:type="spellStart"/>
      <w:r w:rsidRPr="0055141A">
        <w:rPr>
          <w:rFonts w:eastAsia="Calibri"/>
          <w:i/>
        </w:rPr>
        <w:t>biennial</w:t>
      </w:r>
      <w:proofErr w:type="spellEnd"/>
      <w:r w:rsidRPr="0055141A">
        <w:rPr>
          <w:rFonts w:eastAsia="Calibri"/>
          <w:i/>
        </w:rPr>
        <w:t xml:space="preserve"> </w:t>
      </w:r>
      <w:proofErr w:type="spellStart"/>
      <w:r w:rsidRPr="0055141A">
        <w:rPr>
          <w:rFonts w:eastAsia="Calibri"/>
          <w:i/>
        </w:rPr>
        <w:t>milestones</w:t>
      </w:r>
      <w:proofErr w:type="spellEnd"/>
      <w:r w:rsidRPr="0055141A">
        <w:rPr>
          <w:rFonts w:eastAsia="Calibri"/>
        </w:rPr>
        <w:t>)</w:t>
      </w:r>
      <w:r w:rsidRPr="0055141A">
        <w:rPr>
          <w:rFonts w:eastAsia="Calibri"/>
          <w:lang w:bidi="lt-LT"/>
        </w:rPr>
        <w:t xml:space="preserve"> planavimo ir peržiūros modelį </w:t>
      </w:r>
      <w:r w:rsidRPr="0055141A">
        <w:rPr>
          <w:lang w:bidi="lt-LT"/>
        </w:rPr>
        <w:t>vietoje</w:t>
      </w:r>
      <w:r w:rsidR="00F50749">
        <w:rPr>
          <w:lang w:bidi="lt-LT"/>
        </w:rPr>
        <w:t>,</w:t>
      </w:r>
      <w:r w:rsidRPr="0055141A">
        <w:rPr>
          <w:lang w:bidi="lt-LT"/>
        </w:rPr>
        <w:t xml:space="preserve"> pirminiame </w:t>
      </w:r>
      <w:r w:rsidR="005B3725" w:rsidRPr="0055141A">
        <w:rPr>
          <w:lang w:bidi="lt-LT"/>
        </w:rPr>
        <w:t>vari</w:t>
      </w:r>
      <w:r w:rsidR="005B3725">
        <w:rPr>
          <w:lang w:bidi="lt-LT"/>
        </w:rPr>
        <w:t>a</w:t>
      </w:r>
      <w:r w:rsidR="005B3725" w:rsidRPr="0055141A">
        <w:rPr>
          <w:lang w:bidi="lt-LT"/>
        </w:rPr>
        <w:t>nte</w:t>
      </w:r>
      <w:r w:rsidR="00F50749">
        <w:rPr>
          <w:lang w:bidi="lt-LT"/>
        </w:rPr>
        <w:t>,</w:t>
      </w:r>
      <w:r w:rsidRPr="0055141A">
        <w:rPr>
          <w:lang w:bidi="lt-LT"/>
        </w:rPr>
        <w:t xml:space="preserve"> siūlytos kasmetinės peržiūros</w:t>
      </w:r>
      <w:r w:rsidR="00F50749">
        <w:rPr>
          <w:lang w:bidi="lt-LT"/>
        </w:rPr>
        <w:t>,</w:t>
      </w:r>
      <w:r w:rsidRPr="0055141A">
        <w:rPr>
          <w:lang w:bidi="lt-LT"/>
        </w:rPr>
        <w:t xml:space="preserve"> </w:t>
      </w:r>
      <w:r w:rsidR="005B3725">
        <w:rPr>
          <w:lang w:bidi="lt-LT"/>
        </w:rPr>
        <w:t xml:space="preserve">Lietuva </w:t>
      </w:r>
      <w:r w:rsidRPr="0055141A">
        <w:rPr>
          <w:rFonts w:eastAsia="Calibri"/>
          <w:lang w:bidi="lt-LT"/>
        </w:rPr>
        <w:t>vertina kaip žingsnį kompromiso link.</w:t>
      </w:r>
      <w:r w:rsidR="004D5472">
        <w:rPr>
          <w:rFonts w:eastAsia="Calibri"/>
        </w:rPr>
        <w:t xml:space="preserve">  Tačiau pažymi</w:t>
      </w:r>
      <w:r w:rsidRPr="0055141A">
        <w:rPr>
          <w:rFonts w:eastAsia="Calibri"/>
        </w:rPr>
        <w:t xml:space="preserve">, kad dabar taikoma pažangos stebėjimo sistema, kai reikalinga tik viena tarpinė peržiūra, galėtų būti geras orientyras ir ateities periodui. </w:t>
      </w:r>
    </w:p>
    <w:p w14:paraId="1B8D2E6D" w14:textId="127DA550" w:rsidR="0055141A" w:rsidRPr="0055141A" w:rsidRDefault="0055141A" w:rsidP="00064981">
      <w:pPr>
        <w:spacing w:line="360" w:lineRule="auto"/>
        <w:ind w:firstLine="851"/>
        <w:jc w:val="both"/>
        <w:rPr>
          <w:rFonts w:eastAsia="Calibri"/>
        </w:rPr>
      </w:pPr>
      <w:r w:rsidRPr="0055141A">
        <w:rPr>
          <w:rFonts w:eastAsia="Calibri"/>
        </w:rPr>
        <w:t>Lietuvai nepriimtinas siūlomas trumpesnis</w:t>
      </w:r>
      <w:r w:rsidR="00A130F0">
        <w:rPr>
          <w:rFonts w:eastAsia="Calibri"/>
        </w:rPr>
        <w:t>,</w:t>
      </w:r>
      <w:r w:rsidR="00FB517F">
        <w:rPr>
          <w:rFonts w:eastAsia="Calibri"/>
        </w:rPr>
        <w:t xml:space="preserve"> lyginant</w:t>
      </w:r>
      <w:r w:rsidRPr="0055141A">
        <w:rPr>
          <w:rFonts w:eastAsia="Calibri"/>
        </w:rPr>
        <w:t xml:space="preserve"> su dabartiniu laikotarpiu</w:t>
      </w:r>
      <w:r w:rsidR="00A130F0">
        <w:rPr>
          <w:rFonts w:eastAsia="Calibri"/>
        </w:rPr>
        <w:t>,</w:t>
      </w:r>
      <w:r w:rsidRPr="0055141A">
        <w:rPr>
          <w:rFonts w:eastAsia="Calibri"/>
        </w:rPr>
        <w:t xml:space="preserve"> metinių rezultatų ataskaitų (</w:t>
      </w:r>
      <w:proofErr w:type="spellStart"/>
      <w:r w:rsidRPr="0055141A">
        <w:rPr>
          <w:rFonts w:eastAsia="Calibri"/>
          <w:i/>
        </w:rPr>
        <w:t>annual</w:t>
      </w:r>
      <w:proofErr w:type="spellEnd"/>
      <w:r w:rsidRPr="0055141A">
        <w:rPr>
          <w:rFonts w:eastAsia="Calibri"/>
          <w:i/>
        </w:rPr>
        <w:t xml:space="preserve"> </w:t>
      </w:r>
      <w:proofErr w:type="spellStart"/>
      <w:r w:rsidRPr="0055141A">
        <w:rPr>
          <w:rFonts w:eastAsia="Calibri"/>
          <w:i/>
        </w:rPr>
        <w:t>performance</w:t>
      </w:r>
      <w:proofErr w:type="spellEnd"/>
      <w:r w:rsidRPr="0055141A">
        <w:rPr>
          <w:rFonts w:eastAsia="Calibri"/>
          <w:i/>
        </w:rPr>
        <w:t xml:space="preserve"> </w:t>
      </w:r>
      <w:proofErr w:type="spellStart"/>
      <w:r w:rsidRPr="0055141A">
        <w:rPr>
          <w:rFonts w:eastAsia="Calibri"/>
          <w:i/>
        </w:rPr>
        <w:t>reports</w:t>
      </w:r>
      <w:proofErr w:type="spellEnd"/>
      <w:r w:rsidRPr="0055141A">
        <w:rPr>
          <w:rFonts w:eastAsia="Calibri"/>
        </w:rPr>
        <w:t>) pateikimo terminas. Atsižvelgiant į tai, kad naujojo laikotarpio</w:t>
      </w:r>
      <w:r w:rsidR="00FB517F">
        <w:rPr>
          <w:rFonts w:eastAsia="Calibri"/>
        </w:rPr>
        <w:t xml:space="preserve"> ataskaita apims kelis fondus (</w:t>
      </w:r>
      <w:r w:rsidRPr="0055141A">
        <w:rPr>
          <w:rFonts w:eastAsia="Calibri"/>
        </w:rPr>
        <w:t xml:space="preserve">ne tik žemės ūkio fondą kaimo plėtrai, bet ir žemės ūkio garantijų fondą), </w:t>
      </w:r>
      <w:r w:rsidR="00FB517F">
        <w:rPr>
          <w:rFonts w:eastAsia="Calibri"/>
        </w:rPr>
        <w:t xml:space="preserve">Lietuva </w:t>
      </w:r>
      <w:r w:rsidRPr="0055141A">
        <w:rPr>
          <w:rFonts w:eastAsia="Calibri"/>
        </w:rPr>
        <w:t xml:space="preserve">pasisako už ilgesnį (ne mažiau kaip 6 mėn.) kasmetinių ataskaitų pateikimo terminą. </w:t>
      </w:r>
    </w:p>
    <w:p w14:paraId="123AC645" w14:textId="6E4BA17B" w:rsidR="0055141A" w:rsidRPr="0055141A" w:rsidRDefault="00FB517F" w:rsidP="00064981">
      <w:pPr>
        <w:spacing w:line="360" w:lineRule="auto"/>
        <w:ind w:firstLine="851"/>
        <w:jc w:val="both"/>
        <w:rPr>
          <w:rFonts w:eastAsia="Calibri"/>
        </w:rPr>
      </w:pPr>
      <w:r>
        <w:rPr>
          <w:rFonts w:eastAsia="Calibri"/>
        </w:rPr>
        <w:t>A</w:t>
      </w:r>
      <w:r w:rsidR="004768EA">
        <w:rPr>
          <w:rFonts w:eastAsia="Calibri"/>
        </w:rPr>
        <w:t>ktualus</w:t>
      </w:r>
      <w:r w:rsidR="0055141A" w:rsidRPr="0055141A">
        <w:rPr>
          <w:rFonts w:eastAsia="Calibri"/>
        </w:rPr>
        <w:t xml:space="preserve"> </w:t>
      </w:r>
      <w:r>
        <w:rPr>
          <w:rFonts w:eastAsia="Calibri"/>
        </w:rPr>
        <w:t xml:space="preserve">išlieka </w:t>
      </w:r>
      <w:r w:rsidR="0055141A" w:rsidRPr="0055141A">
        <w:rPr>
          <w:rFonts w:eastAsia="Calibri"/>
        </w:rPr>
        <w:t>klausimas dėl išlaidų techninei pagalbai dydžio ir finansavimo šaltinių. Komisijos siūlomi tik 4 % ir tik žemės ūkio fondo kaimo plėtrai lėšų</w:t>
      </w:r>
      <w:r w:rsidR="004768EA">
        <w:rPr>
          <w:rFonts w:eastAsia="Calibri"/>
        </w:rPr>
        <w:t>,</w:t>
      </w:r>
      <w:r w:rsidR="0055141A" w:rsidRPr="0055141A">
        <w:rPr>
          <w:rFonts w:eastAsia="Calibri"/>
        </w:rPr>
        <w:t xml:space="preserve"> viso strateginio plano įgyvendinimui yra akivaizdžiai nepakankami.</w:t>
      </w:r>
      <w:r w:rsidR="0055141A" w:rsidRPr="0055141A">
        <w:t xml:space="preserve"> Todėl </w:t>
      </w:r>
      <w:r w:rsidR="004768EA">
        <w:t>Lietuva siūlo</w:t>
      </w:r>
      <w:r w:rsidR="0055141A" w:rsidRPr="0055141A">
        <w:t xml:space="preserve"> ne tik padidinti </w:t>
      </w:r>
      <w:r w:rsidR="0055141A" w:rsidRPr="0055141A">
        <w:rPr>
          <w:rFonts w:eastAsia="Calibri"/>
        </w:rPr>
        <w:t>techninei pagalbai skiriamų lėšų kiekį, bet  ir numatyti  galimybę ją finansuoti abiejų BŽŪP fondų lėšomis.</w:t>
      </w:r>
    </w:p>
    <w:p w14:paraId="73D50128" w14:textId="6797EDD7" w:rsidR="0055141A" w:rsidRPr="0055141A" w:rsidRDefault="005906C2" w:rsidP="00064981">
      <w:pPr>
        <w:spacing w:line="360" w:lineRule="auto"/>
        <w:ind w:firstLine="851"/>
        <w:jc w:val="both"/>
        <w:rPr>
          <w:rFonts w:eastAsia="Calibri"/>
        </w:rPr>
      </w:pPr>
      <w:r>
        <w:rPr>
          <w:rFonts w:eastAsia="Calibri"/>
        </w:rPr>
        <w:t>Kelia abejonių</w:t>
      </w:r>
      <w:r w:rsidR="0055141A" w:rsidRPr="0055141A">
        <w:rPr>
          <w:rFonts w:eastAsia="Calibri"/>
        </w:rPr>
        <w:t xml:space="preserve"> viso BŽŪP strateginio plano </w:t>
      </w:r>
      <w:r w:rsidR="00CF227F">
        <w:rPr>
          <w:rFonts w:eastAsia="Calibri"/>
        </w:rPr>
        <w:t>„</w:t>
      </w:r>
      <w:proofErr w:type="spellStart"/>
      <w:r w:rsidR="0055141A" w:rsidRPr="0055141A">
        <w:rPr>
          <w:rFonts w:eastAsia="Calibri"/>
        </w:rPr>
        <w:t>ex</w:t>
      </w:r>
      <w:proofErr w:type="spellEnd"/>
      <w:r w:rsidR="0055141A" w:rsidRPr="0055141A">
        <w:rPr>
          <w:rFonts w:eastAsia="Calibri"/>
        </w:rPr>
        <w:t xml:space="preserve"> ante</w:t>
      </w:r>
      <w:r w:rsidR="00CF227F">
        <w:rPr>
          <w:rFonts w:eastAsia="Calibri"/>
        </w:rPr>
        <w:t>“</w:t>
      </w:r>
      <w:r w:rsidR="0055141A" w:rsidRPr="0055141A">
        <w:rPr>
          <w:rFonts w:eastAsia="Calibri"/>
        </w:rPr>
        <w:t xml:space="preserve"> vertinimo nauda</w:t>
      </w:r>
      <w:r>
        <w:rPr>
          <w:rFonts w:eastAsia="Calibri"/>
        </w:rPr>
        <w:t>,</w:t>
      </w:r>
      <w:r w:rsidR="0055141A" w:rsidRPr="0055141A">
        <w:rPr>
          <w:rFonts w:eastAsia="Calibri"/>
        </w:rPr>
        <w:t xml:space="preserve">  ypač įvertinant  jo apimtį, finansinius ir administravimo kaštus bei įgyvendinimo terminus. Turint  mintyje, kad naujuoju </w:t>
      </w:r>
      <w:r w:rsidR="0055141A" w:rsidRPr="0055141A">
        <w:rPr>
          <w:rFonts w:eastAsia="Calibri"/>
        </w:rPr>
        <w:lastRenderedPageBreak/>
        <w:t xml:space="preserve">laikotarpiu kitų ES struktūrinių ir investicinių fondų atveju toks </w:t>
      </w:r>
      <w:r w:rsidR="00CF227F">
        <w:rPr>
          <w:rFonts w:eastAsia="Calibri"/>
        </w:rPr>
        <w:t>„</w:t>
      </w:r>
      <w:proofErr w:type="spellStart"/>
      <w:r w:rsidR="0055141A" w:rsidRPr="0055141A">
        <w:rPr>
          <w:rFonts w:eastAsia="Calibri"/>
        </w:rPr>
        <w:t>ex</w:t>
      </w:r>
      <w:proofErr w:type="spellEnd"/>
      <w:r w:rsidR="0055141A" w:rsidRPr="0055141A">
        <w:rPr>
          <w:rFonts w:eastAsia="Calibri"/>
        </w:rPr>
        <w:t xml:space="preserve"> ante</w:t>
      </w:r>
      <w:r w:rsidR="00CF227F">
        <w:rPr>
          <w:rFonts w:eastAsia="Calibri"/>
        </w:rPr>
        <w:t>“</w:t>
      </w:r>
      <w:r w:rsidR="0055141A" w:rsidRPr="0055141A">
        <w:rPr>
          <w:rFonts w:eastAsia="Calibri"/>
        </w:rPr>
        <w:t xml:space="preserve"> vertinimas nėra būtinas, vertėtų  jo atsisakyti ir BŽŪP srityje. </w:t>
      </w:r>
    </w:p>
    <w:p w14:paraId="4D9A4F4C" w14:textId="47546D47" w:rsidR="0055141A" w:rsidRDefault="0055141A" w:rsidP="00064981">
      <w:pPr>
        <w:spacing w:line="360" w:lineRule="auto"/>
        <w:ind w:firstLine="851"/>
        <w:jc w:val="both"/>
        <w:rPr>
          <w:rFonts w:eastAsia="Calibri"/>
        </w:rPr>
      </w:pPr>
      <w:r w:rsidRPr="0055141A">
        <w:rPr>
          <w:rFonts w:eastAsia="Calibri"/>
        </w:rPr>
        <w:t xml:space="preserve">Atsižvelgiant į ženkliai platesnę BŽŪP strateginių planų aprėptį naujuoju laikotarpiu (apima tiesiogines išmokas, kaimo plėtrą ir sektorines programas) ir su tuo susijusį žymiai sudėtingesnį BŽŪP strateginių planų projektavimo procesą, Lietuvos nuomone, turėtų būti peržiūrėta BŽŪP strateginių planų pateikimo galutinė data. </w:t>
      </w:r>
    </w:p>
    <w:p w14:paraId="37ADF698" w14:textId="5E70E509" w:rsidR="000C02C3" w:rsidRPr="000C02C3" w:rsidRDefault="007D10A8" w:rsidP="00C467D9">
      <w:pPr>
        <w:spacing w:line="360" w:lineRule="auto"/>
        <w:ind w:firstLine="851"/>
        <w:jc w:val="both"/>
        <w:rPr>
          <w:rFonts w:eastAsia="Calibri"/>
          <w:u w:val="single"/>
        </w:rPr>
      </w:pPr>
      <w:r w:rsidRPr="007D10A8">
        <w:rPr>
          <w:rFonts w:eastAsia="Calibri"/>
          <w:u w:val="single"/>
        </w:rPr>
        <w:t>Reglamentas dėl žemės ūkio produktų bendro rinkos organizavimo (BRO).</w:t>
      </w:r>
    </w:p>
    <w:p w14:paraId="409A998A" w14:textId="08B68B9E" w:rsidR="000C02C3" w:rsidRDefault="00C467D9" w:rsidP="000C02C3">
      <w:pPr>
        <w:spacing w:line="360" w:lineRule="auto"/>
        <w:ind w:firstLine="851"/>
        <w:jc w:val="both"/>
      </w:pPr>
      <w:r w:rsidRPr="00C467D9">
        <w:t>Lietuva vynuogynų sodinimo leidimų sistemoje nedalyvauja,</w:t>
      </w:r>
      <w:r w:rsidR="009E1149">
        <w:t xml:space="preserve"> todėl šis</w:t>
      </w:r>
      <w:r w:rsidRPr="00C467D9">
        <w:t xml:space="preserve"> klausimas </w:t>
      </w:r>
      <w:r>
        <w:t>Lietuvai neaktualus</w:t>
      </w:r>
      <w:r w:rsidRPr="00C467D9">
        <w:t>;</w:t>
      </w:r>
    </w:p>
    <w:p w14:paraId="5B13FA7F" w14:textId="2C1C9492" w:rsidR="00C467D9" w:rsidRDefault="00C467D9" w:rsidP="000C02C3">
      <w:pPr>
        <w:spacing w:line="360" w:lineRule="auto"/>
        <w:ind w:firstLine="851"/>
        <w:jc w:val="both"/>
      </w:pPr>
      <w:r w:rsidRPr="00C467D9">
        <w:t>Dėl vyno produktų mitybinės deklaraci</w:t>
      </w:r>
      <w:r w:rsidR="00C66C52">
        <w:t>jos ir sudedamųjų dalių sąrašo,</w:t>
      </w:r>
      <w:r w:rsidRPr="00C467D9">
        <w:t xml:space="preserve"> Lietuvos nuomone, šis klausimas turi būti sprendžiamas horizontaliai, kartu s</w:t>
      </w:r>
      <w:r w:rsidR="009E1149">
        <w:t xml:space="preserve">u kitais alkoholio sektoriais, vienu metu </w:t>
      </w:r>
      <w:r w:rsidRPr="00C467D9">
        <w:t>visiems alkoholi</w:t>
      </w:r>
      <w:r>
        <w:t>niams gėrimams, o ne tik vynams;</w:t>
      </w:r>
    </w:p>
    <w:p w14:paraId="0884EDA4" w14:textId="0F4D7AA2" w:rsidR="00C467D9" w:rsidRDefault="00C467D9" w:rsidP="00C467D9">
      <w:pPr>
        <w:spacing w:line="360" w:lineRule="auto"/>
        <w:ind w:firstLine="851"/>
        <w:jc w:val="both"/>
      </w:pPr>
      <w:r>
        <w:t xml:space="preserve">Dėl nealkoholinių ir sumažinto </w:t>
      </w:r>
      <w:r w:rsidR="00C66C52">
        <w:t>alkoholio kiekio vyno produktų,</w:t>
      </w:r>
      <w:r w:rsidR="006B4EB6">
        <w:t xml:space="preserve"> Lietuva pritaria siūlomoms</w:t>
      </w:r>
      <w:r>
        <w:t xml:space="preserve"> formuluot</w:t>
      </w:r>
      <w:r w:rsidR="006B4EB6">
        <w:t xml:space="preserve">ėms. </w:t>
      </w:r>
      <w:r>
        <w:t>Taip pat, sutinka, kad šie nealkoholiniai ir sumažinto alkoholio kiekio vyno produktai būtų vadinami ,,vynais", nustatant specialias ženklinimo nuostatas.</w:t>
      </w:r>
    </w:p>
    <w:p w14:paraId="6BE6D164" w14:textId="421921D8" w:rsidR="00C467D9" w:rsidRDefault="00C467D9" w:rsidP="00C467D9">
      <w:pPr>
        <w:spacing w:line="360" w:lineRule="auto"/>
        <w:ind w:firstLine="851"/>
        <w:jc w:val="both"/>
      </w:pPr>
      <w:r>
        <w:t>Galutinė Lietuvos pozicija bus suformuota gavus ir išnagrinėjus ES Tarybai skirtą dokumentą.</w:t>
      </w:r>
    </w:p>
    <w:p w14:paraId="593442F2" w14:textId="77777777" w:rsidR="00007C43" w:rsidRDefault="00007C43" w:rsidP="00CF227F">
      <w:pPr>
        <w:ind w:firstLine="851"/>
        <w:jc w:val="both"/>
      </w:pPr>
    </w:p>
    <w:p w14:paraId="45B64CA2" w14:textId="7FC4BF72" w:rsidR="00007C43" w:rsidRDefault="00007C43" w:rsidP="00007C43">
      <w:pPr>
        <w:spacing w:line="360" w:lineRule="auto"/>
        <w:jc w:val="both"/>
        <w:rPr>
          <w:b/>
        </w:rPr>
      </w:pPr>
      <w:r w:rsidRPr="00007C43">
        <w:rPr>
          <w:b/>
        </w:rPr>
        <w:t>5. ES augalinių baltymų gamybos planas</w:t>
      </w:r>
    </w:p>
    <w:p w14:paraId="0E08D8AA" w14:textId="77777777" w:rsidR="00727BDA" w:rsidRPr="00727BDA" w:rsidRDefault="00727BDA" w:rsidP="00727BDA">
      <w:pPr>
        <w:numPr>
          <w:ilvl w:val="0"/>
          <w:numId w:val="13"/>
        </w:numPr>
        <w:spacing w:after="160" w:line="259" w:lineRule="auto"/>
        <w:contextualSpacing/>
        <w:rPr>
          <w:rFonts w:eastAsia="Calibri"/>
          <w:b/>
          <w:i/>
          <w:iCs/>
          <w:szCs w:val="22"/>
        </w:rPr>
      </w:pPr>
      <w:r w:rsidRPr="00727BDA">
        <w:rPr>
          <w:rFonts w:eastAsia="Calibri"/>
          <w:b/>
          <w:i/>
          <w:iCs/>
          <w:szCs w:val="22"/>
        </w:rPr>
        <w:t>Komisijos pranešimas</w:t>
      </w:r>
    </w:p>
    <w:p w14:paraId="046CABC2" w14:textId="77777777" w:rsidR="00727BDA" w:rsidRPr="00727BDA" w:rsidRDefault="00727BDA" w:rsidP="00727BDA">
      <w:pPr>
        <w:numPr>
          <w:ilvl w:val="0"/>
          <w:numId w:val="13"/>
        </w:numPr>
        <w:spacing w:after="160" w:line="360" w:lineRule="auto"/>
        <w:contextualSpacing/>
        <w:jc w:val="both"/>
        <w:rPr>
          <w:rFonts w:eastAsia="Calibri"/>
          <w:b/>
        </w:rPr>
      </w:pPr>
      <w:r w:rsidRPr="00727BDA">
        <w:rPr>
          <w:rFonts w:eastAsia="Calibri"/>
          <w:b/>
          <w:i/>
          <w:iCs/>
          <w:szCs w:val="22"/>
        </w:rPr>
        <w:t>Politiniai debatai</w:t>
      </w:r>
    </w:p>
    <w:p w14:paraId="7812CE13" w14:textId="3096987D" w:rsidR="00727BDA" w:rsidRDefault="00727BDA" w:rsidP="00727BDA">
      <w:pPr>
        <w:spacing w:line="360" w:lineRule="auto"/>
        <w:ind w:firstLine="851"/>
        <w:jc w:val="both"/>
      </w:pPr>
      <w:r>
        <w:t xml:space="preserve">2018 m. lapkričio 22 d. EK  paskelbė ataskaitą apie augalinių baltymų gamybos plėtrą Europos Sąjungoje. Ataskaitoje apžvelgiama augalinių baltymų (rapsų sėklų, saulėgrąžų sėklų, lęšių ir kt.) pasiūlos ir paklausos padėtis ES </w:t>
      </w:r>
      <w:r w:rsidR="00CD496C">
        <w:t>bei</w:t>
      </w:r>
      <w:r>
        <w:t xml:space="preserve"> nagrinėjamos tolesnės jų gamybos plėtros</w:t>
      </w:r>
      <w:r w:rsidR="00CD496C">
        <w:t>,</w:t>
      </w:r>
      <w:r>
        <w:t xml:space="preserve"> ekonomišku ir aplinką tausojančiu būdu</w:t>
      </w:r>
      <w:r w:rsidR="00CD496C">
        <w:t>,</w:t>
      </w:r>
      <w:r>
        <w:t xml:space="preserve"> galimybės. EK pažymi, kad  augaliniai baltymai yra vienas iš esminių ES žemės ūkio ir maisto produktų sektoriaus komponentų, tačiau dėl įvairių rinkos ir klimato veiksnių</w:t>
      </w:r>
      <w:r w:rsidR="00CD496C">
        <w:t>,</w:t>
      </w:r>
      <w:r>
        <w:t xml:space="preserve"> ES augalinių baltymų pasėlių gamyba nepatenkina augančios paklausos. Ataskaitoje pristatomos kelios jau taikomos politikos priemonės ir nauji pasiūlymai, kurie gali padėti pasinaudoti ekonominiu ir aplinkosauginiu baltyminių augalų potencialu ES. </w:t>
      </w:r>
    </w:p>
    <w:p w14:paraId="15D24D4A" w14:textId="5E79CC15" w:rsidR="00C467D9" w:rsidRDefault="00727BDA" w:rsidP="00727BDA">
      <w:pPr>
        <w:spacing w:line="360" w:lineRule="auto"/>
        <w:ind w:firstLine="851"/>
        <w:jc w:val="both"/>
      </w:pPr>
      <w:r>
        <w:t xml:space="preserve">2018 m. gruodžio 17-18 d. vykusio ES Tarybos posėdžio metu, tiek </w:t>
      </w:r>
      <w:r w:rsidR="00CD496C">
        <w:t>P</w:t>
      </w:r>
      <w:r>
        <w:t>irmininkaujanti valstybė narė, tiek Europos Komisija pabrėžė poreikį skatinti augalinių baltymų gamybą, atsižvelgiant į didžiulį ES importo poreikį. Europos Komisija informavo, kad 2019 m. pradžioje numato paskelbti tyrimą dėl augalinių baltymų rinkos. ES Tarybos posėdžiui skirtas dokumentas dar negautas.</w:t>
      </w:r>
    </w:p>
    <w:p w14:paraId="1D111BC0" w14:textId="77777777" w:rsidR="00CD496C" w:rsidRDefault="00CD496C" w:rsidP="00727BDA">
      <w:pPr>
        <w:spacing w:line="360" w:lineRule="auto"/>
        <w:ind w:firstLine="851"/>
        <w:jc w:val="both"/>
        <w:rPr>
          <w:rFonts w:eastAsia="Calibri"/>
          <w:b/>
        </w:rPr>
      </w:pPr>
    </w:p>
    <w:p w14:paraId="729D09CE" w14:textId="01971BC6" w:rsidR="00727BDA" w:rsidRDefault="00727BDA" w:rsidP="00727BDA">
      <w:pPr>
        <w:spacing w:line="360" w:lineRule="auto"/>
        <w:ind w:firstLine="851"/>
        <w:jc w:val="both"/>
        <w:rPr>
          <w:rFonts w:eastAsia="Calibri"/>
          <w:b/>
        </w:rPr>
      </w:pPr>
      <w:r w:rsidRPr="000C02C3">
        <w:rPr>
          <w:rFonts w:eastAsia="Calibri"/>
          <w:b/>
        </w:rPr>
        <w:t>Lietuvos pozicija</w:t>
      </w:r>
    </w:p>
    <w:p w14:paraId="64DFBF28" w14:textId="77777777" w:rsidR="00727BDA" w:rsidRDefault="00727BDA" w:rsidP="00727BDA">
      <w:pPr>
        <w:spacing w:line="360" w:lineRule="auto"/>
        <w:ind w:firstLine="851"/>
        <w:jc w:val="both"/>
      </w:pPr>
      <w:r>
        <w:t xml:space="preserve">Lietuva išklausys Europos Komisijos ir Pirmininkaujančios valstybės narės informaciją. </w:t>
      </w:r>
    </w:p>
    <w:p w14:paraId="4B32824E" w14:textId="7AFFB825" w:rsidR="00727BDA" w:rsidRDefault="00727BDA" w:rsidP="00727BDA">
      <w:pPr>
        <w:spacing w:line="360" w:lineRule="auto"/>
        <w:ind w:firstLine="851"/>
        <w:jc w:val="both"/>
      </w:pPr>
      <w:r>
        <w:t>Galutinė Lietuvos pozicija bus suformuota gavus ir išnagrinėjus ES Tarybai skirtą dokumentą.</w:t>
      </w:r>
    </w:p>
    <w:p w14:paraId="572F1919" w14:textId="551ED3F2" w:rsidR="00593452" w:rsidRPr="00593452" w:rsidRDefault="00593452" w:rsidP="00593452">
      <w:pPr>
        <w:widowControl w:val="0"/>
        <w:tabs>
          <w:tab w:val="left" w:pos="567"/>
          <w:tab w:val="left" w:pos="851"/>
        </w:tabs>
        <w:snapToGrid w:val="0"/>
        <w:jc w:val="both"/>
        <w:rPr>
          <w:b/>
          <w:bCs/>
          <w:szCs w:val="28"/>
          <w:lang w:eastAsia="lt-LT"/>
        </w:rPr>
      </w:pPr>
      <w:r>
        <w:rPr>
          <w:b/>
          <w:bCs/>
          <w:szCs w:val="28"/>
          <w:lang w:eastAsia="lt-LT"/>
        </w:rPr>
        <w:lastRenderedPageBreak/>
        <w:t xml:space="preserve">6. </w:t>
      </w:r>
      <w:r w:rsidRPr="00593452">
        <w:rPr>
          <w:b/>
          <w:bCs/>
          <w:szCs w:val="28"/>
          <w:lang w:eastAsia="lt-LT"/>
        </w:rPr>
        <w:t>Atsparumo antimikrobinėms medžiagoms sprendimų tarptautinio centro (angl. ICARS) įsteigimas</w:t>
      </w:r>
    </w:p>
    <w:p w14:paraId="44E2BA49" w14:textId="77777777" w:rsidR="00593452" w:rsidRPr="00593452" w:rsidRDefault="00593452" w:rsidP="00833703">
      <w:pPr>
        <w:widowControl w:val="0"/>
        <w:numPr>
          <w:ilvl w:val="0"/>
          <w:numId w:val="14"/>
        </w:numPr>
        <w:tabs>
          <w:tab w:val="left" w:pos="709"/>
          <w:tab w:val="left" w:pos="851"/>
        </w:tabs>
        <w:snapToGrid w:val="0"/>
        <w:spacing w:line="259" w:lineRule="auto"/>
        <w:ind w:left="709" w:hanging="283"/>
        <w:jc w:val="both"/>
        <w:rPr>
          <w:b/>
          <w:bCs/>
          <w:i/>
          <w:szCs w:val="28"/>
          <w:lang w:eastAsia="lt-LT"/>
        </w:rPr>
      </w:pPr>
      <w:r w:rsidRPr="00593452">
        <w:rPr>
          <w:b/>
          <w:bCs/>
          <w:i/>
          <w:szCs w:val="28"/>
          <w:lang w:eastAsia="lt-LT"/>
        </w:rPr>
        <w:t>Danijos delegacijos informacija</w:t>
      </w:r>
    </w:p>
    <w:p w14:paraId="49115311" w14:textId="77777777" w:rsidR="00593452" w:rsidRPr="00593452" w:rsidRDefault="00593452" w:rsidP="00593452">
      <w:pPr>
        <w:widowControl w:val="0"/>
        <w:tabs>
          <w:tab w:val="left" w:pos="709"/>
          <w:tab w:val="left" w:pos="851"/>
        </w:tabs>
        <w:snapToGrid w:val="0"/>
        <w:jc w:val="center"/>
        <w:rPr>
          <w:b/>
          <w:bCs/>
          <w:lang w:eastAsia="lt-LT"/>
        </w:rPr>
      </w:pPr>
    </w:p>
    <w:p w14:paraId="502EB2AA" w14:textId="63ED88C8" w:rsidR="00593452" w:rsidRPr="00593452" w:rsidRDefault="00593452" w:rsidP="00ED7661">
      <w:pPr>
        <w:spacing w:line="360" w:lineRule="auto"/>
        <w:ind w:firstLine="851"/>
        <w:jc w:val="both"/>
        <w:rPr>
          <w:szCs w:val="28"/>
          <w:lang w:eastAsia="lt-LT"/>
        </w:rPr>
      </w:pPr>
      <w:r w:rsidRPr="00593452">
        <w:rPr>
          <w:rFonts w:eastAsia="Calibri"/>
          <w:szCs w:val="28"/>
          <w:lang w:eastAsia="lt-LT"/>
        </w:rPr>
        <w:t xml:space="preserve">Naujai steigiamas Atsparumo antimikrobinėms medžiagoms sprendimų tarptautinio centras </w:t>
      </w:r>
      <w:r w:rsidRPr="00593452">
        <w:rPr>
          <w:szCs w:val="28"/>
          <w:lang w:eastAsia="lt-LT"/>
        </w:rPr>
        <w:t xml:space="preserve">(angl. </w:t>
      </w:r>
      <w:proofErr w:type="spellStart"/>
      <w:r w:rsidRPr="00593452">
        <w:rPr>
          <w:i/>
          <w:szCs w:val="28"/>
          <w:lang w:eastAsia="lt-LT"/>
        </w:rPr>
        <w:t>an</w:t>
      </w:r>
      <w:proofErr w:type="spellEnd"/>
      <w:r w:rsidRPr="00593452">
        <w:rPr>
          <w:i/>
          <w:szCs w:val="28"/>
          <w:lang w:eastAsia="lt-LT"/>
        </w:rPr>
        <w:t xml:space="preserve"> International Centre </w:t>
      </w:r>
      <w:proofErr w:type="spellStart"/>
      <w:r w:rsidRPr="00593452">
        <w:rPr>
          <w:i/>
          <w:szCs w:val="28"/>
          <w:lang w:eastAsia="lt-LT"/>
        </w:rPr>
        <w:t>for</w:t>
      </w:r>
      <w:proofErr w:type="spellEnd"/>
      <w:r w:rsidRPr="00593452">
        <w:rPr>
          <w:i/>
          <w:szCs w:val="28"/>
          <w:lang w:eastAsia="lt-LT"/>
        </w:rPr>
        <w:t xml:space="preserve"> </w:t>
      </w:r>
      <w:proofErr w:type="spellStart"/>
      <w:r w:rsidRPr="00593452">
        <w:rPr>
          <w:i/>
          <w:szCs w:val="28"/>
          <w:lang w:eastAsia="lt-LT"/>
        </w:rPr>
        <w:t>Antimicrobial</w:t>
      </w:r>
      <w:proofErr w:type="spellEnd"/>
      <w:r w:rsidRPr="00593452">
        <w:rPr>
          <w:i/>
          <w:szCs w:val="28"/>
          <w:lang w:eastAsia="lt-LT"/>
        </w:rPr>
        <w:t xml:space="preserve"> </w:t>
      </w:r>
      <w:proofErr w:type="spellStart"/>
      <w:r w:rsidRPr="00593452">
        <w:rPr>
          <w:i/>
          <w:szCs w:val="28"/>
          <w:lang w:eastAsia="lt-LT"/>
        </w:rPr>
        <w:t>Resistance</w:t>
      </w:r>
      <w:proofErr w:type="spellEnd"/>
      <w:r w:rsidRPr="00593452">
        <w:rPr>
          <w:i/>
          <w:szCs w:val="28"/>
          <w:lang w:eastAsia="lt-LT"/>
        </w:rPr>
        <w:t xml:space="preserve"> </w:t>
      </w:r>
      <w:proofErr w:type="spellStart"/>
      <w:r w:rsidRPr="00593452">
        <w:rPr>
          <w:i/>
          <w:szCs w:val="28"/>
          <w:lang w:eastAsia="lt-LT"/>
        </w:rPr>
        <w:t>Solutions</w:t>
      </w:r>
      <w:proofErr w:type="spellEnd"/>
      <w:r w:rsidRPr="00593452">
        <w:rPr>
          <w:i/>
          <w:szCs w:val="28"/>
          <w:lang w:eastAsia="lt-LT"/>
        </w:rPr>
        <w:t xml:space="preserve">, </w:t>
      </w:r>
      <w:proofErr w:type="spellStart"/>
      <w:r w:rsidRPr="00593452">
        <w:rPr>
          <w:szCs w:val="28"/>
          <w:lang w:eastAsia="lt-LT"/>
        </w:rPr>
        <w:t>sutrump</w:t>
      </w:r>
      <w:proofErr w:type="spellEnd"/>
      <w:r w:rsidRPr="00593452">
        <w:rPr>
          <w:szCs w:val="28"/>
          <w:lang w:eastAsia="lt-LT"/>
        </w:rPr>
        <w:t>.</w:t>
      </w:r>
      <w:r w:rsidRPr="00593452">
        <w:rPr>
          <w:i/>
          <w:szCs w:val="28"/>
          <w:lang w:eastAsia="lt-LT"/>
        </w:rPr>
        <w:t xml:space="preserve"> ICARS</w:t>
      </w:r>
      <w:r w:rsidR="00A50D93">
        <w:rPr>
          <w:szCs w:val="28"/>
          <w:lang w:eastAsia="lt-LT"/>
        </w:rPr>
        <w:t xml:space="preserve">, </w:t>
      </w:r>
      <w:r w:rsidRPr="00593452">
        <w:rPr>
          <w:szCs w:val="28"/>
          <w:lang w:eastAsia="lt-LT"/>
        </w:rPr>
        <w:t xml:space="preserve">toliau – centras) sieks tarptautiniu mastu stiprinti kovą su atsparumu antimikrobinėms medžiagoms, prisidės prie </w:t>
      </w:r>
      <w:r w:rsidRPr="00593452">
        <w:rPr>
          <w:szCs w:val="28"/>
          <w:shd w:val="clear" w:color="auto" w:fill="FFFFFF"/>
          <w:lang w:eastAsia="lt-LT"/>
        </w:rPr>
        <w:t xml:space="preserve">konkrečių sprendimų </w:t>
      </w:r>
      <w:r w:rsidRPr="00593452">
        <w:rPr>
          <w:szCs w:val="28"/>
          <w:lang w:eastAsia="lt-LT"/>
        </w:rPr>
        <w:t>kūrimo ir įgyvendinimo. Atsparumas antimikrobinėms medžiagoms yra viena iš didžiausių grėsmių pasaulinei sveikatai ir ekonomikos augimui. Atsparumo antimikrobinėms medžiagoms problema turi būti sprendžiama nedelsiant ir visuotinai suderintais veiksmais.</w:t>
      </w:r>
    </w:p>
    <w:p w14:paraId="2A891041" w14:textId="75FA186D" w:rsidR="00593452" w:rsidRPr="00593452" w:rsidRDefault="00593452" w:rsidP="00593452">
      <w:pPr>
        <w:spacing w:line="360" w:lineRule="auto"/>
        <w:ind w:firstLine="851"/>
        <w:jc w:val="both"/>
        <w:rPr>
          <w:szCs w:val="28"/>
          <w:lang w:eastAsia="lt-LT"/>
        </w:rPr>
      </w:pPr>
      <w:r w:rsidRPr="00593452">
        <w:rPr>
          <w:szCs w:val="28"/>
          <w:lang w:eastAsia="lt-LT"/>
        </w:rPr>
        <w:t xml:space="preserve">Danijos </w:t>
      </w:r>
      <w:r w:rsidR="00B63BBA">
        <w:rPr>
          <w:szCs w:val="28"/>
          <w:lang w:eastAsia="lt-LT"/>
        </w:rPr>
        <w:t xml:space="preserve">pateiktame dokumente </w:t>
      </w:r>
      <w:r w:rsidRPr="00593452">
        <w:rPr>
          <w:szCs w:val="28"/>
          <w:lang w:eastAsia="lt-LT"/>
        </w:rPr>
        <w:t xml:space="preserve">pažymima, kad reikalingas šios problemos efektyvesnis valdymas ir koordinavimas, numatant galimybę pateikti praktines gaires dėl efektyvių kovos su antimikrobiniu atsparumu veiksmų. </w:t>
      </w:r>
    </w:p>
    <w:p w14:paraId="6741680D" w14:textId="08B980FC" w:rsidR="00593452" w:rsidRPr="00593452" w:rsidRDefault="003647CB" w:rsidP="00593452">
      <w:pPr>
        <w:spacing w:line="360" w:lineRule="auto"/>
        <w:ind w:firstLine="851"/>
        <w:jc w:val="both"/>
        <w:rPr>
          <w:rFonts w:eastAsia="Calibri"/>
          <w:szCs w:val="28"/>
          <w:lang w:eastAsia="lt-LT"/>
        </w:rPr>
      </w:pPr>
      <w:r>
        <w:rPr>
          <w:szCs w:val="28"/>
          <w:lang w:eastAsia="lt-LT"/>
        </w:rPr>
        <w:t xml:space="preserve">Kopenhagoje steigiamas centras </w:t>
      </w:r>
      <w:r w:rsidR="00593452" w:rsidRPr="00593452">
        <w:rPr>
          <w:rFonts w:eastAsia="Calibri"/>
          <w:szCs w:val="28"/>
          <w:lang w:eastAsia="lt-LT"/>
        </w:rPr>
        <w:t xml:space="preserve"> bus nepriklausomas mokslinių tyrimų ir žinių sklaidos </w:t>
      </w:r>
      <w:r>
        <w:rPr>
          <w:rFonts w:eastAsia="Calibri"/>
          <w:szCs w:val="28"/>
          <w:lang w:eastAsia="lt-LT"/>
        </w:rPr>
        <w:t>įstaiga</w:t>
      </w:r>
      <w:r w:rsidR="00593452" w:rsidRPr="00593452">
        <w:rPr>
          <w:rFonts w:eastAsia="Calibri"/>
          <w:szCs w:val="28"/>
          <w:lang w:eastAsia="lt-LT"/>
        </w:rPr>
        <w:t>, kuri</w:t>
      </w:r>
      <w:r>
        <w:rPr>
          <w:rFonts w:eastAsia="Calibri"/>
          <w:szCs w:val="28"/>
          <w:lang w:eastAsia="lt-LT"/>
        </w:rPr>
        <w:t>oje</w:t>
      </w:r>
      <w:r w:rsidR="00593452" w:rsidRPr="00593452">
        <w:rPr>
          <w:rFonts w:eastAsia="Calibri"/>
          <w:szCs w:val="28"/>
          <w:lang w:eastAsia="lt-LT"/>
        </w:rPr>
        <w:t xml:space="preserve"> tarptautinė bendruomenė aktyviai bendradarbiaus su partneriais: </w:t>
      </w:r>
      <w:r w:rsidR="00593452" w:rsidRPr="00593452">
        <w:rPr>
          <w:szCs w:val="28"/>
          <w:lang w:eastAsia="lt-LT"/>
        </w:rPr>
        <w:t xml:space="preserve">nacionalinėmis ir tarptautinėmis institucijomis, įskaitant ir privatų sektorių. </w:t>
      </w:r>
      <w:r w:rsidR="00593452" w:rsidRPr="00593452">
        <w:rPr>
          <w:rFonts w:eastAsia="Calibri"/>
          <w:szCs w:val="28"/>
          <w:lang w:eastAsia="lt-LT"/>
        </w:rPr>
        <w:t>Centras taip pat teiks paramą tarptautiniams mokslinių tyrimų projektams, pvz., kaip alternatyvų antimikrobinėms medžiagoms kūrimas, naujų diagnostikų, vakcinų ar antimikrobinių preparatų kūrimas.</w:t>
      </w:r>
    </w:p>
    <w:p w14:paraId="174EBA14" w14:textId="77777777" w:rsidR="00593452" w:rsidRPr="00593452" w:rsidRDefault="00593452" w:rsidP="00833703">
      <w:pPr>
        <w:ind w:firstLine="1296"/>
        <w:jc w:val="both"/>
        <w:rPr>
          <w:rFonts w:eastAsia="Calibri"/>
          <w:sz w:val="28"/>
          <w:szCs w:val="28"/>
        </w:rPr>
      </w:pPr>
    </w:p>
    <w:p w14:paraId="4245627D" w14:textId="77777777" w:rsidR="00593452" w:rsidRPr="00593452" w:rsidRDefault="00593452" w:rsidP="00593452">
      <w:pPr>
        <w:spacing w:line="360" w:lineRule="auto"/>
        <w:ind w:firstLine="851"/>
        <w:jc w:val="both"/>
        <w:rPr>
          <w:rFonts w:eastAsia="Calibri"/>
          <w:b/>
        </w:rPr>
      </w:pPr>
      <w:r w:rsidRPr="00593452">
        <w:rPr>
          <w:rFonts w:eastAsia="Calibri"/>
          <w:b/>
        </w:rPr>
        <w:t xml:space="preserve">Lietuvos pozicija: </w:t>
      </w:r>
    </w:p>
    <w:p w14:paraId="613E26C0" w14:textId="3EEC520D" w:rsidR="00E01A4E" w:rsidRPr="00CF227F" w:rsidRDefault="00593452" w:rsidP="00E01A4E">
      <w:pPr>
        <w:spacing w:line="360" w:lineRule="auto"/>
        <w:ind w:firstLine="851"/>
        <w:jc w:val="both"/>
        <w:rPr>
          <w:rFonts w:eastAsia="Calibri"/>
          <w:szCs w:val="28"/>
        </w:rPr>
      </w:pPr>
      <w:r w:rsidRPr="00593452">
        <w:rPr>
          <w:rFonts w:eastAsia="Calibri"/>
          <w:szCs w:val="28"/>
        </w:rPr>
        <w:t>Lietuva laikosi pozicijos, kad iniciatyvos, kurios skatina glaudų tarpinstitucinį ir tarpvalstybinį bendradarbiavimą,  įtraukia visas susijusias interesų grupes ir partnerius, padeda teorines žinias pritaikyti praktikoje</w:t>
      </w:r>
      <w:r w:rsidR="00ED7661">
        <w:rPr>
          <w:rFonts w:eastAsia="Calibri"/>
          <w:szCs w:val="28"/>
        </w:rPr>
        <w:t>,</w:t>
      </w:r>
      <w:r w:rsidRPr="00593452">
        <w:rPr>
          <w:rFonts w:eastAsia="Calibri"/>
          <w:szCs w:val="28"/>
        </w:rPr>
        <w:t xml:space="preserve"> yra sveikintinos. Lietuva  palaiko Danijos iniciatyvą, nes tokio centro veikla turėtų ženkliai prisidėti prie kovos su atsparumu antimikrobinėms medžiagoms.</w:t>
      </w:r>
    </w:p>
    <w:sectPr w:rsidR="00E01A4E" w:rsidRPr="00CF227F" w:rsidSect="00CF227F">
      <w:headerReference w:type="default" r:id="rId8"/>
      <w:headerReference w:type="first" r:id="rId9"/>
      <w:pgSz w:w="11906" w:h="16838"/>
      <w:pgMar w:top="993" w:right="707"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70688" w14:textId="77777777" w:rsidR="002939D7" w:rsidRDefault="002939D7" w:rsidP="00653435">
      <w:r>
        <w:separator/>
      </w:r>
    </w:p>
  </w:endnote>
  <w:endnote w:type="continuationSeparator" w:id="0">
    <w:p w14:paraId="764EB46B" w14:textId="77777777" w:rsidR="002939D7" w:rsidRDefault="002939D7"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4D867" w14:textId="77777777" w:rsidR="002939D7" w:rsidRDefault="002939D7" w:rsidP="00653435">
      <w:r>
        <w:separator/>
      </w:r>
    </w:p>
  </w:footnote>
  <w:footnote w:type="continuationSeparator" w:id="0">
    <w:p w14:paraId="6957D9E3" w14:textId="77777777" w:rsidR="002939D7" w:rsidRDefault="002939D7"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58906"/>
      <w:docPartObj>
        <w:docPartGallery w:val="Page Numbers (Top of Page)"/>
        <w:docPartUnique/>
      </w:docPartObj>
    </w:sdtPr>
    <w:sdtEndPr/>
    <w:sdtContent>
      <w:p w14:paraId="081362D2" w14:textId="77777777" w:rsidR="00653435" w:rsidRDefault="00653435">
        <w:pPr>
          <w:pStyle w:val="Antrats"/>
          <w:jc w:val="center"/>
        </w:pPr>
        <w:r>
          <w:fldChar w:fldCharType="begin"/>
        </w:r>
        <w:r>
          <w:instrText>PAGE   \* MERGEFORMAT</w:instrText>
        </w:r>
        <w:r>
          <w:fldChar w:fldCharType="separate"/>
        </w:r>
        <w:r w:rsidR="00CA23F1">
          <w:rPr>
            <w:noProof/>
          </w:rPr>
          <w:t>4</w:t>
        </w:r>
        <w:r>
          <w:fldChar w:fldCharType="end"/>
        </w:r>
      </w:p>
    </w:sdtContent>
  </w:sdt>
  <w:p w14:paraId="6AC2BD4C"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CA1F" w14:textId="77777777" w:rsidR="00076701" w:rsidRDefault="00076701">
    <w:pPr>
      <w:pStyle w:val="Antrats"/>
    </w:pPr>
  </w:p>
  <w:p w14:paraId="5258D184"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LIETUVOS RESPUBLIKOS VYRIAUSYBĖS</w:t>
    </w:r>
  </w:p>
  <w:p w14:paraId="346A8F05"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EUROPOS SĄJUNGOS KOMISIJOS POSĖDIS</w:t>
    </w:r>
  </w:p>
  <w:p w14:paraId="76FD7307" w14:textId="77777777" w:rsidR="00076701" w:rsidRPr="00076701" w:rsidRDefault="00076701" w:rsidP="00076701">
    <w:pPr>
      <w:tabs>
        <w:tab w:val="left" w:pos="0"/>
      </w:tabs>
      <w:jc w:val="center"/>
      <w:outlineLvl w:val="0"/>
      <w:rPr>
        <w:b/>
        <w:bCs/>
        <w:kern w:val="28"/>
        <w:sz w:val="20"/>
        <w:szCs w:val="20"/>
        <w:lang w:eastAsia="x-none"/>
      </w:rPr>
    </w:pPr>
  </w:p>
  <w:p w14:paraId="7432C6EE" w14:textId="466F3A54" w:rsidR="00076701" w:rsidRPr="00076701" w:rsidRDefault="00076701" w:rsidP="00076701">
    <w:pPr>
      <w:tabs>
        <w:tab w:val="left" w:pos="0"/>
      </w:tabs>
      <w:jc w:val="center"/>
      <w:rPr>
        <w:bCs/>
        <w:kern w:val="28"/>
        <w:lang w:eastAsia="x-none"/>
      </w:rPr>
    </w:pPr>
    <w:r w:rsidRPr="00076701">
      <w:rPr>
        <w:bCs/>
        <w:kern w:val="28"/>
        <w:lang w:eastAsia="x-none"/>
      </w:rPr>
      <w:t>201</w:t>
    </w:r>
    <w:r w:rsidR="000F3562">
      <w:rPr>
        <w:bCs/>
        <w:kern w:val="28"/>
        <w:lang w:eastAsia="x-none"/>
      </w:rPr>
      <w:t>9</w:t>
    </w:r>
    <w:r w:rsidRPr="00076701">
      <w:rPr>
        <w:bCs/>
        <w:kern w:val="28"/>
        <w:lang w:eastAsia="x-none"/>
      </w:rPr>
      <w:t xml:space="preserve"> m.</w:t>
    </w:r>
    <w:r w:rsidR="000F3562">
      <w:rPr>
        <w:bCs/>
        <w:kern w:val="28"/>
        <w:lang w:eastAsia="x-none"/>
      </w:rPr>
      <w:t xml:space="preserve"> sausio</w:t>
    </w:r>
    <w:r w:rsidR="00941F2F">
      <w:rPr>
        <w:bCs/>
        <w:kern w:val="28"/>
        <w:lang w:eastAsia="x-none"/>
      </w:rPr>
      <w:t xml:space="preserve"> 22</w:t>
    </w:r>
    <w:r w:rsidRPr="00076701">
      <w:rPr>
        <w:bCs/>
        <w:kern w:val="28"/>
        <w:lang w:eastAsia="x-none"/>
      </w:rPr>
      <w:t xml:space="preserve"> d. </w:t>
    </w:r>
  </w:p>
  <w:p w14:paraId="5B068E2C" w14:textId="77777777" w:rsidR="00076701" w:rsidRPr="00076701" w:rsidRDefault="00076701" w:rsidP="00076701">
    <w:pPr>
      <w:tabs>
        <w:tab w:val="left" w:pos="0"/>
        <w:tab w:val="center" w:pos="4819"/>
        <w:tab w:val="left" w:pos="8688"/>
      </w:tabs>
      <w:rPr>
        <w:rFonts w:eastAsia="Batang"/>
      </w:rPr>
    </w:pPr>
    <w:r w:rsidRPr="00076701">
      <w:rPr>
        <w:rFonts w:eastAsia="Batang"/>
      </w:rPr>
      <w:tab/>
      <w:t>Vyriausybės posėdžių salė (Gedimino pr. 11)</w:t>
    </w:r>
    <w:r w:rsidRPr="00076701">
      <w:rPr>
        <w:rFonts w:eastAsia="Batang"/>
      </w:rPr>
      <w:tab/>
    </w:r>
  </w:p>
  <w:p w14:paraId="2589159D" w14:textId="77777777" w:rsidR="00076701" w:rsidRPr="004E6B49" w:rsidRDefault="00076701" w:rsidP="004E6B49">
    <w:pPr>
      <w:tabs>
        <w:tab w:val="left" w:pos="0"/>
      </w:tabs>
      <w:jc w:val="center"/>
      <w:rPr>
        <w:rFonts w:eastAsia="Batang"/>
        <w:u w:val="single"/>
      </w:rPr>
    </w:pPr>
    <w:r w:rsidRPr="00D47B75">
      <w:rPr>
        <w:rFonts w:eastAsia="Batang"/>
        <w:u w:val="single"/>
      </w:rPr>
      <w:t>14.00 valanda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A1A"/>
    <w:multiLevelType w:val="hybridMultilevel"/>
    <w:tmpl w:val="6A34A9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83834A3"/>
    <w:multiLevelType w:val="hybridMultilevel"/>
    <w:tmpl w:val="30044E72"/>
    <w:lvl w:ilvl="0" w:tplc="764A83C0">
      <w:start w:val="1"/>
      <w:numFmt w:val="bullet"/>
      <w:lvlText w:val=""/>
      <w:lvlJc w:val="left"/>
      <w:pPr>
        <w:ind w:left="1423" w:hanging="360"/>
      </w:pPr>
      <w:rPr>
        <w:rFonts w:ascii="Symbol" w:hAnsi="Symbol" w:hint="default"/>
      </w:rPr>
    </w:lvl>
    <w:lvl w:ilvl="1" w:tplc="04270003" w:tentative="1">
      <w:start w:val="1"/>
      <w:numFmt w:val="bullet"/>
      <w:lvlText w:val="o"/>
      <w:lvlJc w:val="left"/>
      <w:pPr>
        <w:ind w:left="2143" w:hanging="360"/>
      </w:pPr>
      <w:rPr>
        <w:rFonts w:ascii="Courier New" w:hAnsi="Courier New" w:cs="Courier New" w:hint="default"/>
      </w:rPr>
    </w:lvl>
    <w:lvl w:ilvl="2" w:tplc="04270005" w:tentative="1">
      <w:start w:val="1"/>
      <w:numFmt w:val="bullet"/>
      <w:lvlText w:val=""/>
      <w:lvlJc w:val="left"/>
      <w:pPr>
        <w:ind w:left="2863" w:hanging="360"/>
      </w:pPr>
      <w:rPr>
        <w:rFonts w:ascii="Wingdings" w:hAnsi="Wingdings" w:hint="default"/>
      </w:rPr>
    </w:lvl>
    <w:lvl w:ilvl="3" w:tplc="04270001" w:tentative="1">
      <w:start w:val="1"/>
      <w:numFmt w:val="bullet"/>
      <w:lvlText w:val=""/>
      <w:lvlJc w:val="left"/>
      <w:pPr>
        <w:ind w:left="3583" w:hanging="360"/>
      </w:pPr>
      <w:rPr>
        <w:rFonts w:ascii="Symbol" w:hAnsi="Symbol" w:hint="default"/>
      </w:rPr>
    </w:lvl>
    <w:lvl w:ilvl="4" w:tplc="04270003" w:tentative="1">
      <w:start w:val="1"/>
      <w:numFmt w:val="bullet"/>
      <w:lvlText w:val="o"/>
      <w:lvlJc w:val="left"/>
      <w:pPr>
        <w:ind w:left="4303" w:hanging="360"/>
      </w:pPr>
      <w:rPr>
        <w:rFonts w:ascii="Courier New" w:hAnsi="Courier New" w:cs="Courier New" w:hint="default"/>
      </w:rPr>
    </w:lvl>
    <w:lvl w:ilvl="5" w:tplc="04270005" w:tentative="1">
      <w:start w:val="1"/>
      <w:numFmt w:val="bullet"/>
      <w:lvlText w:val=""/>
      <w:lvlJc w:val="left"/>
      <w:pPr>
        <w:ind w:left="5023" w:hanging="360"/>
      </w:pPr>
      <w:rPr>
        <w:rFonts w:ascii="Wingdings" w:hAnsi="Wingdings" w:hint="default"/>
      </w:rPr>
    </w:lvl>
    <w:lvl w:ilvl="6" w:tplc="04270001" w:tentative="1">
      <w:start w:val="1"/>
      <w:numFmt w:val="bullet"/>
      <w:lvlText w:val=""/>
      <w:lvlJc w:val="left"/>
      <w:pPr>
        <w:ind w:left="5743" w:hanging="360"/>
      </w:pPr>
      <w:rPr>
        <w:rFonts w:ascii="Symbol" w:hAnsi="Symbol" w:hint="default"/>
      </w:rPr>
    </w:lvl>
    <w:lvl w:ilvl="7" w:tplc="04270003" w:tentative="1">
      <w:start w:val="1"/>
      <w:numFmt w:val="bullet"/>
      <w:lvlText w:val="o"/>
      <w:lvlJc w:val="left"/>
      <w:pPr>
        <w:ind w:left="6463" w:hanging="360"/>
      </w:pPr>
      <w:rPr>
        <w:rFonts w:ascii="Courier New" w:hAnsi="Courier New" w:cs="Courier New" w:hint="default"/>
      </w:rPr>
    </w:lvl>
    <w:lvl w:ilvl="8" w:tplc="04270005" w:tentative="1">
      <w:start w:val="1"/>
      <w:numFmt w:val="bullet"/>
      <w:lvlText w:val=""/>
      <w:lvlJc w:val="left"/>
      <w:pPr>
        <w:ind w:left="7183" w:hanging="360"/>
      </w:pPr>
      <w:rPr>
        <w:rFonts w:ascii="Wingdings" w:hAnsi="Wingdings" w:hint="default"/>
      </w:rPr>
    </w:lvl>
  </w:abstractNum>
  <w:abstractNum w:abstractNumId="6" w15:restartNumberingAfterBreak="0">
    <w:nsid w:val="2D9F58A0"/>
    <w:multiLevelType w:val="hybridMultilevel"/>
    <w:tmpl w:val="8526680A"/>
    <w:lvl w:ilvl="0" w:tplc="11AAE832">
      <w:start w:val="20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6F37F8"/>
    <w:multiLevelType w:val="hybridMultilevel"/>
    <w:tmpl w:val="CE94C2AC"/>
    <w:lvl w:ilvl="0" w:tplc="852ECB1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6660A7"/>
    <w:multiLevelType w:val="hybridMultilevel"/>
    <w:tmpl w:val="6A34A9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B46936"/>
    <w:multiLevelType w:val="hybridMultilevel"/>
    <w:tmpl w:val="3DD80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C0254F"/>
    <w:multiLevelType w:val="hybridMultilevel"/>
    <w:tmpl w:val="065C6B34"/>
    <w:lvl w:ilvl="0" w:tplc="E29AC5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3"/>
  </w:num>
  <w:num w:numId="5">
    <w:abstractNumId w:val="9"/>
  </w:num>
  <w:num w:numId="6">
    <w:abstractNumId w:val="11"/>
  </w:num>
  <w:num w:numId="7">
    <w:abstractNumId w:val="1"/>
  </w:num>
  <w:num w:numId="8">
    <w:abstractNumId w:val="12"/>
  </w:num>
  <w:num w:numId="9">
    <w:abstractNumId w:val="6"/>
  </w:num>
  <w:num w:numId="10">
    <w:abstractNumId w:val="0"/>
  </w:num>
  <w:num w:numId="11">
    <w:abstractNumId w:val="10"/>
  </w:num>
  <w:num w:numId="12">
    <w:abstractNumId w:val="8"/>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7C43"/>
    <w:rsid w:val="00010892"/>
    <w:rsid w:val="000164C6"/>
    <w:rsid w:val="000262EB"/>
    <w:rsid w:val="000457AE"/>
    <w:rsid w:val="0004746E"/>
    <w:rsid w:val="000503B8"/>
    <w:rsid w:val="00057B92"/>
    <w:rsid w:val="00064981"/>
    <w:rsid w:val="00076701"/>
    <w:rsid w:val="00077A57"/>
    <w:rsid w:val="000B2394"/>
    <w:rsid w:val="000C02C3"/>
    <w:rsid w:val="000F3562"/>
    <w:rsid w:val="000F735A"/>
    <w:rsid w:val="00114744"/>
    <w:rsid w:val="001236B7"/>
    <w:rsid w:val="0014137D"/>
    <w:rsid w:val="001451CF"/>
    <w:rsid w:val="0015590F"/>
    <w:rsid w:val="00161A36"/>
    <w:rsid w:val="00181AEF"/>
    <w:rsid w:val="00195CB2"/>
    <w:rsid w:val="001D07F7"/>
    <w:rsid w:val="001D5827"/>
    <w:rsid w:val="001D7C38"/>
    <w:rsid w:val="001F11D4"/>
    <w:rsid w:val="00215DAC"/>
    <w:rsid w:val="00217FAB"/>
    <w:rsid w:val="002274D5"/>
    <w:rsid w:val="00227B83"/>
    <w:rsid w:val="00246DBD"/>
    <w:rsid w:val="00255213"/>
    <w:rsid w:val="00262B49"/>
    <w:rsid w:val="00281E73"/>
    <w:rsid w:val="00283292"/>
    <w:rsid w:val="002939D7"/>
    <w:rsid w:val="002C0CC8"/>
    <w:rsid w:val="002D7B31"/>
    <w:rsid w:val="002E01E6"/>
    <w:rsid w:val="003477E4"/>
    <w:rsid w:val="0036221A"/>
    <w:rsid w:val="003647CB"/>
    <w:rsid w:val="003701AD"/>
    <w:rsid w:val="00373A7A"/>
    <w:rsid w:val="003B4C51"/>
    <w:rsid w:val="003B735C"/>
    <w:rsid w:val="003B7877"/>
    <w:rsid w:val="00400BB3"/>
    <w:rsid w:val="00416986"/>
    <w:rsid w:val="00424C39"/>
    <w:rsid w:val="00455F53"/>
    <w:rsid w:val="0046115D"/>
    <w:rsid w:val="004669B6"/>
    <w:rsid w:val="004768EA"/>
    <w:rsid w:val="004905FD"/>
    <w:rsid w:val="004A7CD9"/>
    <w:rsid w:val="004B1247"/>
    <w:rsid w:val="004B7725"/>
    <w:rsid w:val="004C77E9"/>
    <w:rsid w:val="004D1E14"/>
    <w:rsid w:val="004D5472"/>
    <w:rsid w:val="004E6B49"/>
    <w:rsid w:val="00512B57"/>
    <w:rsid w:val="00531C73"/>
    <w:rsid w:val="00535829"/>
    <w:rsid w:val="0055141A"/>
    <w:rsid w:val="00552936"/>
    <w:rsid w:val="005636DB"/>
    <w:rsid w:val="00571076"/>
    <w:rsid w:val="0057614C"/>
    <w:rsid w:val="00581D4E"/>
    <w:rsid w:val="005868E3"/>
    <w:rsid w:val="005906C2"/>
    <w:rsid w:val="00593452"/>
    <w:rsid w:val="005B3725"/>
    <w:rsid w:val="005C232B"/>
    <w:rsid w:val="005C3372"/>
    <w:rsid w:val="00634239"/>
    <w:rsid w:val="00653435"/>
    <w:rsid w:val="00655463"/>
    <w:rsid w:val="006654CD"/>
    <w:rsid w:val="006A1B39"/>
    <w:rsid w:val="006A49E2"/>
    <w:rsid w:val="006B4EB6"/>
    <w:rsid w:val="006D5593"/>
    <w:rsid w:val="006E3E09"/>
    <w:rsid w:val="00706F4A"/>
    <w:rsid w:val="00727BDA"/>
    <w:rsid w:val="00744D89"/>
    <w:rsid w:val="00747474"/>
    <w:rsid w:val="0076467E"/>
    <w:rsid w:val="00783D41"/>
    <w:rsid w:val="00786B92"/>
    <w:rsid w:val="007A5E4E"/>
    <w:rsid w:val="007B64F2"/>
    <w:rsid w:val="007D10A8"/>
    <w:rsid w:val="007D2630"/>
    <w:rsid w:val="007F07EE"/>
    <w:rsid w:val="007F2C70"/>
    <w:rsid w:val="00820C3A"/>
    <w:rsid w:val="00833703"/>
    <w:rsid w:val="00835988"/>
    <w:rsid w:val="00836E99"/>
    <w:rsid w:val="00857DE8"/>
    <w:rsid w:val="008A5687"/>
    <w:rsid w:val="008D0AE9"/>
    <w:rsid w:val="008D3F8E"/>
    <w:rsid w:val="008F308A"/>
    <w:rsid w:val="00900F8C"/>
    <w:rsid w:val="009036E4"/>
    <w:rsid w:val="00906FC1"/>
    <w:rsid w:val="009378F2"/>
    <w:rsid w:val="00937F2C"/>
    <w:rsid w:val="00941F2F"/>
    <w:rsid w:val="00943D9D"/>
    <w:rsid w:val="0096696D"/>
    <w:rsid w:val="009677A6"/>
    <w:rsid w:val="009E1149"/>
    <w:rsid w:val="009E5644"/>
    <w:rsid w:val="00A010B0"/>
    <w:rsid w:val="00A05D47"/>
    <w:rsid w:val="00A06E07"/>
    <w:rsid w:val="00A130F0"/>
    <w:rsid w:val="00A34F9D"/>
    <w:rsid w:val="00A40F1D"/>
    <w:rsid w:val="00A50D93"/>
    <w:rsid w:val="00A654F9"/>
    <w:rsid w:val="00A83A3B"/>
    <w:rsid w:val="00AA6D96"/>
    <w:rsid w:val="00AB596C"/>
    <w:rsid w:val="00B3165E"/>
    <w:rsid w:val="00B35A43"/>
    <w:rsid w:val="00B432CD"/>
    <w:rsid w:val="00B43FA6"/>
    <w:rsid w:val="00B62133"/>
    <w:rsid w:val="00B63BBA"/>
    <w:rsid w:val="00B67148"/>
    <w:rsid w:val="00B83B3A"/>
    <w:rsid w:val="00BA6165"/>
    <w:rsid w:val="00BA7682"/>
    <w:rsid w:val="00BD413C"/>
    <w:rsid w:val="00BF346A"/>
    <w:rsid w:val="00C16FDE"/>
    <w:rsid w:val="00C21E84"/>
    <w:rsid w:val="00C467D9"/>
    <w:rsid w:val="00C53218"/>
    <w:rsid w:val="00C66C52"/>
    <w:rsid w:val="00C92576"/>
    <w:rsid w:val="00CA23F1"/>
    <w:rsid w:val="00CA7016"/>
    <w:rsid w:val="00CD496C"/>
    <w:rsid w:val="00CF227F"/>
    <w:rsid w:val="00CF5D8D"/>
    <w:rsid w:val="00D315BA"/>
    <w:rsid w:val="00D32195"/>
    <w:rsid w:val="00D359D8"/>
    <w:rsid w:val="00D47B75"/>
    <w:rsid w:val="00D51A0A"/>
    <w:rsid w:val="00D72B5F"/>
    <w:rsid w:val="00DE3BA1"/>
    <w:rsid w:val="00DE4E05"/>
    <w:rsid w:val="00DE6B92"/>
    <w:rsid w:val="00E01A4E"/>
    <w:rsid w:val="00E13A53"/>
    <w:rsid w:val="00E152D4"/>
    <w:rsid w:val="00E25F2F"/>
    <w:rsid w:val="00E512A5"/>
    <w:rsid w:val="00E522CA"/>
    <w:rsid w:val="00E605AB"/>
    <w:rsid w:val="00E662D6"/>
    <w:rsid w:val="00EA5C7A"/>
    <w:rsid w:val="00EB4E6E"/>
    <w:rsid w:val="00EB563F"/>
    <w:rsid w:val="00EC0D52"/>
    <w:rsid w:val="00ED71E5"/>
    <w:rsid w:val="00ED7661"/>
    <w:rsid w:val="00EF2B78"/>
    <w:rsid w:val="00EF5E8D"/>
    <w:rsid w:val="00EF67CD"/>
    <w:rsid w:val="00F01EA6"/>
    <w:rsid w:val="00F250B4"/>
    <w:rsid w:val="00F45F77"/>
    <w:rsid w:val="00F50749"/>
    <w:rsid w:val="00F705D4"/>
    <w:rsid w:val="00FB517F"/>
    <w:rsid w:val="00FB59AA"/>
    <w:rsid w:val="00FB74F6"/>
    <w:rsid w:val="00FD5E4F"/>
    <w:rsid w:val="00FF4A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666F2"/>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27BDA"/>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EF2B78"/>
    <w:rPr>
      <w:sz w:val="16"/>
      <w:szCs w:val="16"/>
    </w:rPr>
  </w:style>
  <w:style w:type="paragraph" w:styleId="Komentarotekstas">
    <w:name w:val="annotation text"/>
    <w:basedOn w:val="prastasis"/>
    <w:link w:val="KomentarotekstasDiagrama"/>
    <w:uiPriority w:val="99"/>
    <w:semiHidden/>
    <w:unhideWhenUsed/>
    <w:rsid w:val="00EF2B78"/>
    <w:rPr>
      <w:sz w:val="20"/>
      <w:szCs w:val="20"/>
    </w:rPr>
  </w:style>
  <w:style w:type="character" w:customStyle="1" w:styleId="KomentarotekstasDiagrama">
    <w:name w:val="Komentaro tekstas Diagrama"/>
    <w:basedOn w:val="Numatytasispastraiposriftas"/>
    <w:link w:val="Komentarotekstas"/>
    <w:uiPriority w:val="99"/>
    <w:semiHidden/>
    <w:rsid w:val="00EF2B78"/>
  </w:style>
  <w:style w:type="paragraph" w:styleId="Komentarotema">
    <w:name w:val="annotation subject"/>
    <w:basedOn w:val="Komentarotekstas"/>
    <w:next w:val="Komentarotekstas"/>
    <w:link w:val="KomentarotemaDiagrama"/>
    <w:uiPriority w:val="99"/>
    <w:semiHidden/>
    <w:unhideWhenUsed/>
    <w:rsid w:val="00EF2B78"/>
    <w:rPr>
      <w:b/>
      <w:bCs/>
    </w:rPr>
  </w:style>
  <w:style w:type="character" w:customStyle="1" w:styleId="KomentarotemaDiagrama">
    <w:name w:val="Komentaro tema Diagrama"/>
    <w:basedOn w:val="KomentarotekstasDiagrama"/>
    <w:link w:val="Komentarotema"/>
    <w:uiPriority w:val="99"/>
    <w:semiHidden/>
    <w:rsid w:val="00EF2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8EA12-0EA4-4766-BC55-36C18058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7256</Words>
  <Characters>4137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62</cp:revision>
  <cp:lastPrinted>2019-01-16T13:56:00Z</cp:lastPrinted>
  <dcterms:created xsi:type="dcterms:W3CDTF">2019-01-16T11:39:00Z</dcterms:created>
  <dcterms:modified xsi:type="dcterms:W3CDTF">2019-01-17T09:05:00Z</dcterms:modified>
</cp:coreProperties>
</file>