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c5b5bc902614c4589c060696c5d2a27"/>
        <w:lock w:val="sdtLocked"/>
        <w:richText/>
      </w:sdtPr>
      <w:sdtContent>
        <w:p w14:paraId="435C896E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right"/>
            <w:textAlignment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Projektas </w:t>
          </w:r>
        </w:p>
        <w:p w14:paraId="50110D63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 w14:paraId="393B734B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</w:p>
        <w:p w14:paraId="38C2E667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 w14:paraId="280DD550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DĖL projeKtų VALDYMO TVARKOS APRAŠO patvirtinimo</w:t>
          </w:r>
        </w:p>
        <w:p w14:paraId="35BD1403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</w:p>
        <w:p w14:paraId="31B5888A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d. Nr.</w:t>
          </w:r>
        </w:p>
        <w:p w14:paraId="1C43DA9F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7226B9FC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</w:p>
        <w:p w14:paraId="52B9E98A" w14:textId="77777777">
          <w:pPr>
            <w:keepLines/>
            <w:widowControl w:val="0"/>
            <w:shd w:val="clear" w:color="auto" w:fill="FFFFFF"/>
            <w:suppressAutoHyphens/>
            <w:spacing w:line="360" w:lineRule="auto"/>
            <w:jc w:val="center"/>
            <w:textAlignment w:val="center"/>
            <w:rPr>
              <w:szCs w:val="24"/>
              <w:lang w:eastAsia="lt-LT"/>
            </w:rPr>
          </w:pPr>
        </w:p>
        <w:sdt>
          <w:sdtPr>
            <w:alias w:val="preambule"/>
            <w:tag w:val="part_ad8cd53c69184a938944beb7809f62a5"/>
            <w:lock w:val="sdtLocked"/>
            <w:richText/>
          </w:sdtPr>
          <w:sdtContent>
            <w:p w14:paraId="414129AD" w14:textId="77777777">
              <w:pPr>
                <w:widowControl w:val="0"/>
                <w:shd w:val="clear" w:color="auto" w:fill="FFFFFF"/>
                <w:suppressAutoHyphens/>
                <w:spacing w:line="360" w:lineRule="auto"/>
                <w:ind w:firstLine="567"/>
                <w:jc w:val="both"/>
                <w:textAlignment w:val="center"/>
                <w:rPr>
                  <w:szCs w:val="24"/>
                </w:rPr>
              </w:pPr>
              <w:r>
                <w:rPr>
                  <w:szCs w:val="24"/>
                  <w:lang w:eastAsia="lt-LT"/>
                </w:rPr>
                <w:t xml:space="preserve">Vadovaudamasi </w:t>
              </w:r>
              <w:r>
                <w:rPr>
                  <w:szCs w:val="24"/>
                </w:rPr>
                <w:t>Lietuvos Respublikos Vyriausybės darbo reglamento, patvirtinto Lietuvos Respublikos Vyriausybės 1994 m. rugpjūčio 11 d. nutarimu Nr. 728 „Dėl Lietuvos Respublikos Vyriausybės darbo reglamento patvirtinimo“, 10</w:t>
              </w:r>
              <w:r>
                <w:rPr>
                  <w:szCs w:val="24"/>
                  <w:vertAlign w:val="superscript"/>
                </w:rPr>
                <w:t xml:space="preserve">3 </w:t>
              </w:r>
              <w:r>
                <w:rPr>
                  <w:szCs w:val="24"/>
                </w:rPr>
                <w:t xml:space="preserve">punktu, Lietuvos Respublikos Vyriausybė                    n u t a r i a:</w:t>
              </w:r>
            </w:p>
          </w:sdtContent>
        </w:sdt>
        <w:sdt>
          <w:sdtPr>
            <w:alias w:val="1 p."/>
            <w:tag w:val="part_61f5a3455fc74ce1b2f805e7b9a2435f"/>
            <w:lock w:val="sdtLocked"/>
            <w:richText/>
          </w:sdtPr>
          <w:sdtContent>
            <w:p w14:paraId="7BE8A3D1" w14:textId="1358DA63">
              <w:pPr>
                <w:widowControl w:val="0"/>
                <w:shd w:val="clear" w:color="auto" w:fill="FFFFFF"/>
                <w:tabs>
                  <w:tab w:val="left" w:pos="993"/>
                </w:tabs>
                <w:suppressAutoHyphens/>
                <w:spacing w:line="360" w:lineRule="auto"/>
                <w:ind w:left="999" w:hanging="432"/>
                <w:jc w:val="both"/>
                <w:textAlignment w:val="center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1f5a3455fc74ce1b2f805e7b9a2435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Patvirtinti pridedamą Projektų valdymo tvarkos aprašą (toliau </w:t>
              </w:r>
              <w:r>
                <w:rPr>
                  <w:szCs w:val="24"/>
                </w:rPr>
                <w:t>– Aprašas</w:t>
              </w:r>
              <w:r>
                <w:rPr>
                  <w:szCs w:val="24"/>
                  <w:lang w:eastAsia="lt-LT"/>
                </w:rPr>
                <w:t>).</w:t>
              </w:r>
            </w:p>
          </w:sdtContent>
        </w:sdt>
        <w:sdt>
          <w:sdtPr>
            <w:alias w:val="2 p."/>
            <w:tag w:val="part_8a20d22654d94086970a0b575f91253a"/>
            <w:lock w:val="sdtLocked"/>
            <w:richText/>
          </w:sdtPr>
          <w:sdtContent>
            <w:p w14:paraId="26E17E31" w14:textId="77777777">
              <w:pPr>
                <w:widowControl w:val="0"/>
                <w:shd w:val="clear" w:color="auto" w:fill="FFFFFF"/>
                <w:tabs>
                  <w:tab w:val="left" w:pos="993"/>
                </w:tabs>
                <w:suppressAutoHyphens/>
                <w:spacing w:line="360" w:lineRule="auto"/>
                <w:ind w:firstLine="567"/>
                <w:jc w:val="both"/>
                <w:textAlignment w:val="center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a20d22654d94086970a0b575f91253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>Rekomenduoti:</w:t>
              </w:r>
            </w:p>
            <w:sdt>
              <w:sdtPr>
                <w:alias w:val="2.1 pp."/>
                <w:tag w:val="part_e966ae29ad2f4dbdb2dda5b4d35e3cd0"/>
                <w:lock w:val="sdtLocked"/>
                <w:richText/>
              </w:sdtPr>
              <w:sdtContent>
                <w:p w14:paraId="33B2DB9E" w14:textId="77777777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uppressAutoHyphens/>
                    <w:spacing w:line="360" w:lineRule="auto"/>
                    <w:ind w:firstLine="567"/>
                    <w:jc w:val="both"/>
                    <w:textAlignment w:val="center"/>
                    <w:rPr>
                      <w:szCs w:val="24"/>
                    </w:rPr>
                  </w:pPr>
                  <w:sdt>
                    <w:sdtPr>
                      <w:alias w:val="Numeris"/>
                      <w:tag w:val="nr_e966ae29ad2f4dbdb2dda5b4d35e3cd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</w:r>
                  <w:r>
                    <w:rPr>
                      <w:szCs w:val="24"/>
                    </w:rPr>
                    <w:t xml:space="preserve"> ministerijoms, Vyriausybės kanceliarijai, Vyriausybės įstaigoms ir kitoms Vyriausybei atskaitingoms institucijoms </w:t>
                  </w:r>
                  <w:r>
                    <w:rPr>
                      <w:i/>
                      <w:iCs/>
                      <w:szCs w:val="24"/>
                    </w:rPr>
                    <w:t>mutatis mutandis</w:t>
                  </w:r>
                  <w:r>
                    <w:rPr>
                      <w:szCs w:val="24"/>
                    </w:rPr>
                    <w:t xml:space="preserve"> vadovautis Aprašo nuostatomis valdant ir kitus nei Apraše nurodytus projektus;</w:t>
                  </w:r>
                </w:p>
              </w:sdtContent>
            </w:sdt>
            <w:sdt>
              <w:sdtPr>
                <w:alias w:val="2.2 pp."/>
                <w:tag w:val="part_20c749fdd65f4e519aebb19d2f45c134"/>
                <w:lock w:val="sdtLocked"/>
                <w:richText/>
              </w:sdtPr>
              <w:sdtContent>
                <w:p w14:paraId="6FA0109E" w14:textId="77777777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uppressAutoHyphens/>
                    <w:spacing w:line="360" w:lineRule="auto"/>
                    <w:ind w:firstLine="567"/>
                    <w:jc w:val="both"/>
                    <w:textAlignment w:val="center"/>
                    <w:rPr>
                      <w:szCs w:val="24"/>
                    </w:rPr>
                  </w:pPr>
                  <w:sdt>
                    <w:sdtPr>
                      <w:alias w:val="Numeris"/>
                      <w:tag w:val="nr_20c749fdd65f4e519aebb19d2f45c134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</w:rPr>
                    <w:t xml:space="preserve">. Vyriausybei neatskaitingoms institucijoms ir įstaigoms </w:t>
                  </w:r>
                  <w:r>
                    <w:rPr>
                      <w:i/>
                      <w:iCs/>
                      <w:szCs w:val="24"/>
                    </w:rPr>
                    <w:t>mutatis mutandis</w:t>
                  </w:r>
                  <w:r>
                    <w:rPr>
                      <w:szCs w:val="24"/>
                    </w:rPr>
                    <w:t xml:space="preserve"> vadovautis Aprašo nuostatomis valdant projektus, įgyvendinančius jų strateginius tikslus arba veiklos prioritetus, nurodytus strateginio planavimo dokumentuose.</w:t>
                  </w:r>
                </w:p>
                <w:p w14:paraId="6AAA5D87" w14:textId="77777777">
                  <w:pPr>
                    <w:spacing w:line="360" w:lineRule="auto"/>
                    <w:ind w:firstLine="851"/>
                    <w:jc w:val="both"/>
                    <w:rPr>
                      <w:rFonts w:eastAsia="Calibri"/>
                      <w:i/>
                      <w:iCs/>
                      <w:szCs w:val="24"/>
                    </w:rPr>
                  </w:pPr>
                </w:p>
                <w:p w14:paraId="24D3060C" w14:textId="77777777">
                  <w:pPr>
                    <w:widowControl w:val="0"/>
                    <w:shd w:val="clear" w:color="auto" w:fill="FFFFFF"/>
                    <w:tabs>
                      <w:tab w:val="left" w:pos="993"/>
                    </w:tabs>
                    <w:suppressAutoHyphens/>
                    <w:spacing w:line="360" w:lineRule="auto"/>
                    <w:ind w:firstLine="567"/>
                    <w:jc w:val="both"/>
                    <w:textAlignment w:val="center"/>
                    <w:rPr>
                      <w:szCs w:val="24"/>
                      <w:lang w:val="en-GB"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a3eacc8b544e41c79d0938810c2cc57c"/>
            <w:lock w:val="sdtLocked"/>
            <w:richText/>
          </w:sdtPr>
          <w:sdtContent>
            <w:p w14:paraId="4E9BB374" w14:textId="77777777">
              <w:pPr>
                <w:shd w:val="clear" w:color="auto" w:fill="FFFFFF"/>
                <w:tabs>
                  <w:tab w:val="center" w:pos="-7800"/>
                  <w:tab w:val="left" w:pos="6237"/>
                  <w:tab w:val="right" w:pos="8306"/>
                </w:tabs>
                <w:spacing w:line="360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Ministras Pirmininkas </w:t>
              </w:r>
            </w:p>
            <w:p w14:paraId="464052B7" w14:textId="77777777">
              <w:pPr>
                <w:shd w:val="clear" w:color="auto" w:fill="FFFFFF"/>
                <w:tabs>
                  <w:tab w:val="center" w:pos="-7800"/>
                  <w:tab w:val="left" w:pos="6237"/>
                  <w:tab w:val="right" w:pos="8306"/>
                </w:tabs>
                <w:spacing w:line="360" w:lineRule="auto"/>
                <w:rPr>
                  <w:szCs w:val="24"/>
                  <w:lang w:eastAsia="lt-LT"/>
                </w:rPr>
              </w:pPr>
            </w:p>
            <w:p w14:paraId="2CB20DB3" w14:textId="77777777">
              <w:pPr>
                <w:shd w:val="clear" w:color="auto" w:fill="FFFFFF"/>
                <w:tabs>
                  <w:tab w:val="center" w:pos="-7800"/>
                  <w:tab w:val="left" w:pos="6237"/>
                  <w:tab w:val="right" w:pos="8306"/>
                </w:tabs>
                <w:spacing w:line="360" w:lineRule="auto"/>
                <w:rPr>
                  <w:szCs w:val="24"/>
                  <w:lang w:eastAsia="lt-LT"/>
                </w:rPr>
              </w:pPr>
            </w:p>
            <w:p w14:paraId="45C44FFD" w14:textId="77777777">
              <w:pPr>
                <w:shd w:val="clear" w:color="auto" w:fill="FFFFFF"/>
                <w:tabs>
                  <w:tab w:val="center" w:pos="-7800"/>
                  <w:tab w:val="left" w:pos="6237"/>
                  <w:tab w:val="right" w:pos="8306"/>
                </w:tabs>
                <w:spacing w:line="360" w:lineRule="auto"/>
                <w:rPr>
                  <w:szCs w:val="24"/>
                  <w:lang w:eastAsia="lt-LT"/>
                </w:rPr>
              </w:pPr>
            </w:p>
            <w:p w14:paraId="2A8EA61B" w14:textId="7B817D0B">
              <w:r>
                <w:rPr>
                  <w:szCs w:val="24"/>
                  <w:lang w:eastAsia="lt-LT"/>
                </w:rPr>
                <w:t>Vidaus reikalų ministrė</w:t>
              </w: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A0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f571b4c52874f3c9260d95f0e11e71a" PartId="2c5b5bc902614c4589c060696c5d2a27">
    <Part Type="preambule" DocPartId="f806c74bda484ee99a669032bf05735c" PartId="ad8cd53c69184a938944beb7809f62a5"/>
    <Part Type="punktas" Nr="1" Abbr="1 p." DocPartId="655c9040114c4f78bd41bb593d39c64f" PartId="61f5a3455fc74ce1b2f805e7b9a2435f"/>
    <Part Type="punktas" Nr="2" Abbr="2 p." DocPartId="5b65fc527e4d4b0b9ac82a6b55f90991" PartId="8a20d22654d94086970a0b575f91253a">
      <Part Type="papunktis" Nr="2.1" Abbr="2.1 pp." DocPartId="02be62774ccc4005875bd62061ee9a5f" PartId="e966ae29ad2f4dbdb2dda5b4d35e3cd0"/>
      <Part Type="papunktis" Nr="2.2" Abbr="2.2 pp." DocPartId="044981d2b4b64b269ea9868e23642622" PartId="20c749fdd65f4e519aebb19d2f45c134"/>
    </Part>
    <Part Type="signatura" DocPartId="1374635a00a442e08f229ba3f23e3d2f" PartId="a3eacc8b544e41c79d0938810c2cc57c"/>
  </Part>
</Parts>
</file>

<file path=customXml/itemProps1.xml><?xml version="1.0" encoding="utf-8"?>
<ds:datastoreItem xmlns:ds="http://schemas.openxmlformats.org/officeDocument/2006/customXml" ds:itemID="{037CCAE3-4C9B-4387-BEB8-D623F89D8E7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918</Characters>
  <Application>Microsoft Office Word</Application>
  <DocSecurity>4</DocSecurity>
  <Lines>30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2020-06-18T13:20:00Z</dcterms:created>
  <dc:creator>Jurgita Bražinskienė</dc:creator>
  <cp:lastModifiedBy>Asseco</cp:lastModifiedBy>
  <dcterms:modified xsi:type="dcterms:W3CDTF">2020-06-18T13:20:00Z</dcterms:modified>
  <cp:revision>2</cp:revision>
</cp:coreProperties>
</file>