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0F" w:rsidRPr="00EB583D" w:rsidRDefault="00F36C0F" w:rsidP="00F36C0F">
      <w:pPr>
        <w:rPr>
          <w:b/>
          <w:caps/>
        </w:rPr>
      </w:pPr>
      <w:r w:rsidRPr="00EB583D">
        <w:rPr>
          <w:b/>
          <w:lang w:eastAsia="en-US"/>
        </w:rPr>
        <w:t xml:space="preserve">LIETUVOS RESPUBLIKOS </w:t>
      </w:r>
      <w:r w:rsidRPr="00EB583D">
        <w:rPr>
          <w:b/>
          <w:caps/>
        </w:rPr>
        <w:t>VyriausybėS nutarimO</w:t>
      </w:r>
    </w:p>
    <w:p w:rsidR="00F36C0F" w:rsidRPr="00DE6FA2" w:rsidRDefault="00F36C0F" w:rsidP="00F36C0F">
      <w:pPr>
        <w:tabs>
          <w:tab w:val="left" w:pos="284"/>
          <w:tab w:val="left" w:pos="426"/>
          <w:tab w:val="left" w:pos="709"/>
          <w:tab w:val="left" w:pos="993"/>
        </w:tabs>
        <w:rPr>
          <w:b/>
        </w:rPr>
      </w:pPr>
      <w:r w:rsidRPr="00FC48C5">
        <w:rPr>
          <w:b/>
        </w:rPr>
        <w:t>„</w:t>
      </w:r>
      <w:r w:rsidRPr="00702A9E">
        <w:rPr>
          <w:b/>
        </w:rPr>
        <w:t>DĖL MOKYMO LĖŠŲ APSKAIČIAVIMO, PASKIRSTYMO IR PANAUDOJIMO TVARKOS APRAŠO PATVIRTINIMO</w:t>
      </w:r>
      <w:r w:rsidRPr="00FC48C5">
        <w:rPr>
          <w:b/>
        </w:rPr>
        <w:t>“ PROJEKTO</w:t>
      </w:r>
    </w:p>
    <w:p w:rsidR="00F36C0F" w:rsidRPr="00EB583D" w:rsidRDefault="00F36C0F" w:rsidP="00F36C0F">
      <w:pPr>
        <w:rPr>
          <w:b/>
        </w:rPr>
      </w:pPr>
      <w:r w:rsidRPr="00EB583D">
        <w:rPr>
          <w:b/>
          <w:caps/>
        </w:rPr>
        <w:t>DERINIMO PAŽYMA</w:t>
      </w:r>
    </w:p>
    <w:p w:rsidR="00F36C0F" w:rsidRPr="00EB583D" w:rsidRDefault="00F36C0F" w:rsidP="00F36C0F">
      <w:pPr>
        <w:jc w:val="left"/>
        <w:rPr>
          <w:b/>
          <w:caps/>
        </w:rPr>
      </w:pPr>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6636"/>
        <w:gridCol w:w="7022"/>
      </w:tblGrid>
      <w:tr w:rsidR="00F36C0F" w:rsidRPr="00EB583D" w:rsidTr="00E56D62">
        <w:trPr>
          <w:trHeight w:val="1207"/>
          <w:jc w:val="center"/>
        </w:trPr>
        <w:tc>
          <w:tcPr>
            <w:tcW w:w="546" w:type="pct"/>
          </w:tcPr>
          <w:p w:rsidR="00F36C0F" w:rsidRPr="00EB583D" w:rsidRDefault="00F36C0F" w:rsidP="00E56D62">
            <w:pPr>
              <w:rPr>
                <w:b/>
              </w:rPr>
            </w:pPr>
            <w:r>
              <w:rPr>
                <w:b/>
                <w:bCs/>
              </w:rPr>
              <w:t>Institucijos pavadinimas</w:t>
            </w:r>
            <w:r w:rsidRPr="00EB583D">
              <w:rPr>
                <w:b/>
                <w:bCs/>
              </w:rPr>
              <w:t>, rašto data ir numeris</w:t>
            </w:r>
          </w:p>
        </w:tc>
        <w:tc>
          <w:tcPr>
            <w:tcW w:w="2164" w:type="pct"/>
          </w:tcPr>
          <w:p w:rsidR="00F36C0F" w:rsidRPr="00EB583D" w:rsidRDefault="00F36C0F" w:rsidP="00E56D62">
            <w:pPr>
              <w:rPr>
                <w:b/>
                <w:bCs/>
              </w:rPr>
            </w:pPr>
          </w:p>
          <w:p w:rsidR="00F36C0F" w:rsidRPr="00EB583D" w:rsidRDefault="00F36C0F" w:rsidP="00E56D62">
            <w:pPr>
              <w:rPr>
                <w:b/>
              </w:rPr>
            </w:pPr>
            <w:r w:rsidRPr="00EB583D">
              <w:rPr>
                <w:b/>
                <w:bCs/>
              </w:rPr>
              <w:t>Pastabos ir pasiūlymai</w:t>
            </w:r>
          </w:p>
        </w:tc>
        <w:tc>
          <w:tcPr>
            <w:tcW w:w="2290" w:type="pct"/>
          </w:tcPr>
          <w:p w:rsidR="00F36C0F" w:rsidRPr="00EB583D" w:rsidRDefault="00F36C0F" w:rsidP="00E56D62">
            <w:pPr>
              <w:rPr>
                <w:b/>
                <w:bCs/>
              </w:rPr>
            </w:pPr>
          </w:p>
          <w:p w:rsidR="00F36C0F" w:rsidRPr="0049048C" w:rsidRDefault="00F36C0F" w:rsidP="00E56D62">
            <w:pPr>
              <w:rPr>
                <w:b/>
                <w:bCs/>
              </w:rPr>
            </w:pPr>
            <w:r w:rsidRPr="00EB583D">
              <w:rPr>
                <w:b/>
                <w:bCs/>
              </w:rPr>
              <w:t>Žyma apie pastabas ir pasiūlymus, į kuriuos neatsižvelgta</w:t>
            </w:r>
            <w:r>
              <w:rPr>
                <w:b/>
                <w:bCs/>
              </w:rPr>
              <w:t xml:space="preserve"> arba atsižvelgta iš dalies</w:t>
            </w:r>
          </w:p>
        </w:tc>
      </w:tr>
      <w:tr w:rsidR="00F36C0F" w:rsidRPr="00EB583D" w:rsidTr="00E56D62">
        <w:trPr>
          <w:trHeight w:val="701"/>
          <w:jc w:val="center"/>
        </w:trPr>
        <w:tc>
          <w:tcPr>
            <w:tcW w:w="546" w:type="pct"/>
            <w:vMerge w:val="restart"/>
          </w:tcPr>
          <w:p w:rsidR="00F36C0F" w:rsidRPr="00EB583D" w:rsidRDefault="00F36C0F" w:rsidP="00E56D62">
            <w:pPr>
              <w:jc w:val="left"/>
              <w:rPr>
                <w:bCs/>
              </w:rPr>
            </w:pPr>
            <w:r w:rsidRPr="00EB583D">
              <w:rPr>
                <w:bCs/>
              </w:rPr>
              <w:t xml:space="preserve">Lietuvos </w:t>
            </w:r>
            <w:r>
              <w:rPr>
                <w:bCs/>
              </w:rPr>
              <w:t>savivaldybių asociacija 2018-07-04 raštas Nr. (13)-SD-394</w:t>
            </w:r>
          </w:p>
          <w:p w:rsidR="00F36C0F" w:rsidRPr="00EB583D" w:rsidRDefault="00F36C0F" w:rsidP="00E56D62">
            <w:pPr>
              <w:jc w:val="left"/>
              <w:rPr>
                <w:bCs/>
              </w:rPr>
            </w:pPr>
          </w:p>
        </w:tc>
        <w:tc>
          <w:tcPr>
            <w:tcW w:w="2164" w:type="pct"/>
          </w:tcPr>
          <w:p w:rsidR="00F36C0F" w:rsidRPr="00A03743" w:rsidRDefault="00F36C0F" w:rsidP="00E56D62">
            <w:pPr>
              <w:pStyle w:val="Sraopastraipa"/>
              <w:tabs>
                <w:tab w:val="left" w:pos="1134"/>
              </w:tabs>
              <w:ind w:left="0" w:firstLine="539"/>
              <w:jc w:val="both"/>
              <w:rPr>
                <w:color w:val="000000"/>
                <w:szCs w:val="24"/>
                <w:lang w:eastAsia="lt-LT"/>
              </w:rPr>
            </w:pPr>
            <w:r>
              <w:rPr>
                <w:szCs w:val="24"/>
              </w:rPr>
              <w:t>1. Nepritariama</w:t>
            </w:r>
            <w:r w:rsidRPr="00A03743">
              <w:rPr>
                <w:szCs w:val="24"/>
              </w:rPr>
              <w:t xml:space="preserve"> Aprašo 1 priedo 1.1. papunk</w:t>
            </w:r>
            <w:r>
              <w:rPr>
                <w:szCs w:val="24"/>
              </w:rPr>
              <w:t>čio</w:t>
            </w:r>
            <w:r w:rsidRPr="00A03743">
              <w:rPr>
                <w:szCs w:val="24"/>
              </w:rPr>
              <w:t xml:space="preserve"> ugdymo procesui organizuoti ir valdyti siūlomiems ugdymo reikmių koeficientams (BD dydžiams) ir mokymo lėšų nustatymo eurais vienam mokiniui nustatymo principui, nes: </w:t>
            </w:r>
          </w:p>
          <w:p w:rsidR="00F36C0F" w:rsidRPr="004869C2" w:rsidRDefault="00F36C0F" w:rsidP="00E56D62">
            <w:pPr>
              <w:pStyle w:val="Sraopastraipa"/>
              <w:tabs>
                <w:tab w:val="left" w:pos="1134"/>
              </w:tabs>
              <w:ind w:left="0" w:firstLine="539"/>
              <w:jc w:val="both"/>
              <w:rPr>
                <w:color w:val="000000"/>
                <w:szCs w:val="24"/>
                <w:lang w:eastAsia="lt-LT"/>
              </w:rPr>
            </w:pPr>
            <w:r w:rsidRPr="004869C2">
              <w:rPr>
                <w:szCs w:val="24"/>
              </w:rPr>
              <w:t>1) siūlomi dydžiai mažesni, nei yra dabar (10, o kai kurioms mokykloms 13 proc.), todėl nebus galima padengti visų ugdymo procesui organizuoti ir valdyti poreikių. Sumažinus skiriamas lėšas</w:t>
            </w:r>
            <w:r w:rsidRPr="004869C2">
              <w:rPr>
                <w:color w:val="000000"/>
                <w:szCs w:val="24"/>
                <w:lang w:eastAsia="lt-LT"/>
              </w:rPr>
              <w:t>, nuo š. m. rugsėjo 1 d., kai kuriose mokyklose nebebus galima turėti net direktoriaus pilno etato. Optimizuoti mokyklų tinklą ir atleisti mokyklų vadovus, pavaduotojus likus pusantro mėnesio iki mokslo metų pradžios neįmanoma, tai bus galima padaryti tik nuo kitų mokslo metų, t. y. nuo 2019 m. rugsėjo 1 d.;</w:t>
            </w:r>
          </w:p>
          <w:p w:rsidR="00F36C0F" w:rsidRDefault="00F36C0F" w:rsidP="00E56D62">
            <w:pPr>
              <w:pStyle w:val="Sraopastraipa"/>
              <w:tabs>
                <w:tab w:val="left" w:pos="1134"/>
              </w:tabs>
              <w:ind w:left="0" w:firstLine="539"/>
              <w:jc w:val="both"/>
              <w:rPr>
                <w:szCs w:val="24"/>
              </w:rPr>
            </w:pPr>
            <w:r w:rsidRPr="004869C2">
              <w:rPr>
                <w:color w:val="000000"/>
                <w:szCs w:val="24"/>
                <w:lang w:eastAsia="lt-LT"/>
              </w:rPr>
              <w:t xml:space="preserve">2) </w:t>
            </w:r>
            <w:r w:rsidRPr="004869C2">
              <w:rPr>
                <w:szCs w:val="24"/>
              </w:rPr>
              <w:t>ugdymo</w:t>
            </w:r>
            <w:r>
              <w:rPr>
                <w:szCs w:val="24"/>
              </w:rPr>
              <w:t xml:space="preserve"> procesui organizuoti ir valdyti lėšas susieti su mokinių skaičiumi </w:t>
            </w:r>
            <w:r w:rsidRPr="00141F52">
              <w:rPr>
                <w:szCs w:val="24"/>
              </w:rPr>
              <w:t>neteisinga, nes ugdymui lėšas numatoma didinti, o mokinių skaičius nuolat</w:t>
            </w:r>
            <w:r>
              <w:rPr>
                <w:szCs w:val="24"/>
              </w:rPr>
              <w:t xml:space="preserve"> mažėja. </w:t>
            </w:r>
          </w:p>
          <w:p w:rsidR="00F36C0F" w:rsidRPr="004B5532" w:rsidRDefault="00F36C0F" w:rsidP="00E56D62">
            <w:pPr>
              <w:pStyle w:val="Sraopastraipa"/>
              <w:tabs>
                <w:tab w:val="left" w:pos="1134"/>
              </w:tabs>
              <w:ind w:left="0" w:firstLine="539"/>
              <w:jc w:val="both"/>
            </w:pPr>
            <w:r>
              <w:rPr>
                <w:szCs w:val="24"/>
              </w:rPr>
              <w:t xml:space="preserve">Todėl siūloma ugdymo procesui organizuoti ir valdyti numatyti 10 proc. nuo ugdymui skirtų lėšų </w:t>
            </w:r>
            <w:r w:rsidRPr="00A77AA0">
              <w:rPr>
                <w:szCs w:val="24"/>
              </w:rPr>
              <w:t>sumą.</w:t>
            </w:r>
          </w:p>
        </w:tc>
        <w:tc>
          <w:tcPr>
            <w:tcW w:w="2290" w:type="pct"/>
            <w:shd w:val="clear" w:color="auto" w:fill="auto"/>
          </w:tcPr>
          <w:p w:rsidR="00F36C0F" w:rsidRPr="009C7FA2" w:rsidRDefault="00F36C0F" w:rsidP="00E56D62">
            <w:pPr>
              <w:jc w:val="left"/>
            </w:pPr>
            <w:r>
              <w:rPr>
                <w:b/>
              </w:rPr>
              <w:t xml:space="preserve">Neatsižvelgta. </w:t>
            </w:r>
            <w:r>
              <w:t>Aprašo projekte n</w:t>
            </w:r>
            <w:r w:rsidRPr="009C7FA2">
              <w:t xml:space="preserve">urodytoji lėšų norma (130 </w:t>
            </w:r>
            <w:proofErr w:type="spellStart"/>
            <w:r w:rsidRPr="009C7FA2">
              <w:t>Eur</w:t>
            </w:r>
            <w:proofErr w:type="spellEnd"/>
            <w:r w:rsidRPr="009C7FA2">
              <w:t>) yra apskaičiuota atsižvelgiant į dabar šiam tikslui skiriamą lėšų sumą (pagal M</w:t>
            </w:r>
            <w:r>
              <w:t xml:space="preserve">okinio krepšelio lėšų apskaičiavimo ir paskirstymo </w:t>
            </w:r>
            <w:r w:rsidRPr="009C7FA2">
              <w:t xml:space="preserve">metodiką administravimui leidžiama naudoti ne daugiau kaip 10% nuo ugdymo plano lėšų; tam skiriama apie 50 mln. </w:t>
            </w:r>
            <w:proofErr w:type="spellStart"/>
            <w:r w:rsidRPr="009C7FA2">
              <w:t>Eur</w:t>
            </w:r>
            <w:proofErr w:type="spellEnd"/>
            <w:r w:rsidRPr="009C7FA2">
              <w:t>) ir ji nėra mažinama, todėl nėra pagrindo teigti, kad lėšų pritruks.</w:t>
            </w:r>
          </w:p>
          <w:p w:rsidR="00F36C0F" w:rsidRPr="009C7FA2" w:rsidRDefault="00F36C0F" w:rsidP="00E56D62">
            <w:pPr>
              <w:jc w:val="both"/>
              <w:rPr>
                <w:b/>
              </w:rPr>
            </w:pPr>
            <w:r w:rsidRPr="009C7FA2">
              <w:t>Mažėjant mokinių skaičiui, turi būti peržiūrimas ir mokyklų tinklas, todėl administravimo lėšų susiejimas su mokinių skaičiumi yra pagrįstas.</w:t>
            </w:r>
          </w:p>
        </w:tc>
      </w:tr>
      <w:tr w:rsidR="00F36C0F" w:rsidRPr="00EB583D" w:rsidTr="00E56D62">
        <w:trPr>
          <w:trHeight w:val="701"/>
          <w:jc w:val="center"/>
        </w:trPr>
        <w:tc>
          <w:tcPr>
            <w:tcW w:w="546" w:type="pct"/>
            <w:vMerge/>
          </w:tcPr>
          <w:p w:rsidR="00F36C0F" w:rsidRPr="00EB583D" w:rsidRDefault="00F36C0F" w:rsidP="00E56D62">
            <w:pPr>
              <w:jc w:val="left"/>
              <w:rPr>
                <w:bCs/>
              </w:rPr>
            </w:pPr>
          </w:p>
        </w:tc>
        <w:tc>
          <w:tcPr>
            <w:tcW w:w="2164" w:type="pct"/>
          </w:tcPr>
          <w:p w:rsidR="00F36C0F" w:rsidRDefault="00F36C0F" w:rsidP="00E56D62">
            <w:pPr>
              <w:pStyle w:val="Sraopastraipa"/>
              <w:tabs>
                <w:tab w:val="left" w:pos="1134"/>
              </w:tabs>
              <w:ind w:left="0" w:firstLine="539"/>
              <w:jc w:val="both"/>
              <w:rPr>
                <w:szCs w:val="24"/>
              </w:rPr>
            </w:pPr>
            <w:r>
              <w:rPr>
                <w:szCs w:val="24"/>
              </w:rPr>
              <w:t>2. Siūloma</w:t>
            </w:r>
            <w:r w:rsidRPr="00141F52">
              <w:rPr>
                <w:szCs w:val="24"/>
              </w:rPr>
              <w:t xml:space="preserve"> didinti </w:t>
            </w:r>
            <w:r w:rsidRPr="00A77AA0">
              <w:rPr>
                <w:szCs w:val="24"/>
              </w:rPr>
              <w:t xml:space="preserve">Aprašo 1 priedo </w:t>
            </w:r>
            <w:r w:rsidRPr="00141F52">
              <w:rPr>
                <w:szCs w:val="24"/>
              </w:rPr>
              <w:t xml:space="preserve">1.2.1. papunkčio pedagoginei psichologinei pagalbai </w:t>
            </w:r>
            <w:r w:rsidRPr="00A77AA0">
              <w:rPr>
                <w:szCs w:val="24"/>
              </w:rPr>
              <w:t>organizuoti</w:t>
            </w:r>
            <w:r w:rsidRPr="00141F52">
              <w:rPr>
                <w:szCs w:val="24"/>
              </w:rPr>
              <w:t xml:space="preserve"> lėšas 1 mok. iki 11,31 EUR</w:t>
            </w:r>
            <w:r>
              <w:rPr>
                <w:szCs w:val="24"/>
              </w:rPr>
              <w:t>. P</w:t>
            </w:r>
            <w:r w:rsidRPr="00141F52">
              <w:rPr>
                <w:szCs w:val="24"/>
              </w:rPr>
              <w:t xml:space="preserve">edagoginei psichologinei </w:t>
            </w:r>
            <w:r w:rsidRPr="00A77AA0">
              <w:rPr>
                <w:szCs w:val="24"/>
              </w:rPr>
              <w:t>pagalbai organizuoti būtina didinti lėšas, nes priimti teisės aktai dėl smurto ir patyčių prevencijos ir kt., kaip tik reikalauja daugiau žmo</w:t>
            </w:r>
            <w:r>
              <w:rPr>
                <w:szCs w:val="24"/>
              </w:rPr>
              <w:t>giškųjų ir finansinių išteklių.</w:t>
            </w:r>
          </w:p>
        </w:tc>
        <w:tc>
          <w:tcPr>
            <w:tcW w:w="2290" w:type="pct"/>
          </w:tcPr>
          <w:p w:rsidR="00F36C0F" w:rsidRPr="00F8154C" w:rsidRDefault="00F36C0F" w:rsidP="00E56D62">
            <w:pPr>
              <w:jc w:val="both"/>
            </w:pPr>
            <w:r>
              <w:rPr>
                <w:b/>
              </w:rPr>
              <w:t>Neatsižvelgta.</w:t>
            </w:r>
            <w:r>
              <w:t xml:space="preserve"> Aprašo projekte palikta ta pati lėšų norma, kokia buvo nustatyta Eksperimentinėje mokymo lėšų apskaičiavimo ir paskirstymo metodikoje (10,31 </w:t>
            </w:r>
            <w:proofErr w:type="spellStart"/>
            <w:r>
              <w:t>Eur</w:t>
            </w:r>
            <w:proofErr w:type="spellEnd"/>
            <w:r>
              <w:t xml:space="preserve">). Jai padidinti prireiktų papildomų lėšų (apie 0,45 mln. </w:t>
            </w:r>
            <w:proofErr w:type="spellStart"/>
            <w:r>
              <w:t>Eur</w:t>
            </w:r>
            <w:proofErr w:type="spellEnd"/>
            <w:r>
              <w:t>), kurios nėra numatytos.</w:t>
            </w:r>
          </w:p>
        </w:tc>
      </w:tr>
      <w:tr w:rsidR="00F36C0F" w:rsidRPr="00EB583D" w:rsidTr="00E56D62">
        <w:trPr>
          <w:trHeight w:val="701"/>
          <w:jc w:val="center"/>
        </w:trPr>
        <w:tc>
          <w:tcPr>
            <w:tcW w:w="546" w:type="pct"/>
            <w:vMerge/>
          </w:tcPr>
          <w:p w:rsidR="00F36C0F" w:rsidRPr="00EB583D" w:rsidRDefault="00F36C0F" w:rsidP="00E56D62">
            <w:pPr>
              <w:jc w:val="left"/>
              <w:rPr>
                <w:bCs/>
              </w:rPr>
            </w:pPr>
          </w:p>
        </w:tc>
        <w:tc>
          <w:tcPr>
            <w:tcW w:w="2164" w:type="pct"/>
          </w:tcPr>
          <w:p w:rsidR="00F36C0F" w:rsidRDefault="00F36C0F" w:rsidP="00E56D62">
            <w:pPr>
              <w:pStyle w:val="Sraopastraipa"/>
              <w:tabs>
                <w:tab w:val="left" w:pos="1134"/>
              </w:tabs>
              <w:ind w:left="0" w:firstLine="539"/>
              <w:jc w:val="both"/>
              <w:rPr>
                <w:szCs w:val="24"/>
              </w:rPr>
            </w:pPr>
            <w:r w:rsidRPr="00141F52">
              <w:rPr>
                <w:szCs w:val="24"/>
              </w:rPr>
              <w:t xml:space="preserve">3. </w:t>
            </w:r>
            <w:r>
              <w:rPr>
                <w:szCs w:val="24"/>
              </w:rPr>
              <w:t>Siūloma</w:t>
            </w:r>
            <w:r w:rsidRPr="00141F52">
              <w:rPr>
                <w:szCs w:val="24"/>
              </w:rPr>
              <w:t xml:space="preserve"> didinti </w:t>
            </w:r>
            <w:r w:rsidRPr="0020788C">
              <w:rPr>
                <w:szCs w:val="24"/>
              </w:rPr>
              <w:t xml:space="preserve">Aprašo 1 priedo </w:t>
            </w:r>
            <w:r w:rsidRPr="00141F52">
              <w:rPr>
                <w:szCs w:val="24"/>
              </w:rPr>
              <w:t xml:space="preserve">1.3. papunkčio mokymosi pasiekimų patikrinimams organizuoti ir vykdyti lėšas skirtas vienam mokiniui iki </w:t>
            </w:r>
            <w:r>
              <w:rPr>
                <w:szCs w:val="24"/>
              </w:rPr>
              <w:t xml:space="preserve">2 </w:t>
            </w:r>
            <w:proofErr w:type="spellStart"/>
            <w:r>
              <w:rPr>
                <w:szCs w:val="24"/>
              </w:rPr>
              <w:t>Eur</w:t>
            </w:r>
            <w:proofErr w:type="spellEnd"/>
            <w:r>
              <w:rPr>
                <w:szCs w:val="24"/>
              </w:rPr>
              <w:t>.</w:t>
            </w:r>
          </w:p>
        </w:tc>
        <w:tc>
          <w:tcPr>
            <w:tcW w:w="2290" w:type="pct"/>
          </w:tcPr>
          <w:p w:rsidR="00F36C0F" w:rsidRPr="00C66134" w:rsidRDefault="00F36C0F" w:rsidP="00E56D62">
            <w:pPr>
              <w:jc w:val="both"/>
              <w:rPr>
                <w:b/>
              </w:rPr>
            </w:pPr>
            <w:r>
              <w:rPr>
                <w:b/>
              </w:rPr>
              <w:t>Neatsižvelgta.</w:t>
            </w:r>
            <w:r>
              <w:t xml:space="preserve"> Aprašo projekte palikta ta pati lėšų norma, kokia buvo nustatyta Eksperimentinėje mokymo lėšų apskaičiavimo ir paskirstymo metodikoje (1,72 </w:t>
            </w:r>
            <w:proofErr w:type="spellStart"/>
            <w:r>
              <w:t>Eur</w:t>
            </w:r>
            <w:proofErr w:type="spellEnd"/>
            <w:r>
              <w:t xml:space="preserve">). Jai padidinti prireiktų papildomų lėšų (apie 0,09 mln. </w:t>
            </w:r>
            <w:proofErr w:type="spellStart"/>
            <w:r>
              <w:t>Eur</w:t>
            </w:r>
            <w:proofErr w:type="spellEnd"/>
            <w:r>
              <w:t>).</w:t>
            </w:r>
          </w:p>
        </w:tc>
      </w:tr>
      <w:tr w:rsidR="00F36C0F" w:rsidRPr="00EB583D" w:rsidTr="00E56D62">
        <w:trPr>
          <w:trHeight w:val="701"/>
          <w:jc w:val="center"/>
        </w:trPr>
        <w:tc>
          <w:tcPr>
            <w:tcW w:w="546" w:type="pct"/>
            <w:vMerge/>
          </w:tcPr>
          <w:p w:rsidR="00F36C0F" w:rsidRPr="00EB583D" w:rsidRDefault="00F36C0F" w:rsidP="00E56D62">
            <w:pPr>
              <w:jc w:val="left"/>
              <w:rPr>
                <w:bCs/>
              </w:rPr>
            </w:pPr>
          </w:p>
        </w:tc>
        <w:tc>
          <w:tcPr>
            <w:tcW w:w="2164" w:type="pct"/>
          </w:tcPr>
          <w:p w:rsidR="00F36C0F" w:rsidRDefault="00F36C0F" w:rsidP="00E56D62">
            <w:pPr>
              <w:pStyle w:val="Sraopastraipa"/>
              <w:tabs>
                <w:tab w:val="left" w:pos="1134"/>
              </w:tabs>
              <w:ind w:left="0" w:firstLine="539"/>
              <w:jc w:val="both"/>
              <w:rPr>
                <w:szCs w:val="24"/>
              </w:rPr>
            </w:pPr>
            <w:r w:rsidRPr="00141F52">
              <w:rPr>
                <w:szCs w:val="24"/>
              </w:rPr>
              <w:t>4. Nepritariam</w:t>
            </w:r>
            <w:r>
              <w:rPr>
                <w:szCs w:val="24"/>
              </w:rPr>
              <w:t>a</w:t>
            </w:r>
            <w:r w:rsidRPr="00141F52">
              <w:rPr>
                <w:szCs w:val="24"/>
              </w:rPr>
              <w:t xml:space="preserve"> Aprašo </w:t>
            </w:r>
            <w:r>
              <w:rPr>
                <w:szCs w:val="24"/>
              </w:rPr>
              <w:t>4 priedo</w:t>
            </w:r>
            <w:r w:rsidRPr="00141F52">
              <w:rPr>
                <w:szCs w:val="24"/>
              </w:rPr>
              <w:t xml:space="preserve"> pirmos pastabos 1) ir 2) papunkčių nuostatoms, nes pagal Vietos savivaldos įstatymą priešmokyklinio ugdymo, bendrojo lavinimo, &gt;...&lt; savivaldybės </w:t>
            </w:r>
            <w:r w:rsidRPr="00141F52">
              <w:rPr>
                <w:szCs w:val="24"/>
              </w:rPr>
              <w:lastRenderedPageBreak/>
              <w:t>teritorijoje gyvenančių vaikų iki 16 metų mokymosi pagal privalomojo švietimo programas užtikrinimas, &lt;...</w:t>
            </w:r>
            <w:r w:rsidRPr="0020788C">
              <w:rPr>
                <w:szCs w:val="24"/>
              </w:rPr>
              <w:t xml:space="preserve">, yra </w:t>
            </w:r>
            <w:r w:rsidRPr="00141F52">
              <w:rPr>
                <w:szCs w:val="24"/>
              </w:rPr>
              <w:t xml:space="preserve">valstybinės funkcija, todėl valstybė turi skirti pakankamą finansavimą, o savivaldybei yra paliekama teisė prisidėti, jei yra poreikis. Atkreipiame dėmesį, kad Aprašo projekte keliami reikalavimai savivaldybių taryboms iki 2018 m. lapkričio 1 d. priimti sprendimus dėl prisidėjimo prieštarauja šalies teisės aktams ir savivaldos principams. Dėl galimo savivaldybių prisidėjimo reikia tartis ir tai būtų galima pradėti daryti tik nuo 2019 m. rugsėjo 1 d. Manome, kad savivaldybės iki šios datos galėtų priimti atitinkamus sprendimus. </w:t>
            </w:r>
          </w:p>
          <w:p w:rsidR="00F36C0F" w:rsidRPr="00141F52" w:rsidRDefault="00F36C0F" w:rsidP="00E56D62">
            <w:pPr>
              <w:pStyle w:val="Sraopastraipa"/>
              <w:tabs>
                <w:tab w:val="left" w:pos="1134"/>
              </w:tabs>
              <w:ind w:left="0" w:firstLine="539"/>
              <w:jc w:val="both"/>
              <w:rPr>
                <w:szCs w:val="24"/>
              </w:rPr>
            </w:pPr>
            <w:r w:rsidRPr="00141F52">
              <w:rPr>
                <w:szCs w:val="24"/>
              </w:rPr>
              <w:t>5. Siūlom</w:t>
            </w:r>
            <w:r>
              <w:rPr>
                <w:szCs w:val="24"/>
              </w:rPr>
              <w:t>a</w:t>
            </w:r>
            <w:r w:rsidRPr="00141F52">
              <w:rPr>
                <w:szCs w:val="24"/>
              </w:rPr>
              <w:t xml:space="preserve"> Aprašo 4 priedo lentelės Bendrasis ugdymas stulpelį 9-10 (I-II gimnazijos kl.) ir stulpelį III-IV gimnazijos kl. išskirti į du stulpelius, analogiškai kaip 1-8 kl. ir numatyti sąlyginį klasių (grupi</w:t>
            </w:r>
            <w:r>
              <w:rPr>
                <w:szCs w:val="24"/>
              </w:rPr>
              <w:t>ų) skaičių 0,33 ir 0,5.</w:t>
            </w:r>
          </w:p>
        </w:tc>
        <w:tc>
          <w:tcPr>
            <w:tcW w:w="2290" w:type="pct"/>
          </w:tcPr>
          <w:p w:rsidR="00F36C0F" w:rsidRDefault="00F36C0F" w:rsidP="00E56D62">
            <w:pPr>
              <w:jc w:val="both"/>
            </w:pPr>
            <w:r>
              <w:rPr>
                <w:b/>
              </w:rPr>
              <w:lastRenderedPageBreak/>
              <w:t xml:space="preserve">Atsižvelgta iš dalies. </w:t>
            </w:r>
            <w:r>
              <w:t xml:space="preserve">Numatytas pereinamasis laikotarpis: </w:t>
            </w:r>
          </w:p>
          <w:p w:rsidR="00F36C0F" w:rsidRDefault="00F36C0F" w:rsidP="00E56D62">
            <w:pPr>
              <w:jc w:val="both"/>
            </w:pPr>
            <w:r>
              <w:t xml:space="preserve">1) lėšos ugdymo planui įgyvendinti 2018–2019 mokslo metams nepilnoms </w:t>
            </w:r>
            <w:r w:rsidRPr="00141F52">
              <w:t>9-10 (I-II gimnazijos kl.) ir III-IV gimnazijos kl.</w:t>
            </w:r>
            <w:r>
              <w:t xml:space="preserve"> bus </w:t>
            </w:r>
            <w:r>
              <w:lastRenderedPageBreak/>
              <w:t>skaičiuojamos, priskiriant po 0,33 arba 0,5 sąlyginio klasių skaičiaus be sąlygos savivaldybėms prisidėti savo lėšomis (atsižvelgta į LSA 5 punkte pateiktą pasiūlymą);</w:t>
            </w:r>
          </w:p>
          <w:p w:rsidR="00F36C0F" w:rsidRDefault="00F36C0F" w:rsidP="00E56D62">
            <w:pPr>
              <w:jc w:val="both"/>
            </w:pPr>
            <w:r>
              <w:t xml:space="preserve">2) nuo 2019–2020 mokslo metų dalinis finansavimas (0,33 arba 0,5)   1-8 kl. bus skiriamas tik su sąlyga, jei savivaldybės pridės prie viso klasės komplekto finansavimo trūkstamą lėšų dalį, o </w:t>
            </w:r>
            <w:r w:rsidRPr="00141F52">
              <w:t>9-10 (I-II gimnazijos kl.) ir III-IV gimnazijos kl.</w:t>
            </w:r>
            <w:r>
              <w:t>, kuriose mokinių skaičius nesieks minimalaus, finansavimas iš valstybės biudžeto nebus skiriamas (išskyrus 4 priedo 2 ir 3 išnašose nurodytas išimtis).</w:t>
            </w:r>
          </w:p>
          <w:p w:rsidR="00F36C0F" w:rsidRPr="001B1D13" w:rsidRDefault="00F36C0F" w:rsidP="00E56D62">
            <w:pPr>
              <w:jc w:val="both"/>
            </w:pPr>
            <w:r>
              <w:t xml:space="preserve"> </w:t>
            </w:r>
          </w:p>
        </w:tc>
      </w:tr>
      <w:tr w:rsidR="00F36C0F" w:rsidRPr="00EB583D" w:rsidTr="00E56D62">
        <w:trPr>
          <w:trHeight w:val="407"/>
          <w:jc w:val="center"/>
        </w:trPr>
        <w:tc>
          <w:tcPr>
            <w:tcW w:w="546" w:type="pct"/>
            <w:vMerge/>
          </w:tcPr>
          <w:p w:rsidR="00F36C0F" w:rsidRPr="00EB583D" w:rsidRDefault="00F36C0F" w:rsidP="00E56D62">
            <w:pPr>
              <w:jc w:val="left"/>
              <w:rPr>
                <w:bCs/>
              </w:rPr>
            </w:pPr>
          </w:p>
        </w:tc>
        <w:tc>
          <w:tcPr>
            <w:tcW w:w="2164" w:type="pct"/>
          </w:tcPr>
          <w:p w:rsidR="00F36C0F" w:rsidRPr="00141F52" w:rsidRDefault="00F36C0F" w:rsidP="00E56D62">
            <w:pPr>
              <w:pStyle w:val="Sraopastraipa"/>
              <w:tabs>
                <w:tab w:val="left" w:pos="1134"/>
              </w:tabs>
              <w:ind w:left="0" w:firstLine="539"/>
              <w:jc w:val="both"/>
              <w:rPr>
                <w:szCs w:val="24"/>
              </w:rPr>
            </w:pPr>
            <w:r>
              <w:rPr>
                <w:szCs w:val="24"/>
              </w:rPr>
              <w:t xml:space="preserve">6. </w:t>
            </w:r>
            <w:r w:rsidRPr="00141F52">
              <w:rPr>
                <w:szCs w:val="24"/>
              </w:rPr>
              <w:t>Siūlom</w:t>
            </w:r>
            <w:r>
              <w:rPr>
                <w:szCs w:val="24"/>
              </w:rPr>
              <w:t>a</w:t>
            </w:r>
            <w:r w:rsidRPr="00141F52">
              <w:rPr>
                <w:szCs w:val="24"/>
              </w:rPr>
              <w:t xml:space="preserve"> </w:t>
            </w:r>
            <w:r>
              <w:rPr>
                <w:szCs w:val="24"/>
              </w:rPr>
              <w:t>p</w:t>
            </w:r>
            <w:r w:rsidRPr="00141F52">
              <w:rPr>
                <w:szCs w:val="24"/>
              </w:rPr>
              <w:t>akeisti Aprašo 5 priedo lentelės 5.5. papunkčio Sanatorijų mokyklose (klasėse) skirtose mokiniams, sergantiems įvairių formų tuberkulioze bazinį klasės dydį nuo 20 sumažinti iki 10, nes tai yra sergantys ir turintys spec. poreikių mokiniai.</w:t>
            </w:r>
          </w:p>
        </w:tc>
        <w:tc>
          <w:tcPr>
            <w:tcW w:w="2290" w:type="pct"/>
          </w:tcPr>
          <w:p w:rsidR="00F36C0F" w:rsidRPr="00813ADB" w:rsidRDefault="00F36C0F" w:rsidP="00E56D62">
            <w:pPr>
              <w:jc w:val="both"/>
            </w:pPr>
            <w:r>
              <w:rPr>
                <w:b/>
              </w:rPr>
              <w:t xml:space="preserve">Atsižvelgta iš dalies. </w:t>
            </w:r>
            <w:r>
              <w:t>Bazinis klasės dydis sumažintas iki 16. Manome, kad dar labiau mažinti klasės dydį sanatorijų mokyklose (klasėse) nėra pagrindo.</w:t>
            </w:r>
          </w:p>
        </w:tc>
      </w:tr>
    </w:tbl>
    <w:p w:rsidR="00F36C0F" w:rsidRDefault="00F36C0F" w:rsidP="00F36C0F">
      <w:pPr>
        <w:jc w:val="both"/>
      </w:pPr>
    </w:p>
    <w:p w:rsidR="00F36C0F" w:rsidRPr="0036521A" w:rsidRDefault="00F36C0F" w:rsidP="00F36C0F">
      <w:r w:rsidRPr="0036521A">
        <w:t>_________________________</w:t>
      </w:r>
    </w:p>
    <w:p w:rsidR="0056717A" w:rsidRDefault="0056717A">
      <w:bookmarkStart w:id="0" w:name="_GoBack"/>
      <w:bookmarkEnd w:id="0"/>
    </w:p>
    <w:sectPr w:rsidR="0056717A" w:rsidSect="00036986">
      <w:headerReference w:type="even" r:id="rId4"/>
      <w:headerReference w:type="default" r:id="rId5"/>
      <w:pgSz w:w="16838" w:h="11906" w:orient="landscape" w:code="9"/>
      <w:pgMar w:top="851" w:right="1134" w:bottom="284" w:left="1134" w:header="454"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F36C0F"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1BE5" w:rsidRDefault="00F36C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12" w:rsidRDefault="00F36C0F">
    <w:pPr>
      <w:pStyle w:val="Antrats"/>
    </w:pPr>
    <w:r>
      <w:fldChar w:fldCharType="begin"/>
    </w:r>
    <w:r>
      <w:instrText>PAGE   \* MERGEFORMAT</w:instrText>
    </w:r>
    <w:r>
      <w:fldChar w:fldCharType="separate"/>
    </w:r>
    <w:r w:rsidRPr="00F36C0F">
      <w:rPr>
        <w:noProof/>
        <w:lang w:val="lt-LT"/>
      </w:rPr>
      <w:t>2</w:t>
    </w:r>
    <w:r>
      <w:fldChar w:fldCharType="end"/>
    </w:r>
  </w:p>
  <w:p w:rsidR="00251BE5" w:rsidRDefault="00F36C0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F"/>
    <w:rsid w:val="0056717A"/>
    <w:rsid w:val="00F36C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1257-B9AE-41A7-9470-E4C377DB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C0F"/>
    <w:pPr>
      <w:spacing w:after="0" w:line="240" w:lineRule="auto"/>
      <w:jc w:val="center"/>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F36C0F"/>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F36C0F"/>
    <w:rPr>
      <w:rFonts w:ascii="Times New Roman" w:eastAsia="Times New Roman" w:hAnsi="Times New Roman" w:cs="Times New Roman"/>
      <w:sz w:val="24"/>
      <w:szCs w:val="24"/>
      <w:lang w:val="x-none" w:eastAsia="x-none"/>
    </w:rPr>
  </w:style>
  <w:style w:type="character" w:styleId="Puslapionumeris">
    <w:name w:val="page number"/>
    <w:uiPriority w:val="99"/>
    <w:rsid w:val="00F36C0F"/>
    <w:rPr>
      <w:rFonts w:cs="Times New Roman"/>
    </w:rPr>
  </w:style>
  <w:style w:type="paragraph" w:styleId="Sraopastraipa">
    <w:name w:val="List Paragraph"/>
    <w:basedOn w:val="prastasis"/>
    <w:uiPriority w:val="34"/>
    <w:qFormat/>
    <w:rsid w:val="00F36C0F"/>
    <w:pPr>
      <w:ind w:left="720"/>
      <w:contextualSpacing/>
      <w:jc w:val="left"/>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9702B-7D67-4D58-AFBC-B44F90FDEC01}"/>
</file>

<file path=customXml/itemProps2.xml><?xml version="1.0" encoding="utf-8"?>
<ds:datastoreItem xmlns:ds="http://schemas.openxmlformats.org/officeDocument/2006/customXml" ds:itemID="{3C103FBB-82D1-47E1-8EF7-6B8BA4898405}"/>
</file>

<file path=customXml/itemProps3.xml><?xml version="1.0" encoding="utf-8"?>
<ds:datastoreItem xmlns:ds="http://schemas.openxmlformats.org/officeDocument/2006/customXml" ds:itemID="{6838CF08-5C68-43F0-B895-0A529F507F3D}"/>
</file>

<file path=docProps/app.xml><?xml version="1.0" encoding="utf-8"?>
<Properties xmlns="http://schemas.openxmlformats.org/officeDocument/2006/extended-properties" xmlns:vt="http://schemas.openxmlformats.org/officeDocument/2006/docPropsVTypes">
  <Template>Normal</Template>
  <TotalTime>1</TotalTime>
  <Pages>2</Pages>
  <Words>3228</Words>
  <Characters>1840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bf45d218-9a76-4d6e-8451-a049e0326653</dc:title>
  <dc:subject/>
  <dc:creator>Bužinskienė Danutė</dc:creator>
  <cp:keywords/>
  <dc:description/>
  <cp:lastModifiedBy>Bužinskienė Danutė</cp:lastModifiedBy>
  <cp:revision>1</cp:revision>
  <dcterms:created xsi:type="dcterms:W3CDTF">2018-07-11T05:06:00Z</dcterms:created>
  <dcterms:modified xsi:type="dcterms:W3CDTF">2018-07-11T05:07:00Z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po vizavimo</vt:lpwstr>
  </property>
</Properties>
</file>