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F17EF" w14:textId="228A9657" w:rsidR="004E244E" w:rsidRPr="00E8023F" w:rsidRDefault="00E8023F" w:rsidP="00E8023F">
      <w:pPr>
        <w:spacing w:after="0" w:line="240" w:lineRule="auto"/>
        <w:jc w:val="center"/>
        <w:rPr>
          <w:rFonts w:cs="Times New Roman"/>
          <w:b/>
          <w:szCs w:val="24"/>
          <w:lang w:val="lt-LT"/>
        </w:rPr>
      </w:pPr>
      <w:r w:rsidRPr="00E8023F">
        <w:rPr>
          <w:rFonts w:cs="Times New Roman"/>
          <w:b/>
          <w:szCs w:val="24"/>
          <w:lang w:val="lt-LT"/>
        </w:rPr>
        <w:t>Lietuvos Respublikos</w:t>
      </w:r>
      <w:r w:rsidRPr="00E8023F">
        <w:rPr>
          <w:rFonts w:eastAsia="Times New Roman" w:cs="Times New Roman"/>
          <w:b/>
          <w:color w:val="000000"/>
          <w:szCs w:val="24"/>
          <w:lang w:val="lt-LT"/>
        </w:rPr>
        <w:t xml:space="preserve"> gėlo požeminio vandens gavybos gręžinių įteisinimo laikinojo įstatymo projektą (toliau – laikinasis įstatymas),</w:t>
      </w:r>
      <w:r w:rsidRPr="00E8023F">
        <w:rPr>
          <w:rFonts w:cs="Times New Roman"/>
          <w:b/>
          <w:szCs w:val="24"/>
          <w:lang w:val="lt-LT"/>
        </w:rPr>
        <w:t xml:space="preserve"> Lietuvos Respublikos </w:t>
      </w:r>
      <w:r w:rsidRPr="00E8023F">
        <w:rPr>
          <w:rFonts w:eastAsia="Times New Roman" w:cs="Times New Roman"/>
          <w:b/>
          <w:color w:val="000000"/>
          <w:szCs w:val="24"/>
          <w:lang w:val="lt-LT"/>
        </w:rPr>
        <w:t xml:space="preserve">mokesčio už valstybinius gamtos išteklius įstatymo Nr. I-1163 6 straipsnio pakeitimo projektą (toliau – MUVGIĮ) ir </w:t>
      </w:r>
      <w:r w:rsidRPr="00E8023F">
        <w:rPr>
          <w:rFonts w:cs="Times New Roman"/>
          <w:b/>
          <w:szCs w:val="24"/>
          <w:lang w:val="lt-LT"/>
        </w:rPr>
        <w:t xml:space="preserve">Lietuvos Respublikos </w:t>
      </w:r>
      <w:r w:rsidRPr="00E8023F">
        <w:rPr>
          <w:rFonts w:eastAsia="Times New Roman" w:cs="Times New Roman"/>
          <w:b/>
          <w:color w:val="000000"/>
          <w:szCs w:val="24"/>
          <w:lang w:val="lt-LT"/>
        </w:rPr>
        <w:t xml:space="preserve">geriamojo vandens ir nuotekų tvarkymo įstatymo Nr. X-764 13, 14 ir 16 straipsnio pakeitimo projektą (toliau – GVTINTĮ) (toliau – projektai) </w:t>
      </w:r>
      <w:r w:rsidRPr="00E8023F">
        <w:rPr>
          <w:rFonts w:cs="Times New Roman"/>
          <w:b/>
          <w:bCs/>
          <w:szCs w:val="24"/>
          <w:lang w:val="lt-LT"/>
        </w:rPr>
        <w:t>pateiktų pastabų ir pasiūlymų derinimo pažyma</w:t>
      </w:r>
    </w:p>
    <w:tbl>
      <w:tblPr>
        <w:tblStyle w:val="TableGrid"/>
        <w:tblpPr w:leftFromText="180" w:rightFromText="180" w:vertAnchor="page" w:horzAnchor="margin" w:tblpY="3107"/>
        <w:tblW w:w="0" w:type="auto"/>
        <w:tblLayout w:type="fixed"/>
        <w:tblLook w:val="04A0" w:firstRow="1" w:lastRow="0" w:firstColumn="1" w:lastColumn="0" w:noHBand="0" w:noVBand="1"/>
      </w:tblPr>
      <w:tblGrid>
        <w:gridCol w:w="2093"/>
        <w:gridCol w:w="6520"/>
        <w:gridCol w:w="4608"/>
      </w:tblGrid>
      <w:tr w:rsidR="004E244E" w:rsidRPr="00C679FD" w14:paraId="2F906AB8" w14:textId="77777777" w:rsidTr="00185C25">
        <w:tc>
          <w:tcPr>
            <w:tcW w:w="2093" w:type="dxa"/>
          </w:tcPr>
          <w:p w14:paraId="3336CC70" w14:textId="77777777" w:rsidR="004E244E" w:rsidRPr="00E8023F" w:rsidRDefault="004E244E" w:rsidP="00E8023F">
            <w:pPr>
              <w:jc w:val="center"/>
              <w:rPr>
                <w:szCs w:val="24"/>
                <w:lang w:val="lt-LT"/>
              </w:rPr>
            </w:pPr>
            <w:r w:rsidRPr="00E8023F">
              <w:rPr>
                <w:szCs w:val="24"/>
                <w:lang w:val="lt-LT"/>
              </w:rPr>
              <w:t>Institucija</w:t>
            </w:r>
          </w:p>
        </w:tc>
        <w:tc>
          <w:tcPr>
            <w:tcW w:w="6520" w:type="dxa"/>
          </w:tcPr>
          <w:p w14:paraId="584DA546" w14:textId="77777777" w:rsidR="004E244E" w:rsidRPr="00E8023F" w:rsidRDefault="004E244E" w:rsidP="00E8023F">
            <w:pPr>
              <w:jc w:val="center"/>
              <w:rPr>
                <w:szCs w:val="24"/>
                <w:lang w:val="lt-LT"/>
              </w:rPr>
            </w:pPr>
            <w:r w:rsidRPr="00E8023F">
              <w:rPr>
                <w:szCs w:val="24"/>
                <w:lang w:val="lt-LT"/>
              </w:rPr>
              <w:t>Pastaba/pasiūlymas</w:t>
            </w:r>
          </w:p>
        </w:tc>
        <w:tc>
          <w:tcPr>
            <w:tcW w:w="4608" w:type="dxa"/>
          </w:tcPr>
          <w:p w14:paraId="35CA5E4C" w14:textId="03AA2AEF" w:rsidR="004E244E" w:rsidRPr="00E8023F" w:rsidRDefault="00E8023F" w:rsidP="00E8023F">
            <w:pPr>
              <w:jc w:val="center"/>
              <w:rPr>
                <w:szCs w:val="24"/>
                <w:lang w:val="lt-LT"/>
              </w:rPr>
            </w:pPr>
            <w:r w:rsidRPr="00E8023F">
              <w:rPr>
                <w:rFonts w:cs="Times New Roman"/>
              </w:rPr>
              <w:t>Aplinkos ministerijos argumentai</w:t>
            </w:r>
          </w:p>
        </w:tc>
      </w:tr>
      <w:tr w:rsidR="003A1B61" w:rsidRPr="00C679FD" w14:paraId="23C88F9E" w14:textId="77777777" w:rsidTr="00185C25">
        <w:tc>
          <w:tcPr>
            <w:tcW w:w="2093" w:type="dxa"/>
          </w:tcPr>
          <w:p w14:paraId="7DBEBD42" w14:textId="32F88209" w:rsidR="003A1B61" w:rsidRPr="00C679FD" w:rsidRDefault="003A1B61" w:rsidP="00E8023F">
            <w:pPr>
              <w:rPr>
                <w:szCs w:val="24"/>
                <w:lang w:val="lt-LT"/>
              </w:rPr>
            </w:pPr>
            <w:r>
              <w:rPr>
                <w:szCs w:val="24"/>
                <w:lang w:val="lt-LT"/>
              </w:rPr>
              <w:t xml:space="preserve">Lietuvos vandens tiekėjų asociacija 2020-09-14 raštas </w:t>
            </w:r>
            <w:r w:rsidR="00DC6B34">
              <w:rPr>
                <w:szCs w:val="24"/>
                <w:lang w:val="lt-LT"/>
              </w:rPr>
              <w:t>N</w:t>
            </w:r>
            <w:r>
              <w:rPr>
                <w:szCs w:val="24"/>
                <w:lang w:val="lt-LT"/>
              </w:rPr>
              <w:t>r. 81</w:t>
            </w:r>
          </w:p>
        </w:tc>
        <w:tc>
          <w:tcPr>
            <w:tcW w:w="6520" w:type="dxa"/>
          </w:tcPr>
          <w:p w14:paraId="196F9593" w14:textId="214CF961" w:rsidR="003A1B61" w:rsidRPr="00530876" w:rsidRDefault="003A1B61" w:rsidP="00185C25">
            <w:pPr>
              <w:jc w:val="both"/>
              <w:rPr>
                <w:color w:val="000000"/>
                <w:szCs w:val="24"/>
                <w:lang w:val="lt-LT"/>
              </w:rPr>
            </w:pPr>
            <w:r w:rsidRPr="00530876">
              <w:rPr>
                <w:color w:val="000000"/>
                <w:szCs w:val="24"/>
                <w:lang w:val="lt-LT"/>
              </w:rPr>
              <w:t xml:space="preserve">„&lt;...&gt; </w:t>
            </w:r>
            <w:r w:rsidRPr="00530876">
              <w:rPr>
                <w:lang w:val="lt-LT"/>
              </w:rPr>
              <w:t>Nesutinkame su siūlomu Lietuvos Respublikos geriamojo vandens tiekimo ir nuotekų tvarkymo įstatymo (toliau – Įstatymas) 16 straipsnio 6 dalies pakeitimu, kuriuo siekiama nustatyti konkretų terminą kitiems asmenims nuosavybės teise priklausančiai geriamojo vandens tiekimo ir nuotekų tvarkymo infrastruktūrai (toliau – Infrastruktūra) išpirkti</w:t>
            </w:r>
            <w:r w:rsidR="00A16C2E" w:rsidRPr="00530876">
              <w:rPr>
                <w:lang w:val="lt-LT"/>
              </w:rPr>
              <w:t xml:space="preserve">. &lt;…&gt;  Lietuvos Respublikos neregistruotų gėlo požeminio vandens gavybos gręžinių įteisinimo laikinojo įstatymo projekto aiškinamajame rašte siūlomas nustatyti 3 metų terminas, per kurį savivaldybė arba jos kontroliuojama vandens tiekimo įmonė perimtų iš bendruomenių ar kitų asmenų geriamojo vandens tiekimui reikalingą infrastruktūrą, grindžiamas tuo, kad esą pakeitimai padės užtikrinti geresnį viešojo vandens tiekimo planavimą ir geriamojo vandens kokybę. Nors akivaizdu, kad Infrastruktūros objektų išpirkimui reikalingos savivaldybės ir (ar) viešųjų geriamojo vandens tiekėjų ir nuotekų tvarkytojų lėšos, aiškinamojo rašto 12 punkte į klausimą, kiek valstybės, savivaldybių biudžetų ir kitų valstybės įsteigtų fondų lėšų prireiks įstatymui įgyvendinti, ar bus galima sutaupyti (pateikiami prognozuojami rodikliai einamaisiais ir artimiausiais 3 biudžetiniais metais), yra neatsakyta, tik lakoniškai nurodyta, kad įstatymo įgyvendinimui papildomo valstybės lėšų poreikio nenumatoma. Asociacijos įsitikinimu, konkretaus termino Infrastruktūros objektų išpirkimui nustatymas, nenustatant lėšų šiam išpirkimui, prieštarauja Lietuvos Respublikos Konstitucijai. Konstitucinis Teismas yra konstatavęs, kad negalima savivaldos institucijoms priskirti tokių funkcijų, kurių jos nebūtų pajėgios atlikti. Konstitucinis Teismas, aiškindamas Konstitucijos 120 straipsnio 2 dalies nuostatą, kad savivaldybės pagal Konstitucijoje ir įstatymų apibrėžtą kompetenciją veikia laisvai ir savarankiškai, kartu su Konstitucijos 121 straipsnio 1 dalies </w:t>
            </w:r>
            <w:r w:rsidR="00A16C2E" w:rsidRPr="00530876">
              <w:rPr>
                <w:lang w:val="lt-LT"/>
              </w:rPr>
              <w:lastRenderedPageBreak/>
              <w:t>nuostata, kad savivaldybės sudaro ir tvirtina savo biudžetą, ir Lietuvos Respublikos Konstitucijos 127 straipsnio 1 dalies nuostata, kad Lietuvos biudžetinę sistemą sudaro savarankiški biudžetai, konstatavo, kad, jeigu savivaldybėms įstatymais ar kitais teisės aktais sukuriamos pareigos, turi būti numatytos ir šioms funkcijoms atlikti reikalingos lėšos. &lt;…&gt;”</w:t>
            </w:r>
            <w:r w:rsidR="004C45FB" w:rsidRPr="00530876">
              <w:rPr>
                <w:lang w:val="lt-LT"/>
              </w:rPr>
              <w:t>.</w:t>
            </w:r>
          </w:p>
        </w:tc>
        <w:tc>
          <w:tcPr>
            <w:tcW w:w="4608" w:type="dxa"/>
          </w:tcPr>
          <w:p w14:paraId="7A6120FD" w14:textId="77777777" w:rsidR="005328F9" w:rsidRPr="005328F9" w:rsidRDefault="005328F9" w:rsidP="005328F9">
            <w:pPr>
              <w:jc w:val="both"/>
              <w:rPr>
                <w:rFonts w:cs="Times New Roman"/>
                <w:color w:val="000000"/>
                <w:szCs w:val="24"/>
                <w:lang w:val="lt-LT"/>
              </w:rPr>
            </w:pPr>
            <w:r w:rsidRPr="005328F9">
              <w:rPr>
                <w:rFonts w:cs="Times New Roman"/>
                <w:b/>
                <w:color w:val="000000"/>
                <w:szCs w:val="24"/>
                <w:lang w:val="lt-LT"/>
              </w:rPr>
              <w:lastRenderedPageBreak/>
              <w:t>Neatsižvelgta.</w:t>
            </w:r>
            <w:r w:rsidRPr="005328F9">
              <w:rPr>
                <w:rFonts w:cs="Times New Roman"/>
                <w:color w:val="000000"/>
                <w:szCs w:val="24"/>
                <w:lang w:val="lt-LT"/>
              </w:rPr>
              <w:t xml:space="preserve"> </w:t>
            </w:r>
            <w:r w:rsidRPr="005328F9">
              <w:rPr>
                <w:rFonts w:cs="Times New Roman"/>
                <w:szCs w:val="24"/>
                <w:lang w:val="lt-LT" w:bidi="en-US"/>
              </w:rPr>
              <w:t xml:space="preserve">Pagal Geriamojo vandens tiekimo ir nuotekų tvarkymo įstatymo (toliau – Įstatymas) </w:t>
            </w:r>
            <w:r w:rsidRPr="005328F9">
              <w:rPr>
                <w:rFonts w:cs="Times New Roman"/>
                <w:spacing w:val="20"/>
                <w:szCs w:val="24"/>
                <w:lang w:val="lt-LT"/>
              </w:rPr>
              <w:t xml:space="preserve">10 str. ir </w:t>
            </w:r>
            <w:r w:rsidRPr="005328F9">
              <w:rPr>
                <w:rFonts w:cs="Times New Roman"/>
                <w:szCs w:val="24"/>
                <w:lang w:val="lt-LT"/>
              </w:rPr>
              <w:t xml:space="preserve">Vietos savivaldos įstatymo 6 str. nuostatas, </w:t>
            </w:r>
            <w:r w:rsidRPr="005328F9">
              <w:rPr>
                <w:rFonts w:cs="Times New Roman"/>
                <w:color w:val="000000"/>
                <w:szCs w:val="24"/>
                <w:lang w:val="lt-LT"/>
              </w:rPr>
              <w:t>geriamojo vandens išgavimas, tiekimas ir nuotekų tvarkymo paslaugų teikimas savivaldybių teritorijose yra savivaldybių institucijų pareiga,</w:t>
            </w:r>
            <w:r w:rsidRPr="005328F9">
              <w:rPr>
                <w:rFonts w:cs="Times New Roman"/>
                <w:i/>
                <w:color w:val="000000"/>
                <w:szCs w:val="24"/>
                <w:lang w:val="lt-LT"/>
              </w:rPr>
              <w:t xml:space="preserve"> </w:t>
            </w:r>
            <w:r w:rsidRPr="005328F9">
              <w:rPr>
                <w:rFonts w:cs="Times New Roman"/>
                <w:color w:val="000000"/>
                <w:szCs w:val="24"/>
                <w:lang w:val="lt-LT"/>
              </w:rPr>
              <w:t>o savivaldybių tarybos vykdo vandens tiekimui skirtos geriamojo vandens tiekimo ir nuotekų tvarkymo infrastruktūros savininkų arba savivaldybės (savivaldybių) kontroliuojamų įmonių, kurioms priklauso ši infrastruktūra, dalyvio teises ir pareigas. Pažymėtina, kad Įstatymo projektu nenustatoma nauja pareiga, tačiau įtvirtinamas konkretus laikas, nes savivaldybės turėdamos konkrečias pareigas, jų neatlieka.</w:t>
            </w:r>
          </w:p>
          <w:p w14:paraId="7B3B7AAD" w14:textId="380355AD" w:rsidR="005328F9" w:rsidRPr="005328F9" w:rsidRDefault="00773801" w:rsidP="005328F9">
            <w:pPr>
              <w:ind w:firstLine="720"/>
              <w:jc w:val="both"/>
              <w:rPr>
                <w:rFonts w:cs="Times New Roman"/>
                <w:bCs/>
                <w:iCs/>
                <w:szCs w:val="24"/>
                <w:lang w:val="lt-LT"/>
              </w:rPr>
            </w:pPr>
            <w:r>
              <w:rPr>
                <w:rFonts w:cs="Times New Roman"/>
                <w:color w:val="000000"/>
                <w:szCs w:val="24"/>
                <w:lang w:val="lt-LT"/>
              </w:rPr>
              <w:t xml:space="preserve">Vadovaujantis Įstatymo </w:t>
            </w:r>
            <w:r w:rsidR="005328F9" w:rsidRPr="005328F9">
              <w:rPr>
                <w:szCs w:val="24"/>
              </w:rPr>
              <w:t xml:space="preserve">16 str. 6 d. </w:t>
            </w:r>
            <w:r w:rsidR="005328F9" w:rsidRPr="005328F9">
              <w:rPr>
                <w:szCs w:val="24"/>
                <w:lang w:val="lt-LT"/>
              </w:rPr>
              <w:t xml:space="preserve">nuostatomis, </w:t>
            </w:r>
            <w:r w:rsidR="005328F9" w:rsidRPr="005328F9">
              <w:rPr>
                <w:iCs/>
                <w:szCs w:val="24"/>
                <w:lang w:val="lt-LT"/>
              </w:rPr>
              <w:t xml:space="preserve">savivaldybei arba jos kontroliuojamai vandens tiekimo įmonei nustatyta, kad </w:t>
            </w:r>
            <w:r w:rsidR="005328F9" w:rsidRPr="005328F9">
              <w:rPr>
                <w:rFonts w:cs="Times New Roman"/>
                <w:color w:val="000000"/>
                <w:szCs w:val="24"/>
                <w:lang w:val="lt-LT"/>
              </w:rPr>
              <w:t xml:space="preserve">geriamojo vandens tiekimo ir (arba) nuotekų tvarkymo infrastruktūra, kuri nuosavybės teise priklauso kitiems asmenims ir yra reikalinga bei tinkama viešajam geriamojo vandens tiekimui ir (arba) nuotekų tvarkymui, ir (arba) paviršinių nuotekų tvarkymo infrastruktūra, kuri nuosavybės teise priklauso kitiems asmenims ir yra reikalinga bei tinkama paviršinių nuotekų tvarkymui, savivaldybės institucijos iniciatyva </w:t>
            </w:r>
            <w:r w:rsidR="005328F9" w:rsidRPr="005328F9">
              <w:rPr>
                <w:rFonts w:cs="Times New Roman"/>
                <w:color w:val="000000"/>
                <w:szCs w:val="24"/>
                <w:u w:val="single"/>
                <w:lang w:val="lt-LT"/>
              </w:rPr>
              <w:t xml:space="preserve">turi būti </w:t>
            </w:r>
            <w:r w:rsidR="005328F9" w:rsidRPr="005328F9">
              <w:rPr>
                <w:rFonts w:cs="Times New Roman"/>
                <w:szCs w:val="24"/>
                <w:u w:val="single"/>
                <w:lang w:val="lt-LT"/>
              </w:rPr>
              <w:t>perduodama</w:t>
            </w:r>
            <w:r w:rsidR="005328F9" w:rsidRPr="005328F9">
              <w:rPr>
                <w:rFonts w:cs="Times New Roman"/>
                <w:szCs w:val="24"/>
                <w:lang w:val="lt-LT"/>
              </w:rPr>
              <w:t xml:space="preserve"> savivaldybei </w:t>
            </w:r>
            <w:r w:rsidR="005328F9" w:rsidRPr="005328F9">
              <w:rPr>
                <w:rFonts w:cs="Times New Roman"/>
                <w:szCs w:val="24"/>
                <w:lang w:val="lt-LT"/>
              </w:rPr>
              <w:lastRenderedPageBreak/>
              <w:t xml:space="preserve">arba viešajam geriamojo vandens tiekėjui ir nuotekų tvarkytojui ar paviršinių nuotekų tvarkytojui vadovaujantis </w:t>
            </w:r>
            <w:r w:rsidR="005328F9" w:rsidRPr="00773801">
              <w:rPr>
                <w:rFonts w:cs="Times New Roman"/>
                <w:szCs w:val="24"/>
                <w:lang w:val="lt-LT"/>
              </w:rPr>
              <w:t xml:space="preserve">Geriamojo vandens tiekimo ir nuotekų tvarkymo infrastruktūros objektų išpirkimo tvarkos apraše </w:t>
            </w:r>
            <w:r w:rsidR="005328F9" w:rsidRPr="005328F9">
              <w:rPr>
                <w:rFonts w:cs="Times New Roman"/>
                <w:szCs w:val="24"/>
                <w:lang w:val="lt-LT"/>
              </w:rPr>
              <w:t xml:space="preserve">(toliau </w:t>
            </w:r>
            <w:r w:rsidR="005328F9" w:rsidRPr="005328F9">
              <w:rPr>
                <w:rFonts w:asciiTheme="minorHAnsi" w:hAnsiTheme="minorHAnsi"/>
                <w:spacing w:val="20"/>
                <w:sz w:val="22"/>
                <w:lang w:val="en-GB"/>
              </w:rPr>
              <w:t xml:space="preserve">– </w:t>
            </w:r>
            <w:r w:rsidR="005328F9" w:rsidRPr="005328F9">
              <w:rPr>
                <w:rFonts w:cs="Times New Roman"/>
                <w:szCs w:val="24"/>
                <w:lang w:val="lt-LT"/>
              </w:rPr>
              <w:t>Aprašas)</w:t>
            </w:r>
            <w:r w:rsidR="005328F9" w:rsidRPr="005328F9">
              <w:rPr>
                <w:rFonts w:cs="Times New Roman"/>
                <w:i/>
                <w:szCs w:val="24"/>
                <w:lang w:val="lt-LT"/>
              </w:rPr>
              <w:t xml:space="preserve"> </w:t>
            </w:r>
            <w:r w:rsidR="005328F9" w:rsidRPr="005328F9">
              <w:rPr>
                <w:rFonts w:cs="Times New Roman"/>
                <w:szCs w:val="24"/>
                <w:lang w:val="lt-LT"/>
              </w:rPr>
              <w:t>nustatyta tvarka. Aprašo 24 p. numatyta, kad  „&lt;...&gt;</w:t>
            </w:r>
            <w:r w:rsidR="005328F9" w:rsidRPr="005328F9">
              <w:rPr>
                <w:iCs/>
                <w:szCs w:val="24"/>
                <w:lang w:val="lt-LT"/>
              </w:rPr>
              <w:t xml:space="preserve"> </w:t>
            </w:r>
            <w:r w:rsidR="005328F9" w:rsidRPr="005328F9">
              <w:rPr>
                <w:rFonts w:cs="Times New Roman"/>
                <w:color w:val="000000"/>
                <w:szCs w:val="24"/>
                <w:lang w:val="lt-LT"/>
              </w:rPr>
              <w:t xml:space="preserve">šalims susitarus, infrastruktūros objektas gali būti </w:t>
            </w:r>
            <w:r w:rsidR="005328F9" w:rsidRPr="005328F9">
              <w:rPr>
                <w:rFonts w:cs="Times New Roman"/>
                <w:color w:val="000000"/>
                <w:szCs w:val="24"/>
                <w:u w:val="single"/>
                <w:lang w:val="lt-LT"/>
              </w:rPr>
              <w:t>perduotas</w:t>
            </w:r>
            <w:r w:rsidR="005328F9" w:rsidRPr="005328F9">
              <w:rPr>
                <w:rFonts w:cs="Times New Roman"/>
                <w:color w:val="000000"/>
                <w:szCs w:val="24"/>
                <w:lang w:val="lt-LT"/>
              </w:rPr>
              <w:t xml:space="preserve"> savivaldybės arba viešojo geriamojo vandens tiekėjo, paviršinių nuotekų tvarkytojo </w:t>
            </w:r>
            <w:r w:rsidR="005328F9" w:rsidRPr="005328F9">
              <w:rPr>
                <w:rFonts w:cs="Times New Roman"/>
                <w:color w:val="000000"/>
                <w:szCs w:val="24"/>
                <w:u w:val="single"/>
                <w:lang w:val="lt-LT"/>
              </w:rPr>
              <w:t>nuosavybėn neatlygintinai</w:t>
            </w:r>
            <w:r w:rsidR="005328F9" w:rsidRPr="005328F9">
              <w:rPr>
                <w:rFonts w:cs="Times New Roman"/>
                <w:color w:val="000000"/>
                <w:szCs w:val="24"/>
                <w:lang w:val="lt-LT"/>
              </w:rPr>
              <w:t>.“;</w:t>
            </w:r>
            <w:r w:rsidR="005328F9" w:rsidRPr="005328F9">
              <w:rPr>
                <w:rFonts w:asciiTheme="minorHAnsi" w:hAnsiTheme="minorHAnsi"/>
                <w:bCs/>
                <w:i/>
                <w:iCs/>
                <w:sz w:val="22"/>
                <w:lang w:val="en-GB"/>
              </w:rPr>
              <w:t xml:space="preserve"> </w:t>
            </w:r>
            <w:r w:rsidR="005328F9" w:rsidRPr="005328F9">
              <w:rPr>
                <w:rFonts w:cs="Times New Roman"/>
                <w:szCs w:val="24"/>
              </w:rPr>
              <w:t xml:space="preserve">22 </w:t>
            </w:r>
            <w:r w:rsidR="005328F9" w:rsidRPr="005328F9">
              <w:rPr>
                <w:rFonts w:cs="Times New Roman"/>
                <w:szCs w:val="24"/>
                <w:lang w:val="lt-LT"/>
              </w:rPr>
              <w:t xml:space="preserve">p. nustatyta, kad </w:t>
            </w:r>
            <w:r w:rsidR="005328F9" w:rsidRPr="005328F9">
              <w:rPr>
                <w:rFonts w:cs="Times New Roman"/>
                <w:color w:val="000000"/>
                <w:sz w:val="22"/>
                <w:lang w:val="lt-LT"/>
              </w:rPr>
              <w:t>“&lt;...&gt;</w:t>
            </w:r>
            <w:r w:rsidR="005328F9" w:rsidRPr="005328F9">
              <w:rPr>
                <w:rFonts w:cs="Times New Roman"/>
                <w:color w:val="000000"/>
                <w:szCs w:val="24"/>
                <w:lang w:val="lt-LT"/>
              </w:rPr>
              <w:t xml:space="preserve">Jeigu infrastruktūros objekto savininkas atsisako parduoti infrastruktūros objektą arba kai tarp šalių kyla ginčas dėl kainos ar kitų pirkimo–pardavimo sutarties sąlygų, savivaldybės institucijos iniciatyva </w:t>
            </w:r>
            <w:r w:rsidR="005328F9" w:rsidRPr="005328F9">
              <w:rPr>
                <w:rFonts w:cs="Times New Roman"/>
                <w:color w:val="000000"/>
                <w:szCs w:val="24"/>
                <w:u w:val="single"/>
                <w:lang w:val="lt-LT"/>
              </w:rPr>
              <w:t>sudaromos sutartys dėl infrastruktūros naudojimo (nuomos, panaudos, jungtinės veiklos)</w:t>
            </w:r>
            <w:r w:rsidR="005328F9" w:rsidRPr="005328F9">
              <w:rPr>
                <w:rFonts w:cs="Times New Roman"/>
                <w:color w:val="000000"/>
                <w:szCs w:val="24"/>
                <w:lang w:val="lt-LT"/>
              </w:rPr>
              <w:t xml:space="preserve"> ir geriamojo vandens tiekimo ir (arba) nuotekų tvarkymo, paviršinių nuotekų tvarkymo paslaugų teikimo“. </w:t>
            </w:r>
            <w:r w:rsidR="005328F9" w:rsidRPr="005328F9">
              <w:rPr>
                <w:rFonts w:cs="Times New Roman"/>
                <w:bCs/>
                <w:iCs/>
                <w:szCs w:val="24"/>
                <w:lang w:val="lt-LT"/>
              </w:rPr>
              <w:t>Atsižvelgiant į</w:t>
            </w:r>
            <w:r w:rsidR="005328F9" w:rsidRPr="005328F9">
              <w:rPr>
                <w:rFonts w:asciiTheme="minorHAnsi" w:hAnsiTheme="minorHAnsi"/>
                <w:bCs/>
                <w:i/>
                <w:iCs/>
                <w:sz w:val="22"/>
                <w:lang w:val="lt-LT"/>
              </w:rPr>
              <w:t xml:space="preserve"> </w:t>
            </w:r>
            <w:r w:rsidR="005328F9" w:rsidRPr="005328F9">
              <w:rPr>
                <w:rFonts w:cs="Times New Roman"/>
                <w:bCs/>
                <w:iCs/>
                <w:szCs w:val="24"/>
                <w:lang w:val="lt-LT"/>
              </w:rPr>
              <w:t xml:space="preserve">tai, savivaldybė turi galimybę priimti sprendimą, kuris jai tinkamiausias: išpirkimas ar susitarimas dėl perdavimo neatlygintinai, kad iki Įstatymo projekte siūlomos datos, infrastruktūra būtų perduota savivaldybei. Taip </w:t>
            </w:r>
            <w:r w:rsidR="003D4471">
              <w:rPr>
                <w:rFonts w:cs="Times New Roman"/>
                <w:bCs/>
                <w:iCs/>
                <w:szCs w:val="24"/>
                <w:lang w:val="lt-LT"/>
              </w:rPr>
              <w:t xml:space="preserve">pat </w:t>
            </w:r>
            <w:r w:rsidR="005328F9" w:rsidRPr="005328F9">
              <w:rPr>
                <w:rFonts w:cs="Times New Roman"/>
                <w:bCs/>
                <w:iCs/>
                <w:szCs w:val="24"/>
                <w:lang w:val="lt-LT"/>
              </w:rPr>
              <w:t>išlieka ir sutarčių sudarymas dėl infrastruktūros naudojimo, kad būtų užtikrintas geriamojo vandens tiekimo ir nuotekų tvarkymo paslaugų teikimas.</w:t>
            </w:r>
          </w:p>
          <w:p w14:paraId="33DE26ED" w14:textId="755E6623" w:rsidR="005328F9" w:rsidRPr="005328F9" w:rsidRDefault="005328F9" w:rsidP="005328F9">
            <w:pPr>
              <w:ind w:firstLine="720"/>
              <w:jc w:val="both"/>
              <w:rPr>
                <w:rFonts w:eastAsia="Times New Roman" w:cs="Times New Roman"/>
                <w:szCs w:val="24"/>
                <w:lang w:val="lt-LT"/>
              </w:rPr>
            </w:pPr>
            <w:r w:rsidRPr="005328F9">
              <w:rPr>
                <w:rFonts w:cs="Times New Roman"/>
                <w:bCs/>
                <w:iCs/>
                <w:szCs w:val="24"/>
                <w:lang w:val="lt-LT"/>
              </w:rPr>
              <w:t xml:space="preserve">Pažymėtina, kad vadovaujantis Įstatymo </w:t>
            </w:r>
            <w:r w:rsidRPr="005328F9">
              <w:rPr>
                <w:rFonts w:cs="Times New Roman"/>
                <w:bCs/>
                <w:iCs/>
                <w:szCs w:val="24"/>
              </w:rPr>
              <w:t xml:space="preserve">34 str. 5 d. nuostatomis, </w:t>
            </w:r>
            <w:r w:rsidRPr="005328F9">
              <w:rPr>
                <w:rFonts w:eastAsia="Times New Roman" w:cs="Times New Roman"/>
                <w:szCs w:val="24"/>
                <w:lang w:val="lt-LT"/>
              </w:rPr>
              <w:t xml:space="preserve">geriamojo vandens tiekėjai ir nuotekų tvarkytojų, suderintos planuojamos investicijos su Valstybine kainų ir energetikos kontrolės </w:t>
            </w:r>
            <w:r w:rsidRPr="005328F9">
              <w:rPr>
                <w:rFonts w:eastAsia="Times New Roman" w:cs="Times New Roman"/>
                <w:szCs w:val="24"/>
                <w:lang w:val="lt-LT"/>
              </w:rPr>
              <w:lastRenderedPageBreak/>
              <w:t>komisija</w:t>
            </w:r>
            <w:r w:rsidR="00773801">
              <w:rPr>
                <w:rFonts w:eastAsia="Times New Roman" w:cs="Times New Roman"/>
                <w:szCs w:val="24"/>
                <w:lang w:val="lt-LT"/>
              </w:rPr>
              <w:t xml:space="preserve"> (dabar Valstybinė energetikos reguliavimo taryba)</w:t>
            </w:r>
            <w:r w:rsidRPr="005328F9">
              <w:rPr>
                <w:rFonts w:eastAsia="Times New Roman" w:cs="Times New Roman"/>
                <w:szCs w:val="24"/>
                <w:lang w:val="lt-LT"/>
              </w:rPr>
              <w:t>, gali būti pripažintos pagrįstomis valstybės reguliuojamoms kainoms nustatyti, todėl išperkama kitiems asmenims priklausanti infrastruktūra gali būti įtrauk</w:t>
            </w:r>
            <w:r w:rsidR="00123816">
              <w:rPr>
                <w:rFonts w:eastAsia="Times New Roman" w:cs="Times New Roman"/>
                <w:szCs w:val="24"/>
                <w:lang w:val="lt-LT"/>
              </w:rPr>
              <w:t>iama į planuojamas investicijas.</w:t>
            </w:r>
          </w:p>
          <w:p w14:paraId="68C9E0F9" w14:textId="77777777" w:rsidR="003A1B61" w:rsidRPr="00346E1D" w:rsidRDefault="003A1B61" w:rsidP="00E8023F">
            <w:pPr>
              <w:jc w:val="both"/>
              <w:rPr>
                <w:b/>
                <w:szCs w:val="24"/>
                <w:lang w:val="lt-LT"/>
              </w:rPr>
            </w:pPr>
          </w:p>
        </w:tc>
      </w:tr>
      <w:tr w:rsidR="00DC6B34" w:rsidRPr="00346E1D" w14:paraId="54670039" w14:textId="77777777" w:rsidTr="00E8023F">
        <w:tc>
          <w:tcPr>
            <w:tcW w:w="2093" w:type="dxa"/>
            <w:vMerge w:val="restart"/>
          </w:tcPr>
          <w:p w14:paraId="3A032759" w14:textId="26D5C91A" w:rsidR="00DC6B34" w:rsidRPr="00C679FD" w:rsidRDefault="00DC6B34" w:rsidP="00E8023F">
            <w:pPr>
              <w:rPr>
                <w:szCs w:val="24"/>
                <w:lang w:val="lt-LT"/>
              </w:rPr>
            </w:pPr>
            <w:r>
              <w:rPr>
                <w:szCs w:val="24"/>
                <w:lang w:val="lt-LT"/>
              </w:rPr>
              <w:lastRenderedPageBreak/>
              <w:t>Lietuvos žemės ūkio bendrovių asociacija 2020-09-14 raštas Nr. 5-2910</w:t>
            </w:r>
          </w:p>
        </w:tc>
        <w:tc>
          <w:tcPr>
            <w:tcW w:w="6520" w:type="dxa"/>
          </w:tcPr>
          <w:p w14:paraId="2609497D" w14:textId="7901DF55" w:rsidR="00DC6B34" w:rsidRPr="00C679FD" w:rsidRDefault="00DC6B34" w:rsidP="00185C25">
            <w:pPr>
              <w:jc w:val="both"/>
              <w:rPr>
                <w:color w:val="000000"/>
                <w:szCs w:val="24"/>
                <w:lang w:val="lt-LT"/>
              </w:rPr>
            </w:pPr>
            <w:r>
              <w:rPr>
                <w:color w:val="000000"/>
                <w:szCs w:val="24"/>
                <w:lang w:val="lt-LT"/>
              </w:rPr>
              <w:t xml:space="preserve">„&lt;...&gt; 2. Už nedeklaruotą ar deklaruotą mažesnį negu išgautas gamtos išteklių kiekį ir (ar) be leidimo išgautą gamtos išteklių kiekį taikomas didesnis mokesčio tarifas. Jis apskaičiuojamas šio įstatymo 1, 2 </w:t>
            </w:r>
            <w:r w:rsidRPr="00530876">
              <w:rPr>
                <w:b/>
                <w:color w:val="000000"/>
                <w:szCs w:val="24"/>
                <w:lang w:val="lt-LT"/>
              </w:rPr>
              <w:t>(išskyrus požeminio gėlo (ne mineralinio) vandens išteklius)</w:t>
            </w:r>
            <w:r>
              <w:rPr>
                <w:color w:val="000000"/>
                <w:szCs w:val="24"/>
                <w:lang w:val="lt-LT"/>
              </w:rPr>
              <w:t xml:space="preserve"> ir 3 prieduose nustatytus tarifus dauginant iš koeficiento 10</w:t>
            </w:r>
            <w:r w:rsidRPr="00530876">
              <w:rPr>
                <w:b/>
                <w:color w:val="000000"/>
                <w:szCs w:val="24"/>
                <w:lang w:val="lt-LT"/>
              </w:rPr>
              <w:t>, o 2 priede nurodytiems požeminio vandens, išskyrus mineralinį vandenį, ištekliams nustatytus tarifus dauginant iš koeficiento 2,</w:t>
            </w:r>
            <w:r>
              <w:rPr>
                <w:color w:val="000000"/>
                <w:szCs w:val="24"/>
                <w:lang w:val="lt-LT"/>
              </w:rPr>
              <w:t xml:space="preserve"> </w:t>
            </w:r>
            <w:r w:rsidRPr="00815CC4">
              <w:rPr>
                <w:color w:val="FF0000"/>
                <w:szCs w:val="24"/>
                <w:lang w:val="lt-LT"/>
              </w:rPr>
              <w:t>už išgautą požeminį vandenį 2016-2020 m. laikotarpiu dauginant iš koeficiento 0</w:t>
            </w:r>
            <w:r>
              <w:rPr>
                <w:color w:val="000000"/>
                <w:szCs w:val="24"/>
                <w:lang w:val="lt-LT"/>
              </w:rPr>
              <w:t>“.“</w:t>
            </w:r>
          </w:p>
        </w:tc>
        <w:tc>
          <w:tcPr>
            <w:tcW w:w="4608" w:type="dxa"/>
          </w:tcPr>
          <w:p w14:paraId="050559D3" w14:textId="77777777" w:rsidR="00DC6B34" w:rsidRDefault="009943CF" w:rsidP="00E8023F">
            <w:pPr>
              <w:jc w:val="both"/>
              <w:rPr>
                <w:b/>
                <w:szCs w:val="24"/>
                <w:lang w:val="lt-LT"/>
              </w:rPr>
            </w:pPr>
            <w:r w:rsidRPr="009943CF">
              <w:rPr>
                <w:b/>
                <w:szCs w:val="24"/>
                <w:lang w:val="lt-LT"/>
              </w:rPr>
              <w:t>Neatsižvelgta.</w:t>
            </w:r>
          </w:p>
          <w:p w14:paraId="61A01A7C" w14:textId="076DFC77" w:rsidR="00BA060A" w:rsidRPr="00021411" w:rsidRDefault="00B024AE" w:rsidP="00BA060A">
            <w:pPr>
              <w:jc w:val="both"/>
              <w:rPr>
                <w:szCs w:val="24"/>
                <w:lang w:val="lt-LT"/>
              </w:rPr>
            </w:pPr>
            <w:r>
              <w:rPr>
                <w:szCs w:val="24"/>
                <w:lang w:val="lt-LT"/>
              </w:rPr>
              <w:t xml:space="preserve">Siūlomas </w:t>
            </w:r>
            <w:r w:rsidR="002C401D">
              <w:rPr>
                <w:rFonts w:cs="Times New Roman"/>
                <w:color w:val="000000"/>
                <w:lang w:val="lt-LT"/>
              </w:rPr>
              <w:t xml:space="preserve">teisės akto pakeitimas </w:t>
            </w:r>
            <w:r w:rsidR="00BA060A">
              <w:rPr>
                <w:rFonts w:cs="Times New Roman"/>
                <w:color w:val="000000"/>
                <w:lang w:val="lt-LT"/>
              </w:rPr>
              <w:t xml:space="preserve">nurodytu 2016-2020 metų laikotarpiu, </w:t>
            </w:r>
            <w:r w:rsidR="002C401D" w:rsidRPr="00021411">
              <w:rPr>
                <w:szCs w:val="24"/>
                <w:lang w:val="lt-LT"/>
              </w:rPr>
              <w:t>visus požeminio vandens išteklių naudotojus, kurie</w:t>
            </w:r>
            <w:r w:rsidR="00C227B5" w:rsidRPr="00021411">
              <w:rPr>
                <w:szCs w:val="24"/>
                <w:lang w:val="lt-LT"/>
              </w:rPr>
              <w:t xml:space="preserve"> po</w:t>
            </w:r>
            <w:r w:rsidR="00021411" w:rsidRPr="00021411">
              <w:rPr>
                <w:szCs w:val="24"/>
                <w:lang w:val="lt-LT"/>
              </w:rPr>
              <w:t>žeminio vandens išteklius naudojo pažeisdami teisės aktų nuostatas</w:t>
            </w:r>
            <w:r w:rsidR="00C227B5" w:rsidRPr="00021411">
              <w:rPr>
                <w:szCs w:val="24"/>
                <w:lang w:val="lt-LT"/>
              </w:rPr>
              <w:t xml:space="preserve"> t. y.</w:t>
            </w:r>
            <w:r w:rsidR="002C401D" w:rsidRPr="00021411">
              <w:rPr>
                <w:szCs w:val="24"/>
                <w:lang w:val="lt-LT"/>
              </w:rPr>
              <w:t xml:space="preserve"> </w:t>
            </w:r>
            <w:r w:rsidR="002C401D" w:rsidRPr="00021411">
              <w:rPr>
                <w:color w:val="000000"/>
                <w:szCs w:val="24"/>
                <w:lang w:val="lt-LT"/>
              </w:rPr>
              <w:t>nedeklaravo ar deklaravo mažesnį negu išgautas gamtos išteklių kiekis ir (ar) be leidimo išgavo požeminio vandens išteklius</w:t>
            </w:r>
            <w:r w:rsidR="00477D59" w:rsidRPr="00021411">
              <w:rPr>
                <w:szCs w:val="24"/>
                <w:lang w:val="lt-LT"/>
              </w:rPr>
              <w:t xml:space="preserve">, </w:t>
            </w:r>
            <w:r w:rsidR="00021411" w:rsidRPr="00021411">
              <w:rPr>
                <w:szCs w:val="24"/>
                <w:u w:val="single"/>
                <w:lang w:val="lt-LT"/>
              </w:rPr>
              <w:t xml:space="preserve">visiškai </w:t>
            </w:r>
            <w:r w:rsidR="00C227B5" w:rsidRPr="00021411">
              <w:rPr>
                <w:szCs w:val="24"/>
                <w:u w:val="single"/>
                <w:lang w:val="lt-LT"/>
              </w:rPr>
              <w:t>atleistų</w:t>
            </w:r>
            <w:r w:rsidR="00C227B5" w:rsidRPr="00021411">
              <w:rPr>
                <w:szCs w:val="24"/>
                <w:lang w:val="lt-LT"/>
              </w:rPr>
              <w:t xml:space="preserve"> nuo mokesčio už valstybinius gamtos išteklius mokėjimo.</w:t>
            </w:r>
            <w:r w:rsidR="00021411" w:rsidRPr="00021411">
              <w:rPr>
                <w:szCs w:val="24"/>
                <w:lang w:val="lt-LT"/>
              </w:rPr>
              <w:t xml:space="preserve"> </w:t>
            </w:r>
          </w:p>
          <w:p w14:paraId="4D55172D" w14:textId="7D5A631A" w:rsidR="004736EF" w:rsidRPr="004736EF" w:rsidRDefault="00477D59" w:rsidP="00BA060A">
            <w:pPr>
              <w:jc w:val="both"/>
              <w:rPr>
                <w:szCs w:val="24"/>
                <w:lang w:val="lt-LT"/>
              </w:rPr>
            </w:pPr>
            <w:r w:rsidRPr="00021411">
              <w:rPr>
                <w:szCs w:val="24"/>
                <w:lang w:val="lt-LT"/>
              </w:rPr>
              <w:t xml:space="preserve">Taip pat </w:t>
            </w:r>
            <w:r w:rsidR="00BA060A" w:rsidRPr="00021411">
              <w:rPr>
                <w:szCs w:val="24"/>
                <w:lang w:val="lt-LT"/>
              </w:rPr>
              <w:t>atkreiptinas dėmesys, kad siūlomas teisės akto pakeitimas</w:t>
            </w:r>
            <w:r w:rsidR="00BA060A" w:rsidRPr="00021411">
              <w:t xml:space="preserve"> </w:t>
            </w:r>
            <w:r w:rsidR="00BA060A" w:rsidRPr="00021411">
              <w:rPr>
                <w:szCs w:val="24"/>
                <w:lang w:val="lt-LT"/>
              </w:rPr>
              <w:t xml:space="preserve">sukuria diskriminacines ir konkurenciją iškreipiančias nuostatas tų asmenų, kurie  požeminio vandens išteklius išgavo vadovaudamiesi teisės aktų nuostatomis t. y. </w:t>
            </w:r>
            <w:r w:rsidRPr="00021411">
              <w:rPr>
                <w:szCs w:val="24"/>
                <w:lang w:val="lt-LT"/>
              </w:rPr>
              <w:t>nurodyt</w:t>
            </w:r>
            <w:r w:rsidR="00BA060A" w:rsidRPr="00021411">
              <w:rPr>
                <w:szCs w:val="24"/>
                <w:lang w:val="lt-LT"/>
              </w:rPr>
              <w:t>u</w:t>
            </w:r>
            <w:r w:rsidRPr="00021411">
              <w:rPr>
                <w:szCs w:val="24"/>
                <w:lang w:val="lt-LT"/>
              </w:rPr>
              <w:t xml:space="preserve"> </w:t>
            </w:r>
            <w:r w:rsidR="00BA060A" w:rsidRPr="00021411">
              <w:rPr>
                <w:szCs w:val="24"/>
                <w:lang w:val="lt-LT"/>
              </w:rPr>
              <w:t xml:space="preserve">2016-2020 metų </w:t>
            </w:r>
            <w:r w:rsidRPr="00021411">
              <w:rPr>
                <w:szCs w:val="24"/>
                <w:lang w:val="lt-LT"/>
              </w:rPr>
              <w:t>laikotarpiu</w:t>
            </w:r>
            <w:r>
              <w:rPr>
                <w:szCs w:val="24"/>
                <w:lang w:val="lt-LT"/>
              </w:rPr>
              <w:t xml:space="preserve"> </w:t>
            </w:r>
            <w:r w:rsidR="00BA060A">
              <w:rPr>
                <w:szCs w:val="24"/>
                <w:lang w:val="lt-LT"/>
              </w:rPr>
              <w:t xml:space="preserve">deklaravo ir mokėjo mokesčius už išgautus požeminio vandens išteklius, atžvilgiu. </w:t>
            </w:r>
          </w:p>
        </w:tc>
      </w:tr>
      <w:tr w:rsidR="00DC6B34" w:rsidRPr="00346E1D" w14:paraId="228807C8" w14:textId="77777777" w:rsidTr="00E8023F">
        <w:tc>
          <w:tcPr>
            <w:tcW w:w="2093" w:type="dxa"/>
            <w:vMerge/>
          </w:tcPr>
          <w:p w14:paraId="45D2C2CC" w14:textId="2EDC1FBA" w:rsidR="00DC6B34" w:rsidRPr="00C679FD" w:rsidRDefault="00DC6B34" w:rsidP="00E8023F">
            <w:pPr>
              <w:rPr>
                <w:szCs w:val="24"/>
                <w:lang w:val="lt-LT"/>
              </w:rPr>
            </w:pPr>
          </w:p>
        </w:tc>
        <w:tc>
          <w:tcPr>
            <w:tcW w:w="6520" w:type="dxa"/>
          </w:tcPr>
          <w:p w14:paraId="4187EF77" w14:textId="412F0A7E" w:rsidR="00DC6B34" w:rsidRPr="00C679FD" w:rsidRDefault="00DC6B34" w:rsidP="00E8023F">
            <w:pPr>
              <w:jc w:val="both"/>
              <w:rPr>
                <w:color w:val="000000"/>
                <w:szCs w:val="24"/>
                <w:lang w:val="lt-LT"/>
              </w:rPr>
            </w:pPr>
            <w:r>
              <w:rPr>
                <w:color w:val="000000"/>
                <w:szCs w:val="24"/>
                <w:lang w:val="lt-LT"/>
              </w:rPr>
              <w:t>„&lt;...&gt; 2. Mokesčio už valstybinius gamtos išteklius, išskyrus mokestį už medžiojamųjų gyvūnų išteklius</w:t>
            </w:r>
            <w:r w:rsidR="00815CC4">
              <w:rPr>
                <w:color w:val="000000"/>
                <w:szCs w:val="24"/>
                <w:lang w:val="lt-LT"/>
              </w:rPr>
              <w:t>,</w:t>
            </w:r>
            <w:r>
              <w:rPr>
                <w:color w:val="000000"/>
                <w:szCs w:val="24"/>
                <w:lang w:val="lt-LT"/>
              </w:rPr>
              <w:t xml:space="preserve"> mokėtojai, mokestinio laikotarpio mokesčio deklaracijoje taikydam</w:t>
            </w:r>
            <w:r w:rsidR="00815CC4">
              <w:rPr>
                <w:color w:val="000000"/>
                <w:szCs w:val="24"/>
                <w:lang w:val="lt-LT"/>
              </w:rPr>
              <w:t>i</w:t>
            </w:r>
            <w:r>
              <w:rPr>
                <w:color w:val="000000"/>
                <w:szCs w:val="24"/>
                <w:lang w:val="lt-LT"/>
              </w:rPr>
              <w:t xml:space="preserve"> indeksuotą šio įstatymo 1 ar 2 prieduose nustatytą tarifą, apskaičiuoja ir moka mokestį už visą per tą mokestinį laikotarpį išgautą gamtos išteklių kiekį. </w:t>
            </w:r>
            <w:r w:rsidR="00815CC4" w:rsidRPr="00815CC4">
              <w:rPr>
                <w:color w:val="FF0000"/>
                <w:szCs w:val="24"/>
                <w:lang w:val="lt-LT"/>
              </w:rPr>
              <w:t>Mokesčio už požeminio vandens išteklius, išskyrus mineralinį vandenį, fizinių</w:t>
            </w:r>
            <w:r w:rsidR="00815CC4">
              <w:rPr>
                <w:color w:val="FF0000"/>
                <w:szCs w:val="24"/>
                <w:lang w:val="lt-LT"/>
              </w:rPr>
              <w:t xml:space="preserve"> ir juridinių asmenų naudojamą žemės ūkio veiklai, išskyrus požeminį vandenį, naudojamą žemės ūkio produktams perdirbti ir iš jų </w:t>
            </w:r>
            <w:r w:rsidR="00815CC4">
              <w:rPr>
                <w:color w:val="FF0000"/>
                <w:szCs w:val="24"/>
                <w:lang w:val="lt-LT"/>
              </w:rPr>
              <w:lastRenderedPageBreak/>
              <w:t xml:space="preserve">pagamintiems maisto ar ne maisto produktams realizuoti mokėtojai, mokestinio laikotarpio mokesčio deklaracijoje taikydami indeksuotą šio įstatymo 2 priede </w:t>
            </w:r>
            <w:r w:rsidR="00C132EA">
              <w:rPr>
                <w:color w:val="FF0000"/>
                <w:szCs w:val="24"/>
                <w:lang w:val="lt-LT"/>
              </w:rPr>
              <w:t>nustatytą tarifą, apskaičiuoja ir moka mokestį už per tą mokestinį laikotarpį išgautą požeminio vandens išteklių kiekį, viršijantį 100 m</w:t>
            </w:r>
            <w:r w:rsidR="00C132EA">
              <w:rPr>
                <w:color w:val="FF0000"/>
                <w:szCs w:val="24"/>
                <w:vertAlign w:val="superscript"/>
                <w:lang w:val="lt-LT"/>
              </w:rPr>
              <w:t>3</w:t>
            </w:r>
            <w:r w:rsidR="00C132EA">
              <w:rPr>
                <w:color w:val="FF0000"/>
                <w:szCs w:val="24"/>
                <w:lang w:val="lt-LT"/>
              </w:rPr>
              <w:t xml:space="preserve"> per parą, skaičiuojant metinį vidurkį“.“</w:t>
            </w:r>
          </w:p>
        </w:tc>
        <w:tc>
          <w:tcPr>
            <w:tcW w:w="4608" w:type="dxa"/>
          </w:tcPr>
          <w:p w14:paraId="75B2A6CF" w14:textId="7F214170" w:rsidR="00477D59" w:rsidRPr="003C145A" w:rsidRDefault="009943CF" w:rsidP="00477D59">
            <w:pPr>
              <w:jc w:val="both"/>
              <w:rPr>
                <w:b/>
                <w:szCs w:val="24"/>
                <w:lang w:val="lt-LT"/>
              </w:rPr>
            </w:pPr>
            <w:r w:rsidRPr="009943CF">
              <w:rPr>
                <w:b/>
                <w:szCs w:val="24"/>
                <w:lang w:val="lt-LT"/>
              </w:rPr>
              <w:lastRenderedPageBreak/>
              <w:t>Neatsižvelgta.</w:t>
            </w:r>
            <w:r w:rsidR="00F52C7B">
              <w:rPr>
                <w:b/>
                <w:szCs w:val="24"/>
                <w:lang w:val="lt-LT"/>
              </w:rPr>
              <w:t xml:space="preserve"> </w:t>
            </w:r>
          </w:p>
          <w:p w14:paraId="16FA7C87" w14:textId="542454DA" w:rsidR="00B024AE" w:rsidRPr="00C227B5" w:rsidRDefault="003C145A" w:rsidP="0006358B">
            <w:pPr>
              <w:jc w:val="both"/>
              <w:rPr>
                <w:rFonts w:cs="Times New Roman"/>
                <w:color w:val="000000"/>
                <w:lang w:val="lt-LT"/>
              </w:rPr>
            </w:pPr>
            <w:r>
              <w:rPr>
                <w:rFonts w:cs="Times New Roman"/>
                <w:color w:val="000000"/>
                <w:lang w:val="lt-LT"/>
              </w:rPr>
              <w:t xml:space="preserve">Siūlomas teisės akto pakeitimas sąlygotų išskirtinių mokestinių sąlygų sudarymą vienai </w:t>
            </w:r>
            <w:r w:rsidRPr="002C401D">
              <w:rPr>
                <w:rFonts w:cs="Times New Roman"/>
                <w:color w:val="000000"/>
                <w:lang w:val="lt-LT"/>
              </w:rPr>
              <w:t>asmenų grupei</w:t>
            </w:r>
            <w:r w:rsidR="002C401D">
              <w:rPr>
                <w:rFonts w:cs="Times New Roman"/>
                <w:color w:val="000000"/>
                <w:lang w:val="lt-LT"/>
              </w:rPr>
              <w:t>.</w:t>
            </w:r>
            <w:r w:rsidR="002C401D" w:rsidRPr="002C401D">
              <w:rPr>
                <w:rFonts w:cs="Times New Roman"/>
                <w:color w:val="000000"/>
                <w:lang w:val="lt-LT"/>
              </w:rPr>
              <w:t xml:space="preserve"> Išskirtinių sąlygų sudarymas vienam ar grupei asmenų laikytin</w:t>
            </w:r>
            <w:r w:rsidR="002C401D">
              <w:rPr>
                <w:rFonts w:cs="Times New Roman"/>
                <w:color w:val="000000"/>
                <w:lang w:val="lt-LT"/>
              </w:rPr>
              <w:t>as korupcijos rizikos veiksniu</w:t>
            </w:r>
            <w:r w:rsidR="002C401D" w:rsidRPr="002C401D">
              <w:rPr>
                <w:rFonts w:cs="Times New Roman"/>
                <w:color w:val="000000"/>
                <w:szCs w:val="24"/>
                <w:shd w:val="clear" w:color="auto" w:fill="FFFFFF"/>
                <w:lang w:val="lt-LT"/>
              </w:rPr>
              <w:t>.</w:t>
            </w:r>
            <w:r w:rsidRPr="002C401D">
              <w:rPr>
                <w:rFonts w:cs="Times New Roman"/>
                <w:color w:val="000000"/>
                <w:lang w:val="lt-LT"/>
              </w:rPr>
              <w:t xml:space="preserve"> </w:t>
            </w:r>
            <w:r w:rsidR="00C227B5">
              <w:t xml:space="preserve"> </w:t>
            </w:r>
            <w:r w:rsidR="00C227B5" w:rsidRPr="00C227B5">
              <w:rPr>
                <w:rFonts w:cs="Times New Roman"/>
                <w:color w:val="000000"/>
                <w:lang w:val="lt-LT"/>
              </w:rPr>
              <w:t>Bendroj</w:t>
            </w:r>
            <w:r w:rsidR="00C227B5">
              <w:rPr>
                <w:rFonts w:cs="Times New Roman"/>
                <w:color w:val="000000"/>
                <w:lang w:val="lt-LT"/>
              </w:rPr>
              <w:t>oje</w:t>
            </w:r>
            <w:r w:rsidR="00C227B5" w:rsidRPr="00C227B5">
              <w:rPr>
                <w:rFonts w:cs="Times New Roman"/>
                <w:color w:val="000000"/>
                <w:lang w:val="lt-LT"/>
              </w:rPr>
              <w:t xml:space="preserve"> vandens politikos direktyv</w:t>
            </w:r>
            <w:r w:rsidR="00C227B5">
              <w:rPr>
                <w:rFonts w:cs="Times New Roman"/>
                <w:color w:val="000000"/>
                <w:lang w:val="lt-LT"/>
              </w:rPr>
              <w:t xml:space="preserve">oje </w:t>
            </w:r>
            <w:r w:rsidR="00C227B5" w:rsidRPr="00C227B5">
              <w:rPr>
                <w:rFonts w:cs="Times New Roman"/>
                <w:color w:val="000000"/>
                <w:lang w:val="lt-LT"/>
              </w:rPr>
              <w:t>(2000/60/EB) įtvirtint</w:t>
            </w:r>
            <w:r w:rsidR="00C227B5">
              <w:rPr>
                <w:rFonts w:cs="Times New Roman"/>
                <w:color w:val="000000"/>
                <w:lang w:val="lt-LT"/>
              </w:rPr>
              <w:t>i</w:t>
            </w:r>
            <w:r w:rsidR="00C227B5" w:rsidRPr="00C227B5">
              <w:rPr>
                <w:rFonts w:cs="Times New Roman"/>
                <w:color w:val="000000"/>
                <w:lang w:val="lt-LT"/>
              </w:rPr>
              <w:t xml:space="preserve"> ,,teršėjas moka“ ir ,,sąnaudų susigrąžinimo“ principai. </w:t>
            </w:r>
            <w:r w:rsidR="00C227B5" w:rsidRPr="00C227B5">
              <w:rPr>
                <w:rFonts w:cs="Times New Roman"/>
                <w:color w:val="000000"/>
                <w:lang w:val="lt-LT"/>
              </w:rPr>
              <w:lastRenderedPageBreak/>
              <w:t xml:space="preserve">Direktyvos 9 str. 1 d. nustatyta, kad šalys privalo užtikrinti, kad vandens kainų politika pakankamai skatintų vartotojus naudoti vandenį efektyviai ir taip padėtų siekti šios direktyvos aplinkos apsaugos tikslų įvairiose vandens naudojimo srityse, kurių yra išskirta bent trys – pramonė, buitinis sektorius ir </w:t>
            </w:r>
            <w:r w:rsidR="00C227B5" w:rsidRPr="00C227B5">
              <w:rPr>
                <w:rFonts w:cs="Times New Roman"/>
                <w:b/>
                <w:color w:val="000000"/>
                <w:lang w:val="lt-LT"/>
              </w:rPr>
              <w:t>žemės ūkis</w:t>
            </w:r>
            <w:r w:rsidR="00C227B5" w:rsidRPr="00C227B5">
              <w:rPr>
                <w:rFonts w:cs="Times New Roman"/>
                <w:color w:val="000000"/>
                <w:lang w:val="lt-LT"/>
              </w:rPr>
              <w:t>, deramai būtų padengiamos sąnaudos, patirtos teikiant vandens paslaugas, remiantis pagal direktyvą atlikta ekonomine analize ir visų pirma atsižvelgi</w:t>
            </w:r>
            <w:r w:rsidR="00C227B5">
              <w:rPr>
                <w:rFonts w:cs="Times New Roman"/>
                <w:color w:val="000000"/>
                <w:lang w:val="lt-LT"/>
              </w:rPr>
              <w:t xml:space="preserve">ant į principą „teršėjas moka“. </w:t>
            </w:r>
            <w:r w:rsidR="002C401D" w:rsidRPr="002C401D">
              <w:rPr>
                <w:szCs w:val="24"/>
                <w:lang w:val="lt-LT"/>
              </w:rPr>
              <w:t>M</w:t>
            </w:r>
            <w:r w:rsidR="00F52C7B" w:rsidRPr="002C401D">
              <w:rPr>
                <w:szCs w:val="24"/>
                <w:lang w:val="lt-LT"/>
              </w:rPr>
              <w:t>okesčio tikslas –</w:t>
            </w:r>
            <w:r w:rsidR="00F52C7B" w:rsidRPr="00F52C7B">
              <w:rPr>
                <w:szCs w:val="24"/>
                <w:lang w:val="lt-LT"/>
              </w:rPr>
              <w:t xml:space="preserve"> </w:t>
            </w:r>
            <w:r w:rsidR="00F52C7B" w:rsidRPr="00F52C7B">
              <w:rPr>
                <w:b/>
                <w:szCs w:val="24"/>
                <w:lang w:val="lt-LT"/>
              </w:rPr>
              <w:t>skatinti išteklius naudoti racionaliai</w:t>
            </w:r>
            <w:r w:rsidR="00F52C7B" w:rsidRPr="00F52C7B">
              <w:rPr>
                <w:szCs w:val="24"/>
                <w:lang w:val="lt-LT"/>
              </w:rPr>
              <w:t>,</w:t>
            </w:r>
            <w:r>
              <w:rPr>
                <w:szCs w:val="24"/>
                <w:lang w:val="lt-LT"/>
              </w:rPr>
              <w:t xml:space="preserve"> o</w:t>
            </w:r>
            <w:r w:rsidR="00F52C7B" w:rsidRPr="00F52C7B">
              <w:rPr>
                <w:szCs w:val="24"/>
                <w:lang w:val="lt-LT"/>
              </w:rPr>
              <w:t xml:space="preserve"> </w:t>
            </w:r>
            <w:r w:rsidR="00B024AE">
              <w:rPr>
                <w:szCs w:val="24"/>
                <w:lang w:val="lt-LT"/>
              </w:rPr>
              <w:t xml:space="preserve">siūlomas teisės akto pakeitimas neprisidėtų prie tokio </w:t>
            </w:r>
            <w:r w:rsidR="00B024AE" w:rsidRPr="008B1D3A">
              <w:rPr>
                <w:szCs w:val="24"/>
                <w:lang w:val="lt-LT"/>
              </w:rPr>
              <w:t xml:space="preserve">požeminio vandens išteklių naudojimo. </w:t>
            </w:r>
            <w:r w:rsidR="00B024AE" w:rsidRPr="008B1D3A">
              <w:rPr>
                <w:rFonts w:cs="Times New Roman"/>
                <w:color w:val="000000"/>
                <w:lang w:val="lt-LT"/>
              </w:rPr>
              <w:t>EBPO rekomendacij</w:t>
            </w:r>
            <w:r w:rsidR="00477D59" w:rsidRPr="008B1D3A">
              <w:rPr>
                <w:rFonts w:cs="Times New Roman"/>
                <w:color w:val="000000"/>
                <w:lang w:val="lt-LT"/>
              </w:rPr>
              <w:t>ose</w:t>
            </w:r>
            <w:r w:rsidR="00B024AE" w:rsidRPr="008B1D3A">
              <w:rPr>
                <w:rFonts w:cs="Times New Roman"/>
                <w:color w:val="000000"/>
                <w:lang w:val="lt-LT"/>
              </w:rPr>
              <w:t xml:space="preserve"> Lietuvai, siūloma</w:t>
            </w:r>
            <w:r w:rsidR="002C401D" w:rsidRPr="008B1D3A">
              <w:rPr>
                <w:rFonts w:cs="Times New Roman"/>
                <w:color w:val="000000"/>
                <w:lang w:val="lt-LT"/>
              </w:rPr>
              <w:t xml:space="preserve"> dar</w:t>
            </w:r>
            <w:r w:rsidR="00B024AE" w:rsidRPr="008B1D3A">
              <w:rPr>
                <w:rFonts w:cs="Times New Roman"/>
                <w:color w:val="000000"/>
                <w:lang w:val="lt-LT"/>
              </w:rPr>
              <w:t xml:space="preserve"> plačiau taikyti aplinkosauginius mokesčius</w:t>
            </w:r>
            <w:r w:rsidR="002C401D" w:rsidRPr="008B1D3A">
              <w:rPr>
                <w:rFonts w:cs="Times New Roman"/>
                <w:color w:val="000000"/>
                <w:lang w:val="lt-LT"/>
              </w:rPr>
              <w:t xml:space="preserve"> ir</w:t>
            </w:r>
            <w:r w:rsidR="00B024AE" w:rsidRPr="008B1D3A">
              <w:rPr>
                <w:rFonts w:cs="Times New Roman"/>
                <w:color w:val="000000"/>
                <w:lang w:val="lt-LT"/>
              </w:rPr>
              <w:t xml:space="preserve"> plėsti mokesčių taikymo bazę</w:t>
            </w:r>
            <w:r w:rsidR="00477D59" w:rsidRPr="008B1D3A">
              <w:rPr>
                <w:rFonts w:cs="Times New Roman"/>
                <w:color w:val="000000"/>
                <w:lang w:val="lt-LT"/>
              </w:rPr>
              <w:t xml:space="preserve">. </w:t>
            </w:r>
            <w:r w:rsidR="008B1D3A" w:rsidRPr="008B1D3A">
              <w:rPr>
                <w:sz w:val="23"/>
                <w:szCs w:val="23"/>
                <w:lang w:val="lt-LT" w:eastAsia="lt-LT"/>
              </w:rPr>
              <w:t xml:space="preserve"> Išimties įtvirtinimas Mokesčio už valstybinius gamtos išteklius įstatyme sukeltų pagrįstų abejonių dėl Lietuvos teisės aktų atitikties EBPO rekomendacijoms</w:t>
            </w:r>
            <w:r w:rsidR="0006358B">
              <w:rPr>
                <w:sz w:val="23"/>
                <w:szCs w:val="23"/>
                <w:lang w:val="lt-LT" w:eastAsia="lt-LT"/>
              </w:rPr>
              <w:t>.</w:t>
            </w:r>
          </w:p>
        </w:tc>
      </w:tr>
      <w:tr w:rsidR="0006358B" w:rsidRPr="00346E1D" w14:paraId="63FB6E15" w14:textId="77777777" w:rsidTr="00E8023F">
        <w:tc>
          <w:tcPr>
            <w:tcW w:w="2093" w:type="dxa"/>
            <w:vMerge w:val="restart"/>
          </w:tcPr>
          <w:p w14:paraId="0369F3F8" w14:textId="3C2FB5AB" w:rsidR="0006358B" w:rsidRPr="00C679FD" w:rsidRDefault="0006358B" w:rsidP="00B13362">
            <w:pPr>
              <w:rPr>
                <w:szCs w:val="24"/>
                <w:lang w:val="lt-LT"/>
              </w:rPr>
            </w:pPr>
            <w:r>
              <w:rPr>
                <w:szCs w:val="24"/>
                <w:lang w:val="lt-LT"/>
              </w:rPr>
              <w:lastRenderedPageBreak/>
              <w:t>Lietuvos Respublikos specialiųjų tyrimų tarnybos 2020-09-1</w:t>
            </w:r>
            <w:r w:rsidR="00B13362">
              <w:rPr>
                <w:szCs w:val="24"/>
                <w:lang w:val="lt-LT"/>
              </w:rPr>
              <w:t xml:space="preserve">5 </w:t>
            </w:r>
            <w:r>
              <w:rPr>
                <w:szCs w:val="24"/>
                <w:lang w:val="lt-LT"/>
              </w:rPr>
              <w:t xml:space="preserve">raštas Nr. </w:t>
            </w:r>
            <w:r w:rsidR="00B13362" w:rsidRPr="00B13362">
              <w:rPr>
                <w:szCs w:val="24"/>
                <w:lang w:val="lt-LT"/>
              </w:rPr>
              <w:t>4-01-7264</w:t>
            </w:r>
          </w:p>
        </w:tc>
        <w:tc>
          <w:tcPr>
            <w:tcW w:w="6520" w:type="dxa"/>
          </w:tcPr>
          <w:p w14:paraId="12C1258C" w14:textId="389C02CD" w:rsidR="0006358B" w:rsidRPr="0006358B" w:rsidRDefault="0006358B" w:rsidP="0006358B">
            <w:pPr>
              <w:tabs>
                <w:tab w:val="left" w:pos="709"/>
                <w:tab w:val="left" w:pos="1134"/>
                <w:tab w:val="left" w:pos="1418"/>
                <w:tab w:val="right" w:pos="9638"/>
              </w:tabs>
              <w:suppressAutoHyphens/>
              <w:jc w:val="both"/>
              <w:rPr>
                <w:lang w:val="lt-LT"/>
              </w:rPr>
            </w:pPr>
            <w:r>
              <w:rPr>
                <w:lang w:val="lt-LT"/>
              </w:rPr>
              <w:t>„</w:t>
            </w:r>
            <w:r w:rsidRPr="0006358B">
              <w:rPr>
                <w:lang w:val="lt-LT"/>
              </w:rPr>
              <w:t xml:space="preserve">&lt;…&gt; 2.2. Diskutuotinas ir atleidimo nuo administracinės atsakomybės galiojimo terminas. Nuostatoje yra nurodyta, kad asmuo atleidžiamas nuo administracinės atsakomybės </w:t>
            </w:r>
            <w:r w:rsidRPr="0006358B">
              <w:rPr>
                <w:i/>
                <w:iCs/>
                <w:u w:val="single"/>
                <w:lang w:val="lt-LT"/>
              </w:rPr>
              <w:t>įstatymo galiojimo laikotarpiu.</w:t>
            </w:r>
            <w:r w:rsidRPr="0006358B">
              <w:rPr>
                <w:lang w:val="lt-LT"/>
              </w:rPr>
              <w:t xml:space="preserve"> Pagal siūlomą reglamentavimą gali susidaryti situacijos, kai asmuo pažeidęs išgautų gamtos išteklių deklaravimo tvarką pagal šią nuostatą gali būti atleidžiamas nuo administracinės atsakomybės, nors jo gręžinys jau bus įregistruotas registre ir jis jau turės leidimą naudoti požeminio vandens išteklius, tačiau bus įvykdęs šio įstatymo galiojimo laikotarpiu nurodytą atleidimo nuo administracinės atsakomybės sąlygą, t. y. bus pateikęs gręžinio pasą įregistravimui. Projekte nėra nustatyta, kad jau įregistravus gręžinį Žemės gelmių registre, administracinė atsakomybė bus taikoma bendra tvarka už padarytus pažeidimus. Siekdami išvengti įvairių teisinio </w:t>
            </w:r>
            <w:r w:rsidRPr="0006358B">
              <w:rPr>
                <w:lang w:val="lt-LT"/>
              </w:rPr>
              <w:lastRenderedPageBreak/>
              <w:t>reglamentavimo interpretacijų, kurios didina korupcijos pasireiškimo riziką, siūlome aiškiai ir detaliai reglamentuoti, atleidimo nuo administracinės atsakomybės terminus pagal šio projekto nuostatas.</w:t>
            </w:r>
            <w:r>
              <w:rPr>
                <w:lang w:val="lt-LT"/>
              </w:rPr>
              <w:t>“</w:t>
            </w:r>
          </w:p>
        </w:tc>
        <w:tc>
          <w:tcPr>
            <w:tcW w:w="4608" w:type="dxa"/>
          </w:tcPr>
          <w:p w14:paraId="30522268" w14:textId="34228A87" w:rsidR="0006358B" w:rsidRDefault="00B13362" w:rsidP="00E8023F">
            <w:pPr>
              <w:jc w:val="both"/>
              <w:rPr>
                <w:b/>
                <w:szCs w:val="24"/>
                <w:lang w:val="lt-LT"/>
              </w:rPr>
            </w:pPr>
            <w:r>
              <w:rPr>
                <w:b/>
                <w:szCs w:val="24"/>
                <w:lang w:val="lt-LT"/>
              </w:rPr>
              <w:lastRenderedPageBreak/>
              <w:t>Atsižvelgta iš dalies.</w:t>
            </w:r>
          </w:p>
          <w:p w14:paraId="16CA2508" w14:textId="7F3FFFC9" w:rsidR="00B13362" w:rsidRPr="00B13362" w:rsidRDefault="00B13362" w:rsidP="00021411">
            <w:pPr>
              <w:jc w:val="both"/>
              <w:rPr>
                <w:szCs w:val="24"/>
                <w:lang w:val="lt-LT"/>
              </w:rPr>
            </w:pPr>
            <w:r w:rsidRPr="00B13362">
              <w:rPr>
                <w:szCs w:val="24"/>
                <w:lang w:val="lt-LT"/>
              </w:rPr>
              <w:t xml:space="preserve">Siūlomas reglamentavimas yra skirtas tik tiems gėlo požeminio vandens gręžiniams, kurie </w:t>
            </w:r>
            <w:r w:rsidRPr="007A219F">
              <w:rPr>
                <w:szCs w:val="24"/>
                <w:u w:val="single"/>
                <w:lang w:val="lt-LT"/>
              </w:rPr>
              <w:t>yra įrengti iki laikinojo įstatymo įsigaliojimo</w:t>
            </w:r>
            <w:r w:rsidR="007A219F">
              <w:rPr>
                <w:szCs w:val="24"/>
                <w:u w:val="single"/>
                <w:lang w:val="lt-LT"/>
              </w:rPr>
              <w:t>.</w:t>
            </w:r>
            <w:r w:rsidRPr="00B13362">
              <w:rPr>
                <w:szCs w:val="24"/>
                <w:lang w:val="lt-LT"/>
              </w:rPr>
              <w:t xml:space="preserve"> STT pateiktu atveju, asmeniui </w:t>
            </w:r>
            <w:r>
              <w:rPr>
                <w:szCs w:val="24"/>
                <w:lang w:val="lt-LT"/>
              </w:rPr>
              <w:t xml:space="preserve">laikinojo įstatymo projekte numatytas atleidimas nuo atsakomybės </w:t>
            </w:r>
            <w:r w:rsidRPr="00B13362">
              <w:rPr>
                <w:szCs w:val="24"/>
                <w:lang w:val="lt-LT"/>
              </w:rPr>
              <w:t>nebūtų taikoma</w:t>
            </w:r>
            <w:r>
              <w:rPr>
                <w:szCs w:val="24"/>
                <w:lang w:val="lt-LT"/>
              </w:rPr>
              <w:t>s</w:t>
            </w:r>
            <w:r w:rsidRPr="00B13362">
              <w:rPr>
                <w:szCs w:val="24"/>
                <w:lang w:val="lt-LT"/>
              </w:rPr>
              <w:t xml:space="preserve">, kadangi asmens </w:t>
            </w:r>
            <w:r w:rsidR="007A219F">
              <w:rPr>
                <w:szCs w:val="24"/>
                <w:lang w:val="lt-LT"/>
              </w:rPr>
              <w:t xml:space="preserve">turimas ir (arba) naudojamas požeminio vandens gręžinys </w:t>
            </w:r>
            <w:r>
              <w:rPr>
                <w:szCs w:val="24"/>
                <w:lang w:val="lt-LT"/>
              </w:rPr>
              <w:t>reg</w:t>
            </w:r>
            <w:r w:rsidR="007A219F">
              <w:rPr>
                <w:szCs w:val="24"/>
                <w:lang w:val="lt-LT"/>
              </w:rPr>
              <w:t>istruotas Žemės gelmių registre ir turint</w:t>
            </w:r>
            <w:r w:rsidR="00021411">
              <w:rPr>
                <w:szCs w:val="24"/>
                <w:lang w:val="lt-LT"/>
              </w:rPr>
              <w:t>i</w:t>
            </w:r>
            <w:r w:rsidR="007A219F">
              <w:rPr>
                <w:szCs w:val="24"/>
                <w:lang w:val="lt-LT"/>
              </w:rPr>
              <w:t>s leidimą,</w:t>
            </w:r>
            <w:r w:rsidR="00021411">
              <w:rPr>
                <w:szCs w:val="24"/>
                <w:lang w:val="lt-LT"/>
              </w:rPr>
              <w:t xml:space="preserve"> </w:t>
            </w:r>
            <w:r>
              <w:rPr>
                <w:szCs w:val="24"/>
                <w:lang w:val="lt-LT"/>
              </w:rPr>
              <w:t xml:space="preserve">nėra laikinojo įstatymo objektas. Pažymėtina, kad laikinojo įstatymo projekte asmeniui numatytas pereinamasis 18 mėn. laikotarpis, per kurį asmuo įsiregistravęs gėlo </w:t>
            </w:r>
            <w:r>
              <w:rPr>
                <w:szCs w:val="24"/>
                <w:lang w:val="lt-LT"/>
              </w:rPr>
              <w:lastRenderedPageBreak/>
              <w:t>požeminio vandens gręžinį turės galimybę gauti leidimą požeminio vandens ištekliams išgauti.</w:t>
            </w:r>
          </w:p>
        </w:tc>
      </w:tr>
      <w:tr w:rsidR="0006358B" w:rsidRPr="00346E1D" w14:paraId="7C07C1A9" w14:textId="77777777" w:rsidTr="00E8023F">
        <w:tc>
          <w:tcPr>
            <w:tcW w:w="2093" w:type="dxa"/>
            <w:vMerge/>
          </w:tcPr>
          <w:p w14:paraId="417CEA5F" w14:textId="59FEBE3B" w:rsidR="0006358B" w:rsidRDefault="0006358B" w:rsidP="00E8023F">
            <w:pPr>
              <w:rPr>
                <w:szCs w:val="24"/>
                <w:lang w:val="lt-LT"/>
              </w:rPr>
            </w:pPr>
          </w:p>
        </w:tc>
        <w:tc>
          <w:tcPr>
            <w:tcW w:w="6520" w:type="dxa"/>
          </w:tcPr>
          <w:p w14:paraId="70381F2B" w14:textId="47B88B18" w:rsidR="0006358B" w:rsidRPr="0006358B" w:rsidRDefault="0006358B" w:rsidP="0006358B">
            <w:pPr>
              <w:pStyle w:val="ListParagraph"/>
              <w:tabs>
                <w:tab w:val="left" w:pos="0"/>
                <w:tab w:val="left" w:pos="709"/>
                <w:tab w:val="left" w:pos="1418"/>
                <w:tab w:val="right" w:pos="9638"/>
              </w:tabs>
              <w:suppressAutoHyphens/>
              <w:ind w:left="0"/>
              <w:jc w:val="both"/>
              <w:rPr>
                <w:lang w:val="lt-LT"/>
              </w:rPr>
            </w:pPr>
            <w:r>
              <w:rPr>
                <w:lang w:val="lt-LT"/>
              </w:rPr>
              <w:t>„</w:t>
            </w:r>
            <w:r w:rsidRPr="0006358B">
              <w:rPr>
                <w:lang w:val="lt-LT"/>
              </w:rPr>
              <w:t>&lt;…&gt; 3. Mokesčio už gamtos išteklius įstatymo projektu siūloma sumažinti už nedeklaruotą ar deklaruotą mažesnį negu išgautas požeminio gėlo vandens kiekį ir (ar) be leidimo išgautą požeminio gėlo vandens kiekį taikomą didesnį mokesčio tarifo koeficientą nuo 10 iki 2. Siūlomas koeficiento mažinimas diskutuotinas teikiamų projektų rengimo tikslo kontekste, nes pagrindinis projekto rengėjų tikslas yra sudaryti galimybes ir paskatinti neregistruotų požeminio gėlo vandens gręžinių savininkus įteisinti naudojamus neregistruotus gręžinius ir gamtos išteklius naudoti tik turint leidimus. Siūlomas 5 kartus mažesnis koeficientas neskatintų neregistruotų naudojamų požeminio gėlo vandens gręžinių savininkų įteisinti gręžinius, o gėlo vandens išteklių naudotojams būtų sudarytos išskirtinės sąlygos už nedeklaruotą, deklaruotą mažesnį negu išgautas gamtos išteklių kiekį ir be leidimo išgautą gamtos išteklių kiekį mokėti mažesnį mokestį taikant mažesnį koeficientą „2“, kitus gamtos išteklius naudojančių asmenų atžvilgiu, kurie už nurodytus pažeidimus turėtų mokėti 10 kartų padidintą mokestį už gamtos išteklius.</w:t>
            </w:r>
            <w:r>
              <w:rPr>
                <w:lang w:val="lt-LT"/>
              </w:rPr>
              <w:t>“</w:t>
            </w:r>
          </w:p>
        </w:tc>
        <w:tc>
          <w:tcPr>
            <w:tcW w:w="4608" w:type="dxa"/>
          </w:tcPr>
          <w:p w14:paraId="5B3CEF54" w14:textId="77777777" w:rsidR="00B13362" w:rsidRDefault="00B13362" w:rsidP="00B13362">
            <w:pPr>
              <w:jc w:val="both"/>
              <w:rPr>
                <w:b/>
                <w:szCs w:val="24"/>
                <w:lang w:val="lt-LT"/>
              </w:rPr>
            </w:pPr>
            <w:r>
              <w:rPr>
                <w:b/>
                <w:szCs w:val="24"/>
                <w:lang w:val="lt-LT"/>
              </w:rPr>
              <w:t>Neatsižvelgta.</w:t>
            </w:r>
          </w:p>
          <w:p w14:paraId="34109A99" w14:textId="27366C25" w:rsidR="0006358B" w:rsidRPr="008D2498" w:rsidRDefault="008D2498" w:rsidP="00C92A6D">
            <w:pPr>
              <w:jc w:val="both"/>
              <w:rPr>
                <w:szCs w:val="24"/>
                <w:lang w:val="lt-LT"/>
              </w:rPr>
            </w:pPr>
            <w:r w:rsidRPr="008D2498">
              <w:rPr>
                <w:szCs w:val="24"/>
                <w:lang w:val="lt-LT"/>
              </w:rPr>
              <w:t xml:space="preserve">Svarbu pažymėti, kad </w:t>
            </w:r>
            <w:r w:rsidR="007A219F">
              <w:rPr>
                <w:szCs w:val="24"/>
                <w:lang w:val="lt-LT"/>
              </w:rPr>
              <w:t xml:space="preserve">pateiktais derinti įstatymų pakeitimo projektais </w:t>
            </w:r>
            <w:r w:rsidRPr="008D2498">
              <w:rPr>
                <w:szCs w:val="24"/>
                <w:lang w:val="lt-LT"/>
              </w:rPr>
              <w:t>siekiam</w:t>
            </w:r>
            <w:r w:rsidR="007A219F">
              <w:rPr>
                <w:szCs w:val="24"/>
                <w:lang w:val="lt-LT"/>
              </w:rPr>
              <w:t>a</w:t>
            </w:r>
            <w:r w:rsidRPr="008D2498">
              <w:rPr>
                <w:szCs w:val="24"/>
                <w:lang w:val="lt-LT"/>
              </w:rPr>
              <w:t xml:space="preserve"> spręsti po</w:t>
            </w:r>
            <w:r>
              <w:rPr>
                <w:szCs w:val="24"/>
                <w:lang w:val="lt-LT"/>
              </w:rPr>
              <w:t>žeminio vandens išteklių naudojimo</w:t>
            </w:r>
            <w:r w:rsidRPr="008D2498">
              <w:rPr>
                <w:szCs w:val="24"/>
                <w:lang w:val="lt-LT"/>
              </w:rPr>
              <w:t xml:space="preserve"> </w:t>
            </w:r>
            <w:r w:rsidR="007A219F">
              <w:rPr>
                <w:szCs w:val="24"/>
                <w:lang w:val="lt-LT"/>
              </w:rPr>
              <w:t>problemą</w:t>
            </w:r>
            <w:r>
              <w:rPr>
                <w:szCs w:val="24"/>
                <w:lang w:val="lt-LT"/>
              </w:rPr>
              <w:t xml:space="preserve"> bendrai, </w:t>
            </w:r>
            <w:r w:rsidR="007A219F">
              <w:rPr>
                <w:szCs w:val="24"/>
                <w:lang w:val="lt-LT"/>
              </w:rPr>
              <w:t>o</w:t>
            </w:r>
            <w:r>
              <w:rPr>
                <w:szCs w:val="24"/>
                <w:lang w:val="lt-LT"/>
              </w:rPr>
              <w:t xml:space="preserve"> konkretus projektas sprendžia lokalizuotas problemines situacijas.</w:t>
            </w:r>
            <w:r w:rsidR="007A219F">
              <w:rPr>
                <w:szCs w:val="24"/>
                <w:lang w:val="lt-LT"/>
              </w:rPr>
              <w:t xml:space="preserve"> Pažymėtina, kad </w:t>
            </w:r>
            <w:r>
              <w:rPr>
                <w:szCs w:val="24"/>
                <w:lang w:val="lt-LT"/>
              </w:rPr>
              <w:t>Mokesčių už valstybinius gamtos išteklius įstatymo 6 straipsnio pakeitimo projekt</w:t>
            </w:r>
            <w:r w:rsidR="007A219F">
              <w:rPr>
                <w:szCs w:val="24"/>
                <w:lang w:val="lt-LT"/>
              </w:rPr>
              <w:t xml:space="preserve">u ir  nesiekiama </w:t>
            </w:r>
            <w:r w:rsidR="007A219F" w:rsidRPr="0006358B">
              <w:rPr>
                <w:lang w:val="lt-LT"/>
              </w:rPr>
              <w:t xml:space="preserve"> </w:t>
            </w:r>
            <w:r w:rsidR="007A219F">
              <w:rPr>
                <w:lang w:val="lt-LT"/>
              </w:rPr>
              <w:t>skatinti</w:t>
            </w:r>
            <w:r w:rsidR="007A219F" w:rsidRPr="0006358B">
              <w:rPr>
                <w:lang w:val="lt-LT"/>
              </w:rPr>
              <w:t xml:space="preserve"> </w:t>
            </w:r>
            <w:r w:rsidR="007A219F">
              <w:rPr>
                <w:lang w:val="lt-LT"/>
              </w:rPr>
              <w:t>„&lt;...&gt;</w:t>
            </w:r>
            <w:r w:rsidR="007A219F" w:rsidRPr="0006358B">
              <w:rPr>
                <w:lang w:val="lt-LT"/>
              </w:rPr>
              <w:t>neregistruotų naudojamų požeminio gėlo vandens gręžinių savininkų įteisinti gręžinius</w:t>
            </w:r>
            <w:r w:rsidR="007A219F">
              <w:rPr>
                <w:lang w:val="lt-LT"/>
              </w:rPr>
              <w:t xml:space="preserve"> &lt;...&gt;“. </w:t>
            </w:r>
            <w:bookmarkStart w:id="0" w:name="_GoBack"/>
            <w:bookmarkEnd w:id="0"/>
            <w:r w:rsidR="00C92A6D">
              <w:rPr>
                <w:rFonts w:cs="Times New Roman"/>
                <w:szCs w:val="24"/>
                <w:lang w:val="lt-LT"/>
              </w:rPr>
              <w:t>T</w:t>
            </w:r>
            <w:r w:rsidR="00C92A6D" w:rsidRPr="00C92A6D">
              <w:rPr>
                <w:rFonts w:cs="Times New Roman"/>
                <w:szCs w:val="24"/>
                <w:lang w:val="lt-LT"/>
              </w:rPr>
              <w:t>ikimąsi, kad būtent naujos tvarkos t.y. laikinojo įstatymo patvirtinimas ir jo galiojimo metu suteiktas atleidimas nuo atsakomybės ir sudarytos paprastesnės sąlygos įsiteisinti gręžinius paskatins gręžinių savininkus juos įsiteisinti.</w:t>
            </w:r>
          </w:p>
        </w:tc>
      </w:tr>
      <w:tr w:rsidR="002C2C16" w:rsidRPr="00346E1D" w14:paraId="3B2B7267" w14:textId="77777777" w:rsidTr="00E8023F">
        <w:tc>
          <w:tcPr>
            <w:tcW w:w="2093" w:type="dxa"/>
          </w:tcPr>
          <w:p w14:paraId="0547074B" w14:textId="1B3A30C4" w:rsidR="002C2C16" w:rsidRPr="00B54F9E" w:rsidRDefault="00E17812" w:rsidP="00E8023F">
            <w:pPr>
              <w:rPr>
                <w:szCs w:val="24"/>
              </w:rPr>
            </w:pPr>
            <w:r>
              <w:rPr>
                <w:szCs w:val="24"/>
              </w:rPr>
              <w:t>Lietuvos pramonininkų konfederacijos 2020-09-15 raštas Nr. S.357</w:t>
            </w:r>
          </w:p>
        </w:tc>
        <w:tc>
          <w:tcPr>
            <w:tcW w:w="6520" w:type="dxa"/>
          </w:tcPr>
          <w:p w14:paraId="0DBD8CA8" w14:textId="77777777" w:rsidR="00E17812" w:rsidRDefault="00E17812" w:rsidP="0006358B">
            <w:pPr>
              <w:pStyle w:val="ListParagraph"/>
              <w:tabs>
                <w:tab w:val="left" w:pos="0"/>
                <w:tab w:val="left" w:pos="709"/>
                <w:tab w:val="left" w:pos="1418"/>
                <w:tab w:val="right" w:pos="9638"/>
              </w:tabs>
              <w:suppressAutoHyphens/>
              <w:ind w:left="0"/>
              <w:jc w:val="both"/>
              <w:rPr>
                <w:lang w:val="lt-LT"/>
              </w:rPr>
            </w:pPr>
            <w:r>
              <w:rPr>
                <w:lang w:val="lt-LT"/>
              </w:rPr>
              <w:t>„&lt;...&gt; Atsižvelgiant į aukščiau išdėstytą, LPK siūlo Įstatymo projekto6 straipsnio 2 dalį išdėstyti taip:</w:t>
            </w:r>
          </w:p>
          <w:p w14:paraId="10EF6B17" w14:textId="2BD5CE8D" w:rsidR="002C2C16" w:rsidRDefault="00E17812" w:rsidP="005C6393">
            <w:pPr>
              <w:pStyle w:val="ListParagraph"/>
              <w:tabs>
                <w:tab w:val="left" w:pos="0"/>
                <w:tab w:val="left" w:pos="709"/>
                <w:tab w:val="left" w:pos="1418"/>
                <w:tab w:val="right" w:pos="9638"/>
              </w:tabs>
              <w:suppressAutoHyphens/>
              <w:ind w:left="0"/>
              <w:jc w:val="both"/>
              <w:rPr>
                <w:lang w:val="lt-LT"/>
              </w:rPr>
            </w:pPr>
            <w:r>
              <w:rPr>
                <w:lang w:val="lt-LT"/>
              </w:rPr>
              <w:t xml:space="preserve">„2. Už nedeklaruotą ar deklaruotą mažesnį negu išgautas gamtos išteklių </w:t>
            </w:r>
            <w:r w:rsidRPr="00E17812">
              <w:rPr>
                <w:strike/>
                <w:lang w:val="lt-LT"/>
              </w:rPr>
              <w:t>ir (ar)</w:t>
            </w:r>
            <w:r>
              <w:rPr>
                <w:lang w:val="lt-LT"/>
              </w:rPr>
              <w:t xml:space="preserve"> arba be leidimo išgautą gamtos išteklių kiekį taikomas didesnis mokesčio tarifas. Jis apskaičiuojamas šio įstatymo 1, 2 ir 3 prieduose nustatytus tarifus dauginant iš šių koeficient</w:t>
            </w:r>
            <w:r w:rsidRPr="00E17812">
              <w:rPr>
                <w:strike/>
                <w:lang w:val="lt-LT"/>
              </w:rPr>
              <w:t>o</w:t>
            </w:r>
            <w:r w:rsidRPr="005C6393">
              <w:rPr>
                <w:b/>
                <w:lang w:val="lt-LT"/>
              </w:rPr>
              <w:t>ų</w:t>
            </w:r>
            <w:r>
              <w:rPr>
                <w:lang w:val="lt-LT"/>
              </w:rPr>
              <w:t xml:space="preserve"> </w:t>
            </w:r>
            <w:r w:rsidRPr="00E17812">
              <w:rPr>
                <w:strike/>
                <w:lang w:val="lt-LT"/>
              </w:rPr>
              <w:t>10</w:t>
            </w:r>
            <w:r>
              <w:rPr>
                <w:lang w:val="lt-LT"/>
              </w:rPr>
              <w:t>:</w:t>
            </w:r>
            <w:r w:rsidR="005C6393">
              <w:rPr>
                <w:lang w:val="lt-LT"/>
              </w:rPr>
              <w:t xml:space="preserve"> </w:t>
            </w:r>
            <w:r w:rsidR="005C6393" w:rsidRPr="005C6393">
              <w:rPr>
                <w:b/>
                <w:lang w:val="lt-LT"/>
              </w:rPr>
              <w:t xml:space="preserve">1 priedo tarifus dauginant iš koeficiento 10 (kai ištekliai išgaunami be leidimo) ir iš koeficiento 5 (kai išgaunami ištekliai nedeklaruojami ar deklaruojamas mažesnis negu išgautas jų kiekis); 2 priedo tarifus dauginant iš koeficiento 5 (kai ištekliai išgaunami be leidimo) ir iš koeficiento 2 (kai išgaunami ištekliai nedeklaruojami ar </w:t>
            </w:r>
            <w:r w:rsidR="005C6393" w:rsidRPr="005C6393">
              <w:rPr>
                <w:b/>
                <w:lang w:val="lt-LT"/>
              </w:rPr>
              <w:lastRenderedPageBreak/>
              <w:t>deklaruojamas mažesnį negu išgautas jų kiekis); 3 priedo tarifus dauginant iš koeficiento 10</w:t>
            </w:r>
            <w:r w:rsidR="005C6393">
              <w:rPr>
                <w:lang w:val="lt-LT"/>
              </w:rPr>
              <w:t xml:space="preserve">. </w:t>
            </w:r>
            <w:r>
              <w:rPr>
                <w:lang w:val="lt-LT"/>
              </w:rPr>
              <w:t>“</w:t>
            </w:r>
          </w:p>
        </w:tc>
        <w:tc>
          <w:tcPr>
            <w:tcW w:w="4608" w:type="dxa"/>
          </w:tcPr>
          <w:p w14:paraId="0DED51B6" w14:textId="77777777" w:rsidR="009A685F" w:rsidRDefault="005C6393" w:rsidP="00B13362">
            <w:pPr>
              <w:jc w:val="both"/>
              <w:rPr>
                <w:b/>
                <w:szCs w:val="24"/>
                <w:lang w:val="lt-LT"/>
              </w:rPr>
            </w:pPr>
            <w:r>
              <w:rPr>
                <w:b/>
                <w:szCs w:val="24"/>
                <w:lang w:val="lt-LT"/>
              </w:rPr>
              <w:lastRenderedPageBreak/>
              <w:t>Neatsižvelgta.</w:t>
            </w:r>
          </w:p>
          <w:p w14:paraId="5038DE49" w14:textId="57A88225" w:rsidR="005C6393" w:rsidRPr="009A685F" w:rsidRDefault="009A685F" w:rsidP="00B13362">
            <w:pPr>
              <w:jc w:val="both"/>
              <w:rPr>
                <w:b/>
                <w:szCs w:val="24"/>
                <w:lang w:val="lt-LT"/>
              </w:rPr>
            </w:pPr>
            <w:r w:rsidRPr="009A685F">
              <w:rPr>
                <w:szCs w:val="24"/>
                <w:lang w:val="lt-LT"/>
              </w:rPr>
              <w:t xml:space="preserve">Teikiamo derinti Mokesčių už valstybinius gamtos išteklius įstatymo </w:t>
            </w:r>
            <w:r w:rsidR="007A219F">
              <w:rPr>
                <w:szCs w:val="24"/>
                <w:lang w:val="lt-LT"/>
              </w:rPr>
              <w:t xml:space="preserve">(toliau - </w:t>
            </w:r>
            <w:r w:rsidR="007A219F" w:rsidRPr="002414D5">
              <w:rPr>
                <w:szCs w:val="24"/>
                <w:lang w:val="lt-LT"/>
              </w:rPr>
              <w:t>MUVGIĮ</w:t>
            </w:r>
            <w:r w:rsidR="007A219F" w:rsidRPr="009A685F">
              <w:rPr>
                <w:szCs w:val="24"/>
                <w:lang w:val="lt-LT"/>
              </w:rPr>
              <w:t xml:space="preserve"> </w:t>
            </w:r>
            <w:r w:rsidR="007A219F">
              <w:rPr>
                <w:szCs w:val="24"/>
                <w:lang w:val="lt-LT"/>
              </w:rPr>
              <w:t xml:space="preserve">) </w:t>
            </w:r>
            <w:r w:rsidRPr="009A685F">
              <w:rPr>
                <w:szCs w:val="24"/>
                <w:lang w:val="lt-LT"/>
              </w:rPr>
              <w:t>6 straipsnio pakeitimo</w:t>
            </w:r>
            <w:r>
              <w:rPr>
                <w:b/>
                <w:szCs w:val="24"/>
                <w:lang w:val="lt-LT"/>
              </w:rPr>
              <w:t xml:space="preserve"> </w:t>
            </w:r>
            <w:r>
              <w:rPr>
                <w:szCs w:val="24"/>
                <w:lang w:val="lt-LT"/>
              </w:rPr>
              <w:t>p</w:t>
            </w:r>
            <w:r w:rsidR="005C6393" w:rsidRPr="005C6393">
              <w:rPr>
                <w:szCs w:val="24"/>
                <w:lang w:val="lt-LT"/>
              </w:rPr>
              <w:t>rojekto apimtis</w:t>
            </w:r>
            <w:r w:rsidR="002414D5">
              <w:rPr>
                <w:szCs w:val="24"/>
                <w:lang w:val="lt-LT"/>
              </w:rPr>
              <w:t xml:space="preserve"> </w:t>
            </w:r>
            <w:r w:rsidR="005C6393" w:rsidRPr="002414D5">
              <w:rPr>
                <w:szCs w:val="24"/>
                <w:u w:val="single"/>
                <w:lang w:val="lt-LT"/>
              </w:rPr>
              <w:t>požemi</w:t>
            </w:r>
            <w:r w:rsidR="002414D5" w:rsidRPr="002414D5">
              <w:rPr>
                <w:szCs w:val="24"/>
                <w:u w:val="single"/>
                <w:lang w:val="lt-LT"/>
              </w:rPr>
              <w:t>nio vandens išteklių</w:t>
            </w:r>
            <w:r w:rsidR="002414D5">
              <w:rPr>
                <w:szCs w:val="24"/>
                <w:u w:val="single"/>
                <w:lang w:val="lt-LT"/>
              </w:rPr>
              <w:t>, o ne visų žemės gelmių ir kitų gamtos išteklių,</w:t>
            </w:r>
            <w:r w:rsidR="002414D5" w:rsidRPr="002414D5">
              <w:rPr>
                <w:szCs w:val="24"/>
                <w:u w:val="single"/>
                <w:lang w:val="lt-LT"/>
              </w:rPr>
              <w:t xml:space="preserve"> naudojimas</w:t>
            </w:r>
            <w:r w:rsidR="002414D5">
              <w:rPr>
                <w:szCs w:val="24"/>
                <w:lang w:val="lt-LT"/>
              </w:rPr>
              <w:t>. Siūlomu pakeitimu norima</w:t>
            </w:r>
            <w:r w:rsidR="002414D5">
              <w:t xml:space="preserve"> </w:t>
            </w:r>
            <w:r w:rsidR="002414D5" w:rsidRPr="002414D5">
              <w:rPr>
                <w:szCs w:val="24"/>
                <w:lang w:val="lt-LT"/>
              </w:rPr>
              <w:t xml:space="preserve">MUVGIĮ nustatytą koeficientą 10 sumažinti ir 2 priede nurodytiems </w:t>
            </w:r>
            <w:r w:rsidR="002414D5" w:rsidRPr="002414D5">
              <w:rPr>
                <w:szCs w:val="24"/>
                <w:u w:val="single"/>
                <w:lang w:val="lt-LT"/>
              </w:rPr>
              <w:t>požeminio vandens (išskyrus mineralinį vandenį) ištekliams</w:t>
            </w:r>
            <w:r w:rsidR="002414D5" w:rsidRPr="002414D5">
              <w:rPr>
                <w:szCs w:val="24"/>
                <w:lang w:val="lt-LT"/>
              </w:rPr>
              <w:t xml:space="preserve"> nustatytus ta</w:t>
            </w:r>
            <w:r w:rsidR="002414D5">
              <w:rPr>
                <w:szCs w:val="24"/>
                <w:lang w:val="lt-LT"/>
              </w:rPr>
              <w:t>rifus dauginti iš koeficiento 2.</w:t>
            </w:r>
            <w:r w:rsidR="007A219F">
              <w:rPr>
                <w:szCs w:val="24"/>
                <w:lang w:val="lt-LT"/>
              </w:rPr>
              <w:t xml:space="preserve"> </w:t>
            </w:r>
          </w:p>
          <w:p w14:paraId="4BEC1697" w14:textId="11990F9E" w:rsidR="002C2C16" w:rsidRPr="002414D5" w:rsidRDefault="0079708C" w:rsidP="007A219F">
            <w:pPr>
              <w:jc w:val="both"/>
              <w:rPr>
                <w:rFonts w:cs="Times New Roman"/>
                <w:szCs w:val="24"/>
                <w:lang w:val="lt-LT"/>
              </w:rPr>
            </w:pPr>
            <w:r>
              <w:rPr>
                <w:rFonts w:cs="Times New Roman"/>
                <w:szCs w:val="24"/>
                <w:lang w:val="lt-LT"/>
              </w:rPr>
              <w:t>I</w:t>
            </w:r>
            <w:r w:rsidR="002414D5" w:rsidRPr="002414D5">
              <w:rPr>
                <w:rFonts w:cs="Times New Roman"/>
                <w:szCs w:val="24"/>
                <w:lang w:val="lt-LT"/>
              </w:rPr>
              <w:t xml:space="preserve">nformuojame, kad siūlomą teisės akto </w:t>
            </w:r>
            <w:r w:rsidR="002414D5" w:rsidRPr="002414D5">
              <w:rPr>
                <w:rFonts w:cs="Times New Roman"/>
                <w:szCs w:val="24"/>
                <w:lang w:val="lt-LT"/>
              </w:rPr>
              <w:lastRenderedPageBreak/>
              <w:t>pakeitimą būtų tikslinga apsvarstyti ir detaliai išanalizuoti su vis</w:t>
            </w:r>
            <w:r w:rsidR="007A219F">
              <w:rPr>
                <w:rFonts w:cs="Times New Roman"/>
                <w:szCs w:val="24"/>
                <w:lang w:val="lt-LT"/>
              </w:rPr>
              <w:t>omis suinteresuotomis pusėmis,</w:t>
            </w:r>
            <w:r w:rsidR="002414D5" w:rsidRPr="002414D5">
              <w:rPr>
                <w:rFonts w:cs="Times New Roman"/>
                <w:szCs w:val="24"/>
                <w:lang w:val="lt-LT"/>
              </w:rPr>
              <w:t xml:space="preserve"> kadangi siūlomas pakeitimas susijęs ne tik su požeminio vandens išteklių naudojimu, tačiau ir kitais</w:t>
            </w:r>
            <w:r w:rsidR="007A219F">
              <w:rPr>
                <w:rFonts w:cs="Times New Roman"/>
                <w:szCs w:val="24"/>
                <w:lang w:val="lt-LT"/>
              </w:rPr>
              <w:t xml:space="preserve"> žemės gelmių ir</w:t>
            </w:r>
            <w:r w:rsidR="002414D5" w:rsidRPr="002414D5">
              <w:rPr>
                <w:rFonts w:cs="Times New Roman"/>
                <w:szCs w:val="24"/>
                <w:lang w:val="lt-LT"/>
              </w:rPr>
              <w:t xml:space="preserve"> gamtos ištekliais.</w:t>
            </w:r>
          </w:p>
        </w:tc>
      </w:tr>
    </w:tbl>
    <w:p w14:paraId="58B1AC96" w14:textId="30B47F6C" w:rsidR="004E244E" w:rsidRPr="004E244E" w:rsidRDefault="004E244E" w:rsidP="00DC6B34">
      <w:pPr>
        <w:rPr>
          <w:lang w:val="lt-LT"/>
        </w:rPr>
      </w:pPr>
    </w:p>
    <w:sectPr w:rsidR="004E244E" w:rsidRPr="004E244E" w:rsidSect="004E244E">
      <w:pgSz w:w="15840" w:h="12240" w:orient="landscape"/>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2E5938" w15:done="0"/>
  <w15:commentEx w15:paraId="71725561" w15:done="0"/>
  <w15:commentEx w15:paraId="70CAE2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09F66" w14:textId="77777777" w:rsidR="007C7104" w:rsidRDefault="007C7104" w:rsidP="009B50B1">
      <w:pPr>
        <w:spacing w:after="0" w:line="240" w:lineRule="auto"/>
      </w:pPr>
      <w:r>
        <w:separator/>
      </w:r>
    </w:p>
  </w:endnote>
  <w:endnote w:type="continuationSeparator" w:id="0">
    <w:p w14:paraId="1171DA7A" w14:textId="77777777" w:rsidR="007C7104" w:rsidRDefault="007C7104" w:rsidP="009B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8C01E" w14:textId="77777777" w:rsidR="007C7104" w:rsidRDefault="007C7104" w:rsidP="009B50B1">
      <w:pPr>
        <w:spacing w:after="0" w:line="240" w:lineRule="auto"/>
      </w:pPr>
      <w:r>
        <w:separator/>
      </w:r>
    </w:p>
  </w:footnote>
  <w:footnote w:type="continuationSeparator" w:id="0">
    <w:p w14:paraId="56B739BF" w14:textId="77777777" w:rsidR="007C7104" w:rsidRDefault="007C7104" w:rsidP="009B5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5596"/>
    <w:multiLevelType w:val="hybridMultilevel"/>
    <w:tmpl w:val="E1D43E06"/>
    <w:lvl w:ilvl="0" w:tplc="DE226DC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15055"/>
    <w:multiLevelType w:val="multilevel"/>
    <w:tmpl w:val="657E0F82"/>
    <w:lvl w:ilvl="0">
      <w:start w:val="1"/>
      <w:numFmt w:val="decimal"/>
      <w:lvlText w:val="%1."/>
      <w:lvlJc w:val="left"/>
      <w:pPr>
        <w:ind w:left="1636" w:hanging="360"/>
      </w:pPr>
      <w:rPr>
        <w:rFonts w:hint="default"/>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4B66B4"/>
    <w:multiLevelType w:val="multilevel"/>
    <w:tmpl w:val="953A56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D3F533E"/>
    <w:multiLevelType w:val="hybridMultilevel"/>
    <w:tmpl w:val="88C6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494149"/>
    <w:multiLevelType w:val="hybridMultilevel"/>
    <w:tmpl w:val="C4601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832E3"/>
    <w:multiLevelType w:val="hybridMultilevel"/>
    <w:tmpl w:val="8BDE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6336E5"/>
    <w:multiLevelType w:val="hybridMultilevel"/>
    <w:tmpl w:val="E1D43E06"/>
    <w:lvl w:ilvl="0" w:tplc="DE226DC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5A4C7C"/>
    <w:multiLevelType w:val="multilevel"/>
    <w:tmpl w:val="50DEBD8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dasG">
    <w15:presenceInfo w15:providerId="None" w15:userId="Tada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13"/>
    <w:rsid w:val="00005A7A"/>
    <w:rsid w:val="00021411"/>
    <w:rsid w:val="0006358B"/>
    <w:rsid w:val="000E5EB0"/>
    <w:rsid w:val="00123816"/>
    <w:rsid w:val="00185C25"/>
    <w:rsid w:val="001F73EC"/>
    <w:rsid w:val="00216CFB"/>
    <w:rsid w:val="002414D5"/>
    <w:rsid w:val="002C2C16"/>
    <w:rsid w:val="002C401D"/>
    <w:rsid w:val="002D1663"/>
    <w:rsid w:val="00346E1D"/>
    <w:rsid w:val="003A1B61"/>
    <w:rsid w:val="003C145A"/>
    <w:rsid w:val="003D432F"/>
    <w:rsid w:val="003D4471"/>
    <w:rsid w:val="00442B1E"/>
    <w:rsid w:val="004736EF"/>
    <w:rsid w:val="00477D59"/>
    <w:rsid w:val="004C45FB"/>
    <w:rsid w:val="004E244E"/>
    <w:rsid w:val="00530876"/>
    <w:rsid w:val="005328F9"/>
    <w:rsid w:val="0055118D"/>
    <w:rsid w:val="005519E5"/>
    <w:rsid w:val="005C6393"/>
    <w:rsid w:val="00603DAE"/>
    <w:rsid w:val="0063519A"/>
    <w:rsid w:val="00693314"/>
    <w:rsid w:val="006B3BB4"/>
    <w:rsid w:val="006B6D36"/>
    <w:rsid w:val="006C2358"/>
    <w:rsid w:val="006C24F6"/>
    <w:rsid w:val="006C4575"/>
    <w:rsid w:val="00773801"/>
    <w:rsid w:val="0079708C"/>
    <w:rsid w:val="007A219F"/>
    <w:rsid w:val="007C60E5"/>
    <w:rsid w:val="007C7104"/>
    <w:rsid w:val="00815CC4"/>
    <w:rsid w:val="008B1D3A"/>
    <w:rsid w:val="008D2498"/>
    <w:rsid w:val="00915213"/>
    <w:rsid w:val="0098102E"/>
    <w:rsid w:val="009943CF"/>
    <w:rsid w:val="009A685F"/>
    <w:rsid w:val="009B50B1"/>
    <w:rsid w:val="009C44D4"/>
    <w:rsid w:val="009E6E0B"/>
    <w:rsid w:val="00A16C2E"/>
    <w:rsid w:val="00A920FB"/>
    <w:rsid w:val="00AA15C1"/>
    <w:rsid w:val="00AD4CBF"/>
    <w:rsid w:val="00B024AE"/>
    <w:rsid w:val="00B13362"/>
    <w:rsid w:val="00B436DA"/>
    <w:rsid w:val="00B509A8"/>
    <w:rsid w:val="00B54F9E"/>
    <w:rsid w:val="00B74528"/>
    <w:rsid w:val="00BA060A"/>
    <w:rsid w:val="00BB46DB"/>
    <w:rsid w:val="00BB5F15"/>
    <w:rsid w:val="00BD4B51"/>
    <w:rsid w:val="00C07C23"/>
    <w:rsid w:val="00C132EA"/>
    <w:rsid w:val="00C227B5"/>
    <w:rsid w:val="00C679FD"/>
    <w:rsid w:val="00C92A6D"/>
    <w:rsid w:val="00D0484A"/>
    <w:rsid w:val="00DC6B34"/>
    <w:rsid w:val="00E06F21"/>
    <w:rsid w:val="00E17812"/>
    <w:rsid w:val="00E338E9"/>
    <w:rsid w:val="00E8023F"/>
    <w:rsid w:val="00EA2905"/>
    <w:rsid w:val="00F52C7B"/>
    <w:rsid w:val="00F804A1"/>
    <w:rsid w:val="00F95465"/>
    <w:rsid w:val="00FC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213"/>
    <w:pPr>
      <w:ind w:left="720"/>
      <w:contextualSpacing/>
    </w:pPr>
  </w:style>
  <w:style w:type="character" w:styleId="CommentReference">
    <w:name w:val="annotation reference"/>
    <w:basedOn w:val="DefaultParagraphFont"/>
    <w:uiPriority w:val="99"/>
    <w:semiHidden/>
    <w:unhideWhenUsed/>
    <w:rsid w:val="00F95465"/>
    <w:rPr>
      <w:sz w:val="16"/>
      <w:szCs w:val="16"/>
    </w:rPr>
  </w:style>
  <w:style w:type="paragraph" w:styleId="CommentText">
    <w:name w:val="annotation text"/>
    <w:basedOn w:val="Normal"/>
    <w:link w:val="CommentTextChar"/>
    <w:uiPriority w:val="99"/>
    <w:semiHidden/>
    <w:unhideWhenUsed/>
    <w:rsid w:val="00F95465"/>
    <w:pPr>
      <w:spacing w:line="240" w:lineRule="auto"/>
    </w:pPr>
    <w:rPr>
      <w:sz w:val="20"/>
      <w:szCs w:val="20"/>
    </w:rPr>
  </w:style>
  <w:style w:type="character" w:customStyle="1" w:styleId="CommentTextChar">
    <w:name w:val="Comment Text Char"/>
    <w:basedOn w:val="DefaultParagraphFont"/>
    <w:link w:val="CommentText"/>
    <w:uiPriority w:val="99"/>
    <w:semiHidden/>
    <w:rsid w:val="00F95465"/>
    <w:rPr>
      <w:sz w:val="20"/>
      <w:szCs w:val="20"/>
    </w:rPr>
  </w:style>
  <w:style w:type="paragraph" w:styleId="CommentSubject">
    <w:name w:val="annotation subject"/>
    <w:basedOn w:val="CommentText"/>
    <w:next w:val="CommentText"/>
    <w:link w:val="CommentSubjectChar"/>
    <w:uiPriority w:val="99"/>
    <w:semiHidden/>
    <w:unhideWhenUsed/>
    <w:rsid w:val="00F95465"/>
    <w:rPr>
      <w:b/>
      <w:bCs/>
    </w:rPr>
  </w:style>
  <w:style w:type="character" w:customStyle="1" w:styleId="CommentSubjectChar">
    <w:name w:val="Comment Subject Char"/>
    <w:basedOn w:val="CommentTextChar"/>
    <w:link w:val="CommentSubject"/>
    <w:uiPriority w:val="99"/>
    <w:semiHidden/>
    <w:rsid w:val="00F95465"/>
    <w:rPr>
      <w:b/>
      <w:bCs/>
      <w:sz w:val="20"/>
      <w:szCs w:val="20"/>
    </w:rPr>
  </w:style>
  <w:style w:type="paragraph" w:styleId="BalloonText">
    <w:name w:val="Balloon Text"/>
    <w:basedOn w:val="Normal"/>
    <w:link w:val="BalloonTextChar"/>
    <w:uiPriority w:val="99"/>
    <w:semiHidden/>
    <w:unhideWhenUsed/>
    <w:rsid w:val="00F9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465"/>
    <w:rPr>
      <w:rFonts w:ascii="Tahoma" w:hAnsi="Tahoma" w:cs="Tahoma"/>
      <w:sz w:val="16"/>
      <w:szCs w:val="16"/>
    </w:rPr>
  </w:style>
  <w:style w:type="paragraph" w:styleId="FootnoteText">
    <w:name w:val="footnote text"/>
    <w:basedOn w:val="Normal"/>
    <w:link w:val="FootnoteTextChar"/>
    <w:uiPriority w:val="99"/>
    <w:semiHidden/>
    <w:unhideWhenUsed/>
    <w:rsid w:val="009B50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0B1"/>
    <w:rPr>
      <w:sz w:val="20"/>
      <w:szCs w:val="20"/>
    </w:rPr>
  </w:style>
  <w:style w:type="character" w:styleId="FootnoteReference">
    <w:name w:val="footnote reference"/>
    <w:basedOn w:val="DefaultParagraphFont"/>
    <w:uiPriority w:val="99"/>
    <w:semiHidden/>
    <w:unhideWhenUsed/>
    <w:rsid w:val="009B50B1"/>
    <w:rPr>
      <w:vertAlign w:val="superscript"/>
    </w:rPr>
  </w:style>
  <w:style w:type="paragraph" w:styleId="Header">
    <w:name w:val="header"/>
    <w:basedOn w:val="Normal"/>
    <w:link w:val="HeaderChar"/>
    <w:uiPriority w:val="99"/>
    <w:unhideWhenUsed/>
    <w:rsid w:val="004E244E"/>
    <w:pPr>
      <w:tabs>
        <w:tab w:val="center" w:pos="4986"/>
        <w:tab w:val="right" w:pos="9972"/>
      </w:tabs>
      <w:spacing w:after="0" w:line="240" w:lineRule="auto"/>
    </w:pPr>
  </w:style>
  <w:style w:type="character" w:customStyle="1" w:styleId="HeaderChar">
    <w:name w:val="Header Char"/>
    <w:basedOn w:val="DefaultParagraphFont"/>
    <w:link w:val="Header"/>
    <w:uiPriority w:val="99"/>
    <w:rsid w:val="004E244E"/>
  </w:style>
  <w:style w:type="paragraph" w:styleId="Footer">
    <w:name w:val="footer"/>
    <w:basedOn w:val="Normal"/>
    <w:link w:val="FooterChar"/>
    <w:uiPriority w:val="99"/>
    <w:unhideWhenUsed/>
    <w:rsid w:val="004E244E"/>
    <w:pPr>
      <w:tabs>
        <w:tab w:val="center" w:pos="4986"/>
        <w:tab w:val="right" w:pos="9972"/>
      </w:tabs>
      <w:spacing w:after="0" w:line="240" w:lineRule="auto"/>
    </w:pPr>
  </w:style>
  <w:style w:type="character" w:customStyle="1" w:styleId="FooterChar">
    <w:name w:val="Footer Char"/>
    <w:basedOn w:val="DefaultParagraphFont"/>
    <w:link w:val="Footer"/>
    <w:uiPriority w:val="99"/>
    <w:rsid w:val="004E244E"/>
  </w:style>
  <w:style w:type="paragraph" w:styleId="NormalWeb">
    <w:name w:val="Normal (Web)"/>
    <w:basedOn w:val="Normal"/>
    <w:uiPriority w:val="99"/>
    <w:semiHidden/>
    <w:unhideWhenUsed/>
    <w:rsid w:val="00B024AE"/>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213"/>
    <w:pPr>
      <w:ind w:left="720"/>
      <w:contextualSpacing/>
    </w:pPr>
  </w:style>
  <w:style w:type="character" w:styleId="CommentReference">
    <w:name w:val="annotation reference"/>
    <w:basedOn w:val="DefaultParagraphFont"/>
    <w:uiPriority w:val="99"/>
    <w:semiHidden/>
    <w:unhideWhenUsed/>
    <w:rsid w:val="00F95465"/>
    <w:rPr>
      <w:sz w:val="16"/>
      <w:szCs w:val="16"/>
    </w:rPr>
  </w:style>
  <w:style w:type="paragraph" w:styleId="CommentText">
    <w:name w:val="annotation text"/>
    <w:basedOn w:val="Normal"/>
    <w:link w:val="CommentTextChar"/>
    <w:uiPriority w:val="99"/>
    <w:semiHidden/>
    <w:unhideWhenUsed/>
    <w:rsid w:val="00F95465"/>
    <w:pPr>
      <w:spacing w:line="240" w:lineRule="auto"/>
    </w:pPr>
    <w:rPr>
      <w:sz w:val="20"/>
      <w:szCs w:val="20"/>
    </w:rPr>
  </w:style>
  <w:style w:type="character" w:customStyle="1" w:styleId="CommentTextChar">
    <w:name w:val="Comment Text Char"/>
    <w:basedOn w:val="DefaultParagraphFont"/>
    <w:link w:val="CommentText"/>
    <w:uiPriority w:val="99"/>
    <w:semiHidden/>
    <w:rsid w:val="00F95465"/>
    <w:rPr>
      <w:sz w:val="20"/>
      <w:szCs w:val="20"/>
    </w:rPr>
  </w:style>
  <w:style w:type="paragraph" w:styleId="CommentSubject">
    <w:name w:val="annotation subject"/>
    <w:basedOn w:val="CommentText"/>
    <w:next w:val="CommentText"/>
    <w:link w:val="CommentSubjectChar"/>
    <w:uiPriority w:val="99"/>
    <w:semiHidden/>
    <w:unhideWhenUsed/>
    <w:rsid w:val="00F95465"/>
    <w:rPr>
      <w:b/>
      <w:bCs/>
    </w:rPr>
  </w:style>
  <w:style w:type="character" w:customStyle="1" w:styleId="CommentSubjectChar">
    <w:name w:val="Comment Subject Char"/>
    <w:basedOn w:val="CommentTextChar"/>
    <w:link w:val="CommentSubject"/>
    <w:uiPriority w:val="99"/>
    <w:semiHidden/>
    <w:rsid w:val="00F95465"/>
    <w:rPr>
      <w:b/>
      <w:bCs/>
      <w:sz w:val="20"/>
      <w:szCs w:val="20"/>
    </w:rPr>
  </w:style>
  <w:style w:type="paragraph" w:styleId="BalloonText">
    <w:name w:val="Balloon Text"/>
    <w:basedOn w:val="Normal"/>
    <w:link w:val="BalloonTextChar"/>
    <w:uiPriority w:val="99"/>
    <w:semiHidden/>
    <w:unhideWhenUsed/>
    <w:rsid w:val="00F9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465"/>
    <w:rPr>
      <w:rFonts w:ascii="Tahoma" w:hAnsi="Tahoma" w:cs="Tahoma"/>
      <w:sz w:val="16"/>
      <w:szCs w:val="16"/>
    </w:rPr>
  </w:style>
  <w:style w:type="paragraph" w:styleId="FootnoteText">
    <w:name w:val="footnote text"/>
    <w:basedOn w:val="Normal"/>
    <w:link w:val="FootnoteTextChar"/>
    <w:uiPriority w:val="99"/>
    <w:semiHidden/>
    <w:unhideWhenUsed/>
    <w:rsid w:val="009B50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0B1"/>
    <w:rPr>
      <w:sz w:val="20"/>
      <w:szCs w:val="20"/>
    </w:rPr>
  </w:style>
  <w:style w:type="character" w:styleId="FootnoteReference">
    <w:name w:val="footnote reference"/>
    <w:basedOn w:val="DefaultParagraphFont"/>
    <w:uiPriority w:val="99"/>
    <w:semiHidden/>
    <w:unhideWhenUsed/>
    <w:rsid w:val="009B50B1"/>
    <w:rPr>
      <w:vertAlign w:val="superscript"/>
    </w:rPr>
  </w:style>
  <w:style w:type="paragraph" w:styleId="Header">
    <w:name w:val="header"/>
    <w:basedOn w:val="Normal"/>
    <w:link w:val="HeaderChar"/>
    <w:uiPriority w:val="99"/>
    <w:unhideWhenUsed/>
    <w:rsid w:val="004E244E"/>
    <w:pPr>
      <w:tabs>
        <w:tab w:val="center" w:pos="4986"/>
        <w:tab w:val="right" w:pos="9972"/>
      </w:tabs>
      <w:spacing w:after="0" w:line="240" w:lineRule="auto"/>
    </w:pPr>
  </w:style>
  <w:style w:type="character" w:customStyle="1" w:styleId="HeaderChar">
    <w:name w:val="Header Char"/>
    <w:basedOn w:val="DefaultParagraphFont"/>
    <w:link w:val="Header"/>
    <w:uiPriority w:val="99"/>
    <w:rsid w:val="004E244E"/>
  </w:style>
  <w:style w:type="paragraph" w:styleId="Footer">
    <w:name w:val="footer"/>
    <w:basedOn w:val="Normal"/>
    <w:link w:val="FooterChar"/>
    <w:uiPriority w:val="99"/>
    <w:unhideWhenUsed/>
    <w:rsid w:val="004E244E"/>
    <w:pPr>
      <w:tabs>
        <w:tab w:val="center" w:pos="4986"/>
        <w:tab w:val="right" w:pos="9972"/>
      </w:tabs>
      <w:spacing w:after="0" w:line="240" w:lineRule="auto"/>
    </w:pPr>
  </w:style>
  <w:style w:type="character" w:customStyle="1" w:styleId="FooterChar">
    <w:name w:val="Footer Char"/>
    <w:basedOn w:val="DefaultParagraphFont"/>
    <w:link w:val="Footer"/>
    <w:uiPriority w:val="99"/>
    <w:rsid w:val="004E244E"/>
  </w:style>
  <w:style w:type="paragraph" w:styleId="NormalWeb">
    <w:name w:val="Normal (Web)"/>
    <w:basedOn w:val="Normal"/>
    <w:uiPriority w:val="99"/>
    <w:semiHidden/>
    <w:unhideWhenUsed/>
    <w:rsid w:val="00B024A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891757">
      <w:bodyDiv w:val="1"/>
      <w:marLeft w:val="0"/>
      <w:marRight w:val="0"/>
      <w:marTop w:val="0"/>
      <w:marBottom w:val="0"/>
      <w:divBdr>
        <w:top w:val="none" w:sz="0" w:space="0" w:color="auto"/>
        <w:left w:val="none" w:sz="0" w:space="0" w:color="auto"/>
        <w:bottom w:val="none" w:sz="0" w:space="0" w:color="auto"/>
        <w:right w:val="none" w:sz="0" w:space="0" w:color="auto"/>
      </w:divBdr>
    </w:div>
    <w:div w:id="21015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5BDE6-1F68-4EF1-BDB2-B9155A1D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Tuskenytė</dc:creator>
  <cp:lastModifiedBy>Valentina Tuskenytė</cp:lastModifiedBy>
  <cp:revision>4</cp:revision>
  <dcterms:created xsi:type="dcterms:W3CDTF">2020-09-25T05:37:00Z</dcterms:created>
  <dcterms:modified xsi:type="dcterms:W3CDTF">2020-10-14T06:58:00Z</dcterms:modified>
</cp:coreProperties>
</file>