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6DFCA" w14:textId="291F31CC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66DC">
        <w:rPr>
          <w:rFonts w:ascii="Times New Roman" w:hAnsi="Times New Roman" w:cs="Times New Roman"/>
          <w:caps/>
          <w:sz w:val="24"/>
          <w:szCs w:val="24"/>
          <w:lang w:eastAsia="lt-LT"/>
        </w:rPr>
        <w:t xml:space="preserve">2021-2030 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>metų Nacionalinio</w:t>
      </w:r>
    </w:p>
    <w:p w14:paraId="1CE3E934" w14:textId="77777777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 w:rsidRPr="00A166DC">
        <w:rPr>
          <w:rFonts w:ascii="Times New Roman" w:hAnsi="Times New Roman" w:cs="Times New Roman"/>
          <w:sz w:val="24"/>
          <w:szCs w:val="24"/>
          <w:lang w:eastAsia="lt-LT"/>
        </w:rPr>
        <w:t>pažangos plano</w:t>
      </w:r>
    </w:p>
    <w:p w14:paraId="6E7638CB" w14:textId="46CC4A44" w:rsidR="00A166DC" w:rsidRPr="00A166DC" w:rsidRDefault="00A166DC" w:rsidP="00A166DC">
      <w:pPr>
        <w:spacing w:after="0"/>
        <w:ind w:left="11663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A166DC">
        <w:rPr>
          <w:rFonts w:ascii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48E3F1F8" w14:textId="486DC556" w:rsidR="00A166DC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B2DCB" w14:textId="45366180" w:rsidR="001D729D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2021-2030 metų nacionalinio pažangos plano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finansinės projekcijos 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strategini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ams </w:t>
      </w:r>
      <w:r w:rsidRPr="00A166DC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tiksl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ams</w:t>
      </w:r>
    </w:p>
    <w:p w14:paraId="09666B43" w14:textId="77777777" w:rsidR="00A166DC" w:rsidRPr="00A166DC" w:rsidRDefault="00A166DC" w:rsidP="001D729D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64"/>
        <w:gridCol w:w="2915"/>
        <w:gridCol w:w="1402"/>
        <w:gridCol w:w="4241"/>
        <w:gridCol w:w="4108"/>
      </w:tblGrid>
      <w:tr w:rsidR="001E7267" w:rsidRPr="001E7267" w14:paraId="3A41DC07" w14:textId="77777777" w:rsidTr="00A166DC">
        <w:trPr>
          <w:trHeight w:val="1440"/>
        </w:trPr>
        <w:tc>
          <w:tcPr>
            <w:tcW w:w="10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8AC60" w14:textId="315ADD4B" w:rsidR="001D729D" w:rsidRPr="001E7267" w:rsidRDefault="00A166DC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Strateginis</w:t>
            </w:r>
            <w:r w:rsidR="001D729D"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tikslas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99A71" w14:textId="77777777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Valstybės veiklos sritys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6CA66" w14:textId="73A60962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Planuojama </w:t>
            </w:r>
            <w:r w:rsidR="00A166D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Plano</w:t>
            </w: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lėšų dalis </w:t>
            </w:r>
            <w:r w:rsidR="00DF0DA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strateginiam </w:t>
            </w: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tikslui įgyvendinti (proc</w:t>
            </w:r>
            <w:r w:rsidR="00A166D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entai</w:t>
            </w: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F93BA" w14:textId="77777777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Tikslo finansavimui keliamos sąlygos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33D42" w14:textId="77777777" w:rsidR="001D729D" w:rsidRPr="001E7267" w:rsidRDefault="001D729D" w:rsidP="001D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Kiti tarptautiniai finansavimo šaltiniai *</w:t>
            </w:r>
          </w:p>
        </w:tc>
      </w:tr>
      <w:tr w:rsidR="001E7267" w:rsidRPr="001E7267" w14:paraId="204156B3" w14:textId="77777777" w:rsidTr="00A166DC">
        <w:trPr>
          <w:trHeight w:val="946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A2C439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Pereiti prie mokslo žiniomis, pažangiosiomis technologijomis, inovacijomis grįsto darnaus ekonomikos vystymosi ir didinti šalies tarptautinį konkurencingumą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4E83B6" w14:textId="547678AD" w:rsidR="00935A2D" w:rsidRPr="001E7267" w:rsidRDefault="0051490E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490E">
              <w:rPr>
                <w:rFonts w:ascii="Times New Roman" w:hAnsi="Times New Roman" w:cs="Times New Roman"/>
                <w:color w:val="000000"/>
              </w:rPr>
              <w:t>Ekonomikos konkurencingumas ir valstybės informaciniai ištekliai</w:t>
            </w:r>
            <w:r w:rsidR="00935A2D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  <w:t>Švietimas, mokslas ir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sportas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Viešieji finansai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Kultūra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Teisingumas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A166DC" w:rsidRPr="00A166DC">
              <w:rPr>
                <w:rFonts w:ascii="Times New Roman" w:eastAsia="Times New Roman" w:hAnsi="Times New Roman" w:cs="Times New Roman"/>
                <w:lang w:eastAsia="lt-LT"/>
              </w:rPr>
              <w:t>Žemės ir maisto ūkis, kaimo plėtra ir žuvininkystė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E87C" w14:textId="64EABC57" w:rsidR="00935A2D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B131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20 proc. tikslui numatytų išlaidų turi būti finansuojama privačiomis lėšomis</w:t>
            </w:r>
          </w:p>
          <w:p w14:paraId="6B687DF7" w14:textId="77777777" w:rsidR="00935A2D" w:rsidRPr="001E7267" w:rsidRDefault="00A36395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 D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2B54C6B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Europos strateginių investicijų fondas. „Junkerio planas“ (EFSI)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prisitaikymo prie globalizacijos padarinių fondas (EGF)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Užimtumo ir socialinių inovacijų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Teisių, lygybės ir pilietybės programa (REC)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 Sveikatos ir maisto saugos programa</w:t>
            </w:r>
          </w:p>
        </w:tc>
      </w:tr>
      <w:tr w:rsidR="001E7267" w:rsidRPr="001E7267" w14:paraId="3FA3ACD8" w14:textId="77777777" w:rsidTr="00A166DC">
        <w:trPr>
          <w:trHeight w:val="127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E2DA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8629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98E1" w14:textId="77777777" w:rsidR="00935A2D" w:rsidRPr="001E7267" w:rsidRDefault="00E60DEA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BC3E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  <w:p w14:paraId="23705B76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5. Pasinaudoti programos "Horizontas" finansavimu ne mažiau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nei įmokama suma</w:t>
            </w:r>
          </w:p>
          <w:p w14:paraId="2871758A" w14:textId="77777777" w:rsidR="002310C3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6. Pasinaudoti grįžtančiomis lėšomis iš finansinių priemonių ne mažiau 87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70767" w14:textId="77777777" w:rsidR="00935A2D" w:rsidRPr="001E7267" w:rsidRDefault="00935A2D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693CC86C" w14:textId="77777777" w:rsidTr="00A166DC">
        <w:trPr>
          <w:trHeight w:val="1020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52ABDAD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2. Didinti gyventojų socialinę gerovę ir įtrauktį, stiprinti sveikatą ir gerinti Lietuvos demografinę padėtį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BB5C34" w14:textId="77777777" w:rsidR="00935A2D" w:rsidRPr="001E7267" w:rsidRDefault="00935A2D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Socialinė apsauga ir užimtumas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Sveikata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263C" w14:textId="5FE4AB0E" w:rsidR="00935A2D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A27D" w14:textId="77777777" w:rsidR="00935A2D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Ne mažiau 7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proc. tikslui numatytų išlaidų 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turi būti finansuojama privačiomis lėšomis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5CA67551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8EF9171" w14:textId="77777777" w:rsidR="00935A2D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Europos prisitaikymo prie globalizacijos padarinių fondas (EGF)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Užimtumo ir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socialinių inovacijų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Teisių, lygybė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s ir pilietybės programa (REC)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</w:t>
            </w:r>
            <w:r w:rsidR="00935A2D" w:rsidRPr="001E7267">
              <w:rPr>
                <w:rFonts w:ascii="Times New Roman" w:eastAsia="Times New Roman" w:hAnsi="Times New Roman" w:cs="Times New Roman"/>
                <w:lang w:eastAsia="lt-LT"/>
              </w:rPr>
              <w:t>. Sveikatos ir maisto saugos programa</w:t>
            </w:r>
          </w:p>
          <w:p w14:paraId="19ABA745" w14:textId="57415D05" w:rsidR="00CF0CBC" w:rsidRPr="001E7267" w:rsidRDefault="00CF0CBC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6.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>EITP</w:t>
            </w:r>
          </w:p>
        </w:tc>
      </w:tr>
      <w:tr w:rsidR="001E7267" w:rsidRPr="001E7267" w14:paraId="03E5D9E6" w14:textId="77777777" w:rsidTr="00A166DC">
        <w:trPr>
          <w:trHeight w:val="611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C69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F27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526A" w14:textId="77777777" w:rsidR="00E60DEA" w:rsidRPr="001E7267" w:rsidRDefault="00E60DEA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329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3. 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F71C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2FF20E9D" w14:textId="77777777" w:rsidTr="00A166DC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E4EF2C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2310C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Didinti švietimo įtrauktį ir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veiksmingumą, siekiant atitikties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asmens ir  visuomenės poreikiams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B841AE" w14:textId="77777777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Švietimas, mokslas ir sportas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69C1" w14:textId="5CE87983" w:rsidR="00E60DEA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FE22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02EF4336" w14:textId="32F3F13D" w:rsidR="00E60DEA" w:rsidRPr="001E7267" w:rsidRDefault="00E60DEA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Erasmus +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Šiaurės ministrų Tarybos programa „Nordplus“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 Lietuvos vystomojo bendradarbiavimo projektų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Šiaurės šalių ministrų tarybos programos</w:t>
            </w:r>
          </w:p>
        </w:tc>
      </w:tr>
      <w:tr w:rsidR="001E7267" w:rsidRPr="001E7267" w14:paraId="5E72FAB6" w14:textId="77777777" w:rsidTr="00A166DC">
        <w:trPr>
          <w:trHeight w:val="81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6604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526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A9A5" w14:textId="77777777" w:rsidR="00E60DEA" w:rsidRPr="001E7267" w:rsidRDefault="00E60DEA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CC9" w14:textId="77777777" w:rsidR="00E60DEA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="00E60DEA"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75FCC" w14:textId="77777777" w:rsidR="00E60DEA" w:rsidRPr="001E7267" w:rsidRDefault="00E60DEA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0009B087" w14:textId="77777777" w:rsidTr="00A166DC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08FDA4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4. Stiprinti tautinį ir pilietinį tapatumą, didinti kultūros skvarbą ir visuomenės kūrybingumą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F7817F" w14:textId="33F594ED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Kultūra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Švietimas, mokslas ir sportas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 w:rsidR="0051490E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(LRVK)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EE54" w14:textId="7C54180A" w:rsidR="00C34344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1,5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  <w:r w:rsidR="002A4C0C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FCD6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1 proc. tikslui numatytų išlaidų turi būti finansuojama privačiomis lėšomis.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4AE5BF0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Teisių, lygybės ir pilietybės programa (REC)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Kūrybiška Europa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Šiaurės šalių ministrų tarybos programos</w:t>
            </w:r>
          </w:p>
        </w:tc>
      </w:tr>
      <w:tr w:rsidR="001E7267" w:rsidRPr="001E7267" w14:paraId="7BBDB4AE" w14:textId="77777777" w:rsidTr="00A166DC">
        <w:trPr>
          <w:trHeight w:val="847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D036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5EB1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80D6" w14:textId="77777777" w:rsidR="00C34344" w:rsidRPr="001E7267" w:rsidRDefault="00C34344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85E1" w14:textId="77777777" w:rsidR="00C34344" w:rsidRPr="001E7267" w:rsidRDefault="002310C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. Pasinaudoti kitų tarptautinių finansavimo šaltinių lėšomis ne mažiau 5 proc.</w:t>
            </w:r>
          </w:p>
          <w:p w14:paraId="6725F768" w14:textId="77777777" w:rsidR="001C7855" w:rsidRPr="001E7267" w:rsidRDefault="002310C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Pasinaudoti grįžtančiomis lėšomis iš finansinių priemonių ne mažiau 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1357C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2AFE68EC" w14:textId="77777777" w:rsidTr="00A166DC">
        <w:trPr>
          <w:trHeight w:val="1266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7C960DC" w14:textId="2D679E4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5.  Gerinti transporto, energetinį ir skaitmeninį vidinį ir išorinį </w:t>
            </w:r>
            <w:r w:rsidR="00A166DC">
              <w:rPr>
                <w:rFonts w:ascii="Times New Roman" w:eastAsia="Times New Roman" w:hAnsi="Times New Roman" w:cs="Times New Roman"/>
                <w:lang w:eastAsia="lt-LT"/>
              </w:rPr>
              <w:t>jungl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umą 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95B642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Transportas ir ryšiai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CFC0" w14:textId="6560F891" w:rsidR="00C34344" w:rsidRPr="001E7267" w:rsidRDefault="007A1B5C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0,9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E76C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11 proc. tikslui numatytų išlaidų turi būti finansuojama privačiomis lėšomis.</w:t>
            </w:r>
          </w:p>
          <w:p w14:paraId="0895D894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7A25E09" w14:textId="34F50DC0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>EITP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strateginių investicijų fondas. „Junkerio planas“ (EFSI)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3. INTERREG programos </w:t>
            </w:r>
          </w:p>
        </w:tc>
      </w:tr>
      <w:tr w:rsidR="001E7267" w:rsidRPr="001E7267" w14:paraId="2D69B609" w14:textId="77777777" w:rsidTr="00A166DC">
        <w:trPr>
          <w:trHeight w:val="1553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DDB4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3687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C7DD" w14:textId="77777777" w:rsidR="00C34344" w:rsidRPr="001E7267" w:rsidRDefault="00C34344" w:rsidP="00A16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3590" w14:textId="77777777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3. Pasinaudoti kitų tarptautinių finansavimo šaltinių lėšomis ne mažiau 5 proc.</w:t>
            </w:r>
          </w:p>
          <w:p w14:paraId="3764ABB5" w14:textId="6673F425" w:rsidR="00C34344" w:rsidRPr="001E7267" w:rsidRDefault="00C34344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4. Pasinaudoti Europos infrastruktūros tinklų priemonės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 xml:space="preserve">(EITP)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finansine parama ne mažiau </w:t>
            </w:r>
            <w:r w:rsidR="00281685" w:rsidRPr="001E7267">
              <w:rPr>
                <w:rFonts w:ascii="Times New Roman" w:eastAsia="Times New Roman" w:hAnsi="Times New Roman" w:cs="Times New Roman"/>
                <w:lang w:eastAsia="lt-LT"/>
              </w:rPr>
              <w:t>260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mln. eurų (neskaitant iš Sanglaudos fondo skiriamos lėšų dalies)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14:paraId="2C1C02CA" w14:textId="77777777" w:rsidR="001C7855" w:rsidRPr="001E7267" w:rsidRDefault="00B11B93" w:rsidP="00A166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5. Pasinaudoti grįžtančiomis lėšomis iš finansinių priemonių ne mažiau 0,5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3D686" w14:textId="77777777" w:rsidR="00C34344" w:rsidRPr="001E7267" w:rsidRDefault="00C34344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7C1F288C" w14:textId="77777777" w:rsidTr="00EF0A55">
        <w:trPr>
          <w:trHeight w:val="847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794B90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6. Užtikrinti gerą aplinkos kokybę ir gamtos išteklių naudojimo darną, saugoti biologinę įvairovę, švelninti Lietuvos poveikį klimato kaitai ir didinti atsparumą jos poveikiui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54BA6B" w14:textId="778B895C" w:rsidR="00C34344" w:rsidRPr="001E7267" w:rsidRDefault="0051490E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490E">
              <w:rPr>
                <w:rFonts w:ascii="Times New Roman" w:hAnsi="Times New Roman" w:cs="Times New Roman"/>
                <w:color w:val="000000"/>
              </w:rPr>
              <w:t>Aplinka, miškai ir klimato kaita</w:t>
            </w:r>
            <w:r w:rsidR="00C34344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  <w:t>Energetika</w:t>
            </w:r>
            <w:r w:rsidR="00C34344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51490E">
              <w:rPr>
                <w:rFonts w:ascii="Times New Roman" w:hAnsi="Times New Roman" w:cs="Times New Roman"/>
                <w:color w:val="000000"/>
              </w:rPr>
              <w:t>Ekonomikos konkurencingumas ir valstybės informaciniai ištekliai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Transportas ir ryšiai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A166DC" w:rsidRPr="00A166DC">
              <w:rPr>
                <w:rFonts w:ascii="Times New Roman" w:eastAsia="Times New Roman" w:hAnsi="Times New Roman" w:cs="Times New Roman"/>
                <w:lang w:eastAsia="lt-LT"/>
              </w:rPr>
              <w:t>Žemės ir maisto ūkis, kaimo plėtra ir žuvininkystė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4BF3" w14:textId="48E1E942" w:rsidR="00C34344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  <w:r w:rsidR="00C34344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8224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Ne mažiau 14 proc. tikslui numatytų išlaidų turi būti finansuojama privačiomis lėšomis.</w:t>
            </w:r>
          </w:p>
          <w:p w14:paraId="75038940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="00A36395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36395"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B544DA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Klimato kaitos specialioji programa (KKSP)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Aplinkos ir klimato kaitos programa LIFE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Šiaurės šalių ministrų tarybos programos</w:t>
            </w:r>
          </w:p>
        </w:tc>
      </w:tr>
      <w:tr w:rsidR="001E7267" w:rsidRPr="001E7267" w14:paraId="2FED8CE0" w14:textId="77777777" w:rsidTr="00EF0A55">
        <w:trPr>
          <w:trHeight w:val="847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7C64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FA25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33E9" w14:textId="77777777" w:rsidR="00C34344" w:rsidRPr="001E7267" w:rsidRDefault="00C34344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3CA6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3. 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asinaudoti kitų tarptautinių finansavimo šaltinių lėšomis ne mažiau 5 proc.</w:t>
            </w:r>
          </w:p>
          <w:p w14:paraId="0FFB7F54" w14:textId="77777777" w:rsidR="001C7855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4. Pasinaudoti grįžtančiomis lėšomis iš finansinių priemonių ne mažiau 145 mln. eurų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76E2" w14:textId="77777777" w:rsidR="00C34344" w:rsidRPr="001E7267" w:rsidRDefault="00C34344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54D9CB74" w14:textId="77777777" w:rsidTr="00EF0A55">
        <w:trPr>
          <w:trHeight w:val="559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423FD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7. Tvariai ir subalansuotai vystyti Lietuvos teritoriją ir mažinti regioninę atskirtį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992753" w14:textId="2BF3C2AE" w:rsidR="00B11B93" w:rsidRPr="001E7267" w:rsidRDefault="0051490E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>
              <w:rPr>
                <w:rFonts w:ascii="Times New Roman" w:hAnsi="Times New Roman" w:cs="Times New Roman"/>
                <w:color w:val="000000"/>
              </w:rPr>
              <w:t xml:space="preserve"> (VRM)</w:t>
            </w:r>
            <w:r w:rsidR="00B11B93" w:rsidRPr="0051490E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(Dalyvaujančios sritys - </w:t>
            </w:r>
            <w:r w:rsidRPr="0051490E">
              <w:rPr>
                <w:rFonts w:ascii="Times New Roman" w:hAnsi="Times New Roman" w:cs="Times New Roman"/>
                <w:color w:val="000000"/>
              </w:rPr>
              <w:t>Aplinka, miškai ir klimato kaita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Pr="0051490E">
              <w:rPr>
                <w:rFonts w:ascii="Times New Roman" w:hAnsi="Times New Roman" w:cs="Times New Roman"/>
                <w:color w:val="000000"/>
              </w:rPr>
              <w:t xml:space="preserve">Ekonomikos </w:t>
            </w:r>
            <w:r w:rsidRPr="0051490E">
              <w:rPr>
                <w:rFonts w:ascii="Times New Roman" w:hAnsi="Times New Roman" w:cs="Times New Roman"/>
                <w:color w:val="000000"/>
              </w:rPr>
              <w:lastRenderedPageBreak/>
              <w:t>konkurencingumas ir valstybės informaciniai ištekliai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, Kultūra, Socialinė apsauga ir užimtumas, Transportas ir ryšiai, Sveikata,  Švietimas, mokslas ir sportas, Žemės ir maisto ūkis, kaimo plėtra ir žuvininkystė)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88C6" w14:textId="412B2182" w:rsidR="00B11B93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</w:t>
            </w:r>
            <w:r w:rsidR="006E05DA">
              <w:rPr>
                <w:rFonts w:ascii="Times New Roman" w:eastAsia="Times New Roman" w:hAnsi="Times New Roman" w:cs="Times New Roman"/>
                <w:lang w:eastAsia="lt-LT"/>
              </w:rPr>
              <w:t>,2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  <w:r w:rsidR="00DF0DA2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  <w:r w:rsidR="002A4C0C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8F92" w14:textId="49ACA611" w:rsidR="006E05DA" w:rsidRPr="001E7267" w:rsidRDefault="006E05DA" w:rsidP="006E05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1.  Ne mažiau </w:t>
            </w:r>
            <w:r w:rsidR="00DF0DA2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proc. </w:t>
            </w:r>
            <w:r>
              <w:t xml:space="preserve">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>regionų plėtros programoje numatytų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investicijų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turi būti finansuojama savivaldybių lėšomis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t xml:space="preserve">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>kurias gali 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udaryti savivaldybių biudžetų,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>savivaldybių įmonių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skolintos, privačių partnerių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t xml:space="preserve"> ir kitos regionų plėtros planų </w:t>
            </w:r>
            <w:r w:rsidRPr="00026CE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įgyvendinimui pritrauktos lėšos, išskyrus valstybės biudžeto ir ES fondų lėšas.</w:t>
            </w:r>
          </w:p>
          <w:p w14:paraId="2940AA18" w14:textId="131C8D36" w:rsidR="00B11B93" w:rsidRPr="001E7267" w:rsidRDefault="006E05DA" w:rsidP="006E05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D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idinti investavimo efektyvumą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siekiant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mažinti priklausomybę nuo ES fondų</w:t>
            </w: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0CA1D7B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1. INTERREG programos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ES įmonių konkurencingumo ir Mažųjų ir vidutinių įmonių skatinimo programa (COSME)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Lietuvos vystomojo bendradarbiavimo projektų programa</w:t>
            </w:r>
          </w:p>
        </w:tc>
      </w:tr>
      <w:tr w:rsidR="001E7267" w:rsidRPr="001E7267" w14:paraId="206291E6" w14:textId="77777777" w:rsidTr="00EF0A55">
        <w:trPr>
          <w:trHeight w:val="573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FDD4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7BF1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A2CC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2234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3. 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A2AA3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64B9A61C" w14:textId="77777777" w:rsidTr="00EF0A55">
        <w:trPr>
          <w:trHeight w:val="701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83E080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8. Didinti teisinės sistemos ir viešojo valdymo veiksmingumą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484DF6" w14:textId="009B36C2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Teisingumas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 w:rsidR="0051490E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(VRM)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Viešieji finansai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D0CE" w14:textId="77777777" w:rsidR="00B11B93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055ED">
              <w:rPr>
                <w:rFonts w:ascii="Times New Roman" w:eastAsia="Times New Roman" w:hAnsi="Times New Roman" w:cs="Times New Roman"/>
                <w:lang w:eastAsia="lt-LT"/>
              </w:rPr>
              <w:t>,2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2622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B99C22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Struktūrinių reformų rėmimo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Europos Komisijos Teisingumo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demokratijos ir žmogaus teisių rėmimo priemonė (EIDHR)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Periklio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Viešojo administravimo institucijų, įmonių ir piliečių sąveikumo sprendimai (ISA2)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 Heraklio III programa</w:t>
            </w:r>
          </w:p>
        </w:tc>
      </w:tr>
      <w:tr w:rsidR="001E7267" w:rsidRPr="001E7267" w14:paraId="7F3A0A50" w14:textId="77777777" w:rsidTr="00EF0A55">
        <w:trPr>
          <w:trHeight w:val="970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6181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69D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D4C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AA0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00EA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14A18741" w14:textId="77777777" w:rsidTr="00EF0A55">
        <w:trPr>
          <w:trHeight w:val="988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AAA22F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9. Stiprinti Lietuvos įtaką pasaulyje ir ryšius su diaspora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1CE07B" w14:textId="21D29AB1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Užsienio politika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Valstybės valdymas, regioninė politika ir viešasis administravimas</w:t>
            </w:r>
            <w:r w:rsidR="0051490E"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(LRVK)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AED1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1%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637D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3948AE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EK Skubios pagalbos palaikymo priemonė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EK Žemės ūkio produktų pardavimo skatinimo programa AGRIPROD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kaimynystės priemonė (ENI)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Partnerystės instrumentas (PI)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Europa piliečiams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6.Šiaurės šalių ministrų tarybos programos</w:t>
            </w:r>
          </w:p>
        </w:tc>
      </w:tr>
      <w:tr w:rsidR="001E7267" w:rsidRPr="001E7267" w14:paraId="2393AFEF" w14:textId="77777777" w:rsidTr="00EF0A55">
        <w:trPr>
          <w:trHeight w:val="988"/>
        </w:trPr>
        <w:tc>
          <w:tcPr>
            <w:tcW w:w="100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7918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53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6A4F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180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16179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E7267" w:rsidRPr="001E7267" w14:paraId="52CF9FFD" w14:textId="77777777" w:rsidTr="00EF0A55">
        <w:trPr>
          <w:trHeight w:val="968"/>
        </w:trPr>
        <w:tc>
          <w:tcPr>
            <w:tcW w:w="10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D12083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10. Stiprinti nacionalinį saugumą</w:t>
            </w:r>
          </w:p>
        </w:tc>
        <w:tc>
          <w:tcPr>
            <w:tcW w:w="9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D946BD" w14:textId="4174DCB2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Valstybės saugumas</w:t>
            </w:r>
            <w:r w:rsidR="0051490E">
              <w:rPr>
                <w:rFonts w:ascii="Times New Roman" w:eastAsia="Times New Roman" w:hAnsi="Times New Roman" w:cs="Times New Roman"/>
                <w:lang w:eastAsia="lt-LT"/>
              </w:rPr>
              <w:t xml:space="preserve"> ir gynyba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="0051490E" w:rsidRPr="0051490E">
              <w:rPr>
                <w:rFonts w:ascii="Times New Roman" w:hAnsi="Times New Roman" w:cs="Times New Roman"/>
                <w:color w:val="000000"/>
              </w:rPr>
              <w:t>Viešasis saugumas</w:t>
            </w:r>
            <w:r w:rsidRPr="0051490E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Transportas ir ryšiai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7B91F6" w14:textId="2EB14508" w:rsidR="00B11B93" w:rsidRPr="001E7267" w:rsidRDefault="007A1B5C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5,8</w:t>
            </w:r>
            <w:r w:rsidR="00B11B93" w:rsidRPr="001E7267">
              <w:rPr>
                <w:rFonts w:ascii="Times New Roman" w:eastAsia="Times New Roman" w:hAnsi="Times New Roman" w:cs="Times New Roman"/>
                <w:lang w:eastAsia="lt-LT"/>
              </w:rPr>
              <w:t>%</w:t>
            </w:r>
            <w:r w:rsidR="007F02AC" w:rsidRPr="007F02AC">
              <w:rPr>
                <w:rFonts w:ascii="Times New Roman" w:eastAsia="Times New Roman" w:hAnsi="Times New Roman" w:cs="Times New Roman"/>
                <w:lang w:eastAsia="lt-LT"/>
              </w:rPr>
              <w:t>**</w:t>
            </w:r>
            <w:r w:rsidR="00DF0DA2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  <w:r w:rsidR="002A4C0C"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40EA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0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341633D7" w14:textId="1CCA218E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1. EK priemonė, prisidedanti prie stabilumo ir taikos (ICSP)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2. EK Skubios pagalbos palaikymo priemonė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3. Europos savanoriškos humanitarinės pagalbos korpusas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4. Europos kaimynystės priemonė (ENI)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Prieglobsčio, migracijos ir integracijos fondas (AMIF)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>5. TATENA Techninio bendradarbiavimo programa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6. </w:t>
            </w:r>
            <w:r w:rsidR="00447C05">
              <w:rPr>
                <w:rFonts w:ascii="Times New Roman" w:eastAsia="Times New Roman" w:hAnsi="Times New Roman" w:cs="Times New Roman"/>
                <w:lang w:eastAsia="lt-LT"/>
              </w:rPr>
              <w:t>EITP</w:t>
            </w: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1E7267" w:rsidRPr="001E7267" w14:paraId="1A6D8CB9" w14:textId="77777777" w:rsidTr="00EF0A55">
        <w:trPr>
          <w:trHeight w:val="1560"/>
        </w:trPr>
        <w:tc>
          <w:tcPr>
            <w:tcW w:w="100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816F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6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2E9A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33BB64" w14:textId="77777777" w:rsidR="00B11B93" w:rsidRPr="001E7267" w:rsidRDefault="00B11B93" w:rsidP="00EF0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</w:t>
            </w:r>
          </w:p>
        </w:tc>
        <w:tc>
          <w:tcPr>
            <w:tcW w:w="13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A8B607" w14:textId="77777777" w:rsidR="00B11B93" w:rsidRPr="001E7267" w:rsidRDefault="00B11B93" w:rsidP="00EF0A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E7267">
              <w:rPr>
                <w:rFonts w:ascii="Times New Roman" w:eastAsia="Times New Roman" w:hAnsi="Times New Roman" w:cs="Times New Roman"/>
                <w:lang w:eastAsia="lt-LT"/>
              </w:rPr>
              <w:t>Papildomai pasinaudoti kitų tarptautinių finansavimo šaltinių lėšomis ne mažiau 5 proc.</w:t>
            </w:r>
          </w:p>
        </w:tc>
        <w:tc>
          <w:tcPr>
            <w:tcW w:w="130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C2E6A" w14:textId="77777777" w:rsidR="00B11B93" w:rsidRPr="001E7267" w:rsidRDefault="00B11B93" w:rsidP="001D72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16A8324" w14:textId="04779040" w:rsidR="001D729D" w:rsidRDefault="001D729D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1D729D">
        <w:rPr>
          <w:rFonts w:ascii="Times New Roman" w:eastAsia="Times New Roman" w:hAnsi="Times New Roman" w:cs="Times New Roman"/>
          <w:color w:val="000000"/>
          <w:lang w:eastAsia="lt-LT"/>
        </w:rPr>
        <w:t>* Kitų tarptautinių finansavimo šaltinių sąrašas gali kisti</w:t>
      </w:r>
      <w:r w:rsidR="00B11B93">
        <w:rPr>
          <w:rFonts w:ascii="Times New Roman" w:eastAsia="Times New Roman" w:hAnsi="Times New Roman" w:cs="Times New Roman"/>
          <w:color w:val="000000"/>
          <w:lang w:eastAsia="lt-LT"/>
        </w:rPr>
        <w:t xml:space="preserve"> (nebaigtinis sąrašas)</w:t>
      </w:r>
      <w:r w:rsidR="00DF0DA2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79E59AA6" w14:textId="00F35B80" w:rsidR="002A4C0C" w:rsidRDefault="002A4C0C" w:rsidP="005A6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lastRenderedPageBreak/>
        <w:t>** 4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strateginiam tikslui numatoma finansinė projekcija yra tik dalis visų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kultūros sektoriui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planuojamų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skirt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investicijų.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Bus išlaikomos ne mažesnės kultūros sektoriaus finansavimo apimtys, palyginti su praėjusiu laikotarpiu, ir siekiama, kad kultūros sektoriaus bendras finansavimas (įskaitant visus strateginius tikslus) sudarytų apie 2 proc. Plano finansinių projekcijų.</w:t>
      </w:r>
    </w:p>
    <w:p w14:paraId="40943566" w14:textId="50E97A48" w:rsidR="00DF0DA2" w:rsidRDefault="00DF0DA2" w:rsidP="005A6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**</w:t>
      </w:r>
      <w:r w:rsidR="002A4C0C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7 strateginiam tikslui numatoma finansinė projekcija yra tik dalis visų regionų plėtrai </w:t>
      </w:r>
      <w:r w:rsidR="002A4C0C">
        <w:rPr>
          <w:rFonts w:ascii="Times New Roman" w:eastAsia="Times New Roman" w:hAnsi="Times New Roman" w:cs="Times New Roman"/>
          <w:color w:val="000000"/>
          <w:lang w:eastAsia="lt-LT"/>
        </w:rPr>
        <w:t xml:space="preserve">planuojamų skirti </w:t>
      </w:r>
      <w:r>
        <w:rPr>
          <w:rFonts w:ascii="Times New Roman" w:eastAsia="Times New Roman" w:hAnsi="Times New Roman" w:cs="Times New Roman"/>
          <w:color w:val="000000"/>
          <w:lang w:eastAsia="lt-LT"/>
        </w:rPr>
        <w:t>investicijų. Kita dalis investicijų regionų plėtrai įskaičiuota į 1-6 strateginių tikslų finansines projekcijas.</w:t>
      </w:r>
    </w:p>
    <w:p w14:paraId="11F73EB8" w14:textId="2341E87C" w:rsidR="00EF0A55" w:rsidRPr="00DF0DA2" w:rsidRDefault="007F02AC" w:rsidP="005A6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>**</w:t>
      </w:r>
      <w:r w:rsidR="00DF0DA2" w:rsidRPr="00DF0DA2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r w:rsidR="006D528D">
        <w:rPr>
          <w:rFonts w:ascii="Times New Roman" w:eastAsia="Times New Roman" w:hAnsi="Times New Roman" w:cs="Times New Roman"/>
          <w:color w:val="000000"/>
          <w:lang w:eastAsia="lt-LT"/>
        </w:rPr>
        <w:t>*</w:t>
      </w:r>
      <w:bookmarkStart w:id="0" w:name="_GoBack"/>
      <w:bookmarkEnd w:id="0"/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 Pagal P</w:t>
      </w:r>
      <w:r w:rsidR="00DF0DA2" w:rsidRPr="00DF0DA2">
        <w:rPr>
          <w:rFonts w:ascii="Times New Roman" w:eastAsia="Times New Roman" w:hAnsi="Times New Roman" w:cs="Times New Roman"/>
          <w:color w:val="000000"/>
          <w:lang w:eastAsia="lt-LT"/>
        </w:rPr>
        <w:t>lano finansines</w:t>
      </w: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 projekcijas bus finansuojama dalis krašto apsaugos sistemos pažangai skiriamų asignavimų ir sudarys tik dalį asignavimų, </w:t>
      </w:r>
      <w:r w:rsidR="00DF0DA2" w:rsidRPr="00DF0DA2">
        <w:rPr>
          <w:rFonts w:ascii="Times New Roman" w:eastAsia="Times New Roman" w:hAnsi="Times New Roman" w:cs="Times New Roman"/>
          <w:color w:val="000000"/>
          <w:lang w:eastAsia="lt-LT"/>
        </w:rPr>
        <w:t xml:space="preserve">iš viso </w:t>
      </w:r>
      <w:r w:rsidRPr="00DF0DA2">
        <w:rPr>
          <w:rFonts w:ascii="Times New Roman" w:eastAsia="Times New Roman" w:hAnsi="Times New Roman" w:cs="Times New Roman"/>
          <w:color w:val="000000"/>
          <w:lang w:eastAsia="lt-LT"/>
        </w:rPr>
        <w:t>skiriamų gynybai (ne mažiau kaip 2 proc. šalies BVP)</w:t>
      </w:r>
      <w:r w:rsidR="005A6171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57D944E9" w14:textId="45357EA1" w:rsidR="00EF0A55" w:rsidRDefault="00EF0A55" w:rsidP="00AD03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047B41E" w14:textId="06F54AE4" w:rsidR="00EF0A55" w:rsidRDefault="00EF0A55" w:rsidP="007F02AC">
      <w:pPr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346ED3">
        <w:rPr>
          <w:bCs/>
          <w:szCs w:val="24"/>
          <w:lang w:eastAsia="lt-LT"/>
        </w:rPr>
        <w:t>________________________________________</w:t>
      </w:r>
    </w:p>
    <w:sectPr w:rsidR="00EF0A55" w:rsidSect="00AD03D2">
      <w:pgSz w:w="16838" w:h="11906" w:orient="landscape"/>
      <w:pgMar w:top="851" w:right="567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C67"/>
    <w:multiLevelType w:val="hybridMultilevel"/>
    <w:tmpl w:val="925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E2B"/>
    <w:multiLevelType w:val="hybridMultilevel"/>
    <w:tmpl w:val="B4C4596A"/>
    <w:lvl w:ilvl="0" w:tplc="850EF4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0949"/>
    <w:multiLevelType w:val="hybridMultilevel"/>
    <w:tmpl w:val="63FE6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5CE"/>
    <w:multiLevelType w:val="hybridMultilevel"/>
    <w:tmpl w:val="2848D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D2"/>
    <w:rsid w:val="000707DB"/>
    <w:rsid w:val="001C7855"/>
    <w:rsid w:val="001D729D"/>
    <w:rsid w:val="001E7267"/>
    <w:rsid w:val="002310C3"/>
    <w:rsid w:val="00281685"/>
    <w:rsid w:val="00291E9C"/>
    <w:rsid w:val="002A4C0C"/>
    <w:rsid w:val="003055ED"/>
    <w:rsid w:val="00447C05"/>
    <w:rsid w:val="0051490E"/>
    <w:rsid w:val="005A6171"/>
    <w:rsid w:val="006D4C9E"/>
    <w:rsid w:val="006D528D"/>
    <w:rsid w:val="006E05DA"/>
    <w:rsid w:val="007A1B5C"/>
    <w:rsid w:val="007F02AC"/>
    <w:rsid w:val="00935A2D"/>
    <w:rsid w:val="00A166DC"/>
    <w:rsid w:val="00A36395"/>
    <w:rsid w:val="00A976FA"/>
    <w:rsid w:val="00AD03D2"/>
    <w:rsid w:val="00B11B93"/>
    <w:rsid w:val="00B71665"/>
    <w:rsid w:val="00C34344"/>
    <w:rsid w:val="00C35254"/>
    <w:rsid w:val="00CF0CBC"/>
    <w:rsid w:val="00D22317"/>
    <w:rsid w:val="00DF0DA2"/>
    <w:rsid w:val="00DF301C"/>
    <w:rsid w:val="00E60DEA"/>
    <w:rsid w:val="00EF0A55"/>
    <w:rsid w:val="00F3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AA31"/>
  <w15:docId w15:val="{067132CA-B9AB-4968-8E33-20EA98E4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5320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Liatkovskienė</dc:creator>
  <cp:lastModifiedBy>Daiva Žaromskytė</cp:lastModifiedBy>
  <cp:revision>5</cp:revision>
  <cp:lastPrinted>2020-03-13T09:49:00Z</cp:lastPrinted>
  <dcterms:created xsi:type="dcterms:W3CDTF">2020-09-08T04:23:00Z</dcterms:created>
  <dcterms:modified xsi:type="dcterms:W3CDTF">2020-09-08T05:18:00Z</dcterms:modified>
</cp:coreProperties>
</file>