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CD6" w:rsidRPr="00865782" w:rsidRDefault="00912CD6" w:rsidP="008F7AC9">
      <w:pPr>
        <w:jc w:val="center"/>
        <w:rPr>
          <w:b/>
        </w:rPr>
      </w:pPr>
      <w:r w:rsidRPr="00865782">
        <w:rPr>
          <w:b/>
        </w:rPr>
        <w:t>DIREKTYVOS 89/391/EEB</w:t>
      </w:r>
      <w:r w:rsidR="009D17BA" w:rsidRPr="00865782">
        <w:rPr>
          <w:b/>
        </w:rPr>
        <w:t xml:space="preserve">, SU PASKUTINIAIS PAKEITIMAIS, PADARYTAIS </w:t>
      </w:r>
      <w:r w:rsidR="009E49B4" w:rsidRPr="00865782">
        <w:rPr>
          <w:b/>
        </w:rPr>
        <w:t xml:space="preserve">2008 M. SPALIO 22 D. EUROPOS PARLAMENTO IR TARYBOS </w:t>
      </w:r>
      <w:r w:rsidR="009D17BA" w:rsidRPr="00865782">
        <w:rPr>
          <w:b/>
        </w:rPr>
        <w:t>REGLAMENTU (EB) NR. 1137/2008</w:t>
      </w:r>
      <w:r w:rsidR="00DD5A8D" w:rsidRPr="00865782">
        <w:rPr>
          <w:b/>
        </w:rPr>
        <w:t>,</w:t>
      </w:r>
      <w:r w:rsidRPr="00865782">
        <w:rPr>
          <w:b/>
        </w:rPr>
        <w:t xml:space="preserve"> </w:t>
      </w:r>
      <w:proofErr w:type="gramStart"/>
      <w:r w:rsidRPr="00865782">
        <w:rPr>
          <w:b/>
        </w:rPr>
        <w:t xml:space="preserve">IR LIETUVOS RESPUBLIKOS </w:t>
      </w:r>
      <w:r w:rsidR="003F7D63" w:rsidRPr="00865782">
        <w:rPr>
          <w:b/>
        </w:rPr>
        <w:t>DARBUOTOJŲ SAUGOS IR SVEIKATOS ĮSTATYMO</w:t>
      </w:r>
      <w:proofErr w:type="gramEnd"/>
      <w:r w:rsidR="003F7D63" w:rsidRPr="00865782">
        <w:rPr>
          <w:b/>
        </w:rPr>
        <w:t xml:space="preserve"> Nr. IX-1672 </w:t>
      </w:r>
      <w:r w:rsidR="00DF43ED" w:rsidRPr="00865782">
        <w:rPr>
          <w:b/>
        </w:rPr>
        <w:t xml:space="preserve">2, 3, </w:t>
      </w:r>
      <w:r w:rsidR="000A612E">
        <w:rPr>
          <w:b/>
        </w:rPr>
        <w:t xml:space="preserve">4, </w:t>
      </w:r>
      <w:r w:rsidR="00DF43ED" w:rsidRPr="00865782">
        <w:rPr>
          <w:b/>
        </w:rPr>
        <w:t xml:space="preserve">6, 25, </w:t>
      </w:r>
      <w:r w:rsidR="003F7D63" w:rsidRPr="00865782">
        <w:rPr>
          <w:b/>
        </w:rPr>
        <w:t>27 IR 39 STRAIPSNIŲ PAKEITIMO ĮSTATYMO PROJEKTO</w:t>
      </w:r>
      <w:r w:rsidR="00461F62" w:rsidRPr="00865782">
        <w:rPr>
          <w:b/>
        </w:rPr>
        <w:t xml:space="preserve"> </w:t>
      </w:r>
      <w:r w:rsidRPr="00865782">
        <w:rPr>
          <w:b/>
        </w:rPr>
        <w:t>ATITIKTIES LENTELĖ</w:t>
      </w:r>
    </w:p>
    <w:p w:rsidR="005B0DCD" w:rsidRPr="00865782" w:rsidRDefault="005B0DCD" w:rsidP="008F7AC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5008"/>
        <w:gridCol w:w="1524"/>
      </w:tblGrid>
      <w:tr w:rsidR="00912CD6" w:rsidRPr="00865782" w:rsidTr="00470201">
        <w:tc>
          <w:tcPr>
            <w:tcW w:w="3038" w:type="dxa"/>
          </w:tcPr>
          <w:p w:rsidR="00912CD6" w:rsidRPr="00865782" w:rsidRDefault="00A9666C" w:rsidP="00E365BC">
            <w:pPr>
              <w:jc w:val="center"/>
            </w:pPr>
            <w:r w:rsidRPr="00865782">
              <w:rPr>
                <w:b/>
              </w:rPr>
              <w:t xml:space="preserve">1989 m. birželio 12 d. </w:t>
            </w:r>
            <w:r w:rsidR="00912CD6" w:rsidRPr="00865782">
              <w:rPr>
                <w:b/>
              </w:rPr>
              <w:t>Tarybos direktyva</w:t>
            </w:r>
            <w:r w:rsidRPr="00865782">
              <w:rPr>
                <w:b/>
              </w:rPr>
              <w:t xml:space="preserve"> 89/391/EEB</w:t>
            </w:r>
            <w:r w:rsidR="00912CD6" w:rsidRPr="00865782">
              <w:rPr>
                <w:b/>
              </w:rPr>
              <w:t xml:space="preserve"> dėl priemonių darbuotojų saugai ir sveikatai gerinti</w:t>
            </w:r>
            <w:r w:rsidR="009E49B4" w:rsidRPr="00865782">
              <w:rPr>
                <w:b/>
              </w:rPr>
              <w:t xml:space="preserve"> (OL 2004 m. </w:t>
            </w:r>
            <w:r w:rsidR="009E49B4" w:rsidRPr="00865782">
              <w:rPr>
                <w:b/>
                <w:i/>
              </w:rPr>
              <w:t>specialusis leidimas</w:t>
            </w:r>
            <w:r w:rsidR="00A2776E">
              <w:rPr>
                <w:b/>
              </w:rPr>
              <w:t>, 5 skyrius, 1 </w:t>
            </w:r>
            <w:r w:rsidR="009E49B4" w:rsidRPr="00865782">
              <w:rPr>
                <w:b/>
              </w:rPr>
              <w:t>tomas, p. 349)</w:t>
            </w:r>
          </w:p>
        </w:tc>
        <w:tc>
          <w:tcPr>
            <w:tcW w:w="5008" w:type="dxa"/>
          </w:tcPr>
          <w:p w:rsidR="002B6B79" w:rsidRPr="00865782" w:rsidRDefault="002B6B79" w:rsidP="008F7AC9">
            <w:pPr>
              <w:jc w:val="center"/>
              <w:rPr>
                <w:b/>
              </w:rPr>
            </w:pPr>
            <w:r w:rsidRPr="00865782">
              <w:rPr>
                <w:b/>
              </w:rPr>
              <w:t>Lietuvos Respublikos darbuotojų saugos ir sveikatos įstatym</w:t>
            </w:r>
            <w:r w:rsidR="00F75092" w:rsidRPr="00865782">
              <w:rPr>
                <w:b/>
              </w:rPr>
              <w:t>o</w:t>
            </w:r>
            <w:r w:rsidRPr="00865782">
              <w:rPr>
                <w:b/>
              </w:rPr>
              <w:t xml:space="preserve"> </w:t>
            </w:r>
            <w:r w:rsidR="00557F57" w:rsidRPr="00865782">
              <w:rPr>
                <w:b/>
              </w:rPr>
              <w:t xml:space="preserve">Nr. IX-1672 </w:t>
            </w:r>
            <w:r w:rsidR="00DF43ED" w:rsidRPr="00865782">
              <w:rPr>
                <w:b/>
              </w:rPr>
              <w:t>2, 3,</w:t>
            </w:r>
            <w:r w:rsidR="000A612E">
              <w:rPr>
                <w:b/>
              </w:rPr>
              <w:t xml:space="preserve"> 4,</w:t>
            </w:r>
            <w:r w:rsidR="00DF43ED" w:rsidRPr="00865782">
              <w:rPr>
                <w:b/>
              </w:rPr>
              <w:t xml:space="preserve"> 6, </w:t>
            </w:r>
            <w:r w:rsidR="00865CD1" w:rsidRPr="00865782">
              <w:rPr>
                <w:b/>
              </w:rPr>
              <w:t xml:space="preserve">25, </w:t>
            </w:r>
            <w:r w:rsidR="00F75092" w:rsidRPr="00865782">
              <w:rPr>
                <w:b/>
              </w:rPr>
              <w:t>27 ir 3</w:t>
            </w:r>
            <w:r w:rsidR="00136003" w:rsidRPr="00865782">
              <w:rPr>
                <w:b/>
              </w:rPr>
              <w:t>9</w:t>
            </w:r>
            <w:r w:rsidR="00F75092" w:rsidRPr="00865782">
              <w:rPr>
                <w:b/>
              </w:rPr>
              <w:t xml:space="preserve"> straipsnių pakeitimo įstatymo projektas </w:t>
            </w:r>
            <w:r w:rsidRPr="00865782">
              <w:rPr>
                <w:b/>
              </w:rPr>
              <w:t>(toliau – Įstatym</w:t>
            </w:r>
            <w:r w:rsidR="00F75092" w:rsidRPr="00865782">
              <w:rPr>
                <w:b/>
              </w:rPr>
              <w:t>o projektas</w:t>
            </w:r>
            <w:r w:rsidRPr="00865782">
              <w:rPr>
                <w:b/>
              </w:rPr>
              <w:t>)</w:t>
            </w:r>
          </w:p>
          <w:p w:rsidR="00016C66" w:rsidRPr="00865782" w:rsidRDefault="00016C66" w:rsidP="008F7AC9">
            <w:pPr>
              <w:jc w:val="center"/>
              <w:rPr>
                <w:b/>
              </w:rPr>
            </w:pPr>
          </w:p>
        </w:tc>
        <w:tc>
          <w:tcPr>
            <w:tcW w:w="1524" w:type="dxa"/>
          </w:tcPr>
          <w:p w:rsidR="00912CD6" w:rsidRPr="00865782" w:rsidRDefault="00A9666C" w:rsidP="008F7AC9">
            <w:pPr>
              <w:jc w:val="center"/>
              <w:rPr>
                <w:b/>
                <w:bCs/>
              </w:rPr>
            </w:pPr>
            <w:r w:rsidRPr="00865782">
              <w:rPr>
                <w:b/>
              </w:rPr>
              <w:t>Direktyvos perkėlimo lygis</w:t>
            </w:r>
          </w:p>
        </w:tc>
      </w:tr>
      <w:tr w:rsidR="006B2A46" w:rsidRPr="00865782" w:rsidTr="00470201">
        <w:tc>
          <w:tcPr>
            <w:tcW w:w="3038" w:type="dxa"/>
          </w:tcPr>
          <w:p w:rsidR="006B2A46" w:rsidRPr="00865782" w:rsidRDefault="006B2A46" w:rsidP="008F7AC9">
            <w:pPr>
              <w:jc w:val="left"/>
              <w:rPr>
                <w:b/>
              </w:rPr>
            </w:pPr>
            <w:r w:rsidRPr="00865782">
              <w:rPr>
                <w:b/>
              </w:rPr>
              <w:t>3 straipsnis. Sąvokų apibrėžimai</w:t>
            </w:r>
          </w:p>
          <w:p w:rsidR="006B2A46" w:rsidRPr="00865782" w:rsidRDefault="006B2A46" w:rsidP="008F7AC9">
            <w:pPr>
              <w:jc w:val="left"/>
            </w:pPr>
            <w:r w:rsidRPr="00865782">
              <w:rPr>
                <w:b/>
              </w:rPr>
              <w:t xml:space="preserve"> </w:t>
            </w:r>
            <w:r w:rsidRPr="00865782">
              <w:t>Šioje direktyvoje vartojamos sąvokos reiškia:</w:t>
            </w:r>
          </w:p>
          <w:p w:rsidR="006B2A46" w:rsidRPr="00865782" w:rsidRDefault="006B2A46" w:rsidP="008F7AC9">
            <w:pPr>
              <w:jc w:val="left"/>
              <w:rPr>
                <w:b/>
              </w:rPr>
            </w:pPr>
            <w:r w:rsidRPr="00865782">
              <w:t xml:space="preserve">a) </w:t>
            </w:r>
            <w:r w:rsidRPr="00865782">
              <w:rPr>
                <w:bCs/>
              </w:rPr>
              <w:t>darbuotojas</w:t>
            </w:r>
            <w:r w:rsidRPr="00865782">
              <w:t xml:space="preserve"> – darbdavio įdarbintas asmuo, taip pat ir stažuotojai bei mokiniai, bet ši sąvoka neapima samdomų namų darbininkų;</w:t>
            </w:r>
          </w:p>
        </w:tc>
        <w:tc>
          <w:tcPr>
            <w:tcW w:w="5008" w:type="dxa"/>
          </w:tcPr>
          <w:p w:rsidR="006B2A46" w:rsidRPr="00865782" w:rsidRDefault="006B2A46" w:rsidP="008F7AC9">
            <w:pPr>
              <w:jc w:val="left"/>
              <w:rPr>
                <w:b/>
              </w:rPr>
            </w:pPr>
            <w:r w:rsidRPr="00865782">
              <w:rPr>
                <w:b/>
              </w:rPr>
              <w:t>1 straipsnis. 2 straipsnio pakeitimas</w:t>
            </w:r>
          </w:p>
          <w:p w:rsidR="006B2A46" w:rsidRPr="00865782" w:rsidRDefault="006B2A46" w:rsidP="008F7AC9">
            <w:pPr>
              <w:jc w:val="left"/>
              <w:rPr>
                <w:b/>
              </w:rPr>
            </w:pPr>
            <w:r w:rsidRPr="00865782">
              <w:rPr>
                <w:b/>
              </w:rPr>
              <w:t>&lt;...&gt;</w:t>
            </w:r>
          </w:p>
          <w:p w:rsidR="00506E54" w:rsidRPr="00506E54" w:rsidRDefault="00506E54" w:rsidP="00506E54">
            <w:pPr>
              <w:jc w:val="left"/>
              <w:rPr>
                <w:b/>
              </w:rPr>
            </w:pPr>
            <w:r w:rsidRPr="00506E54">
              <w:rPr>
                <w:b/>
              </w:rPr>
              <w:t>4. Pakeisti 2 straipsnio 9 dalį ir ją išdėstyti taip:</w:t>
            </w:r>
          </w:p>
          <w:p w:rsidR="006B2A46" w:rsidRPr="00865782" w:rsidRDefault="00506E54" w:rsidP="00506E54">
            <w:pPr>
              <w:jc w:val="left"/>
              <w:rPr>
                <w:b/>
              </w:rPr>
            </w:pPr>
            <w:r w:rsidRPr="00506E54">
              <w:rPr>
                <w:b/>
              </w:rPr>
              <w:t>„9. Darbuotojas – kaip nustatyta Darbo kodekso 21 straipsnio 2 dalyje. Šiame Įstatyme darbuotoju taip pat yra laikomas asmuo, dirbantis kitų darbo santykiams prilygintų teisinių santykių pagrindu pagal Lietuvos Respublikos užimtumo įstatymo 4 straipsnio 3</w:t>
            </w:r>
            <w:r w:rsidR="00C34A2B">
              <w:rPr>
                <w:b/>
              </w:rPr>
              <w:t> </w:t>
            </w:r>
            <w:r w:rsidRPr="00506E54">
              <w:rPr>
                <w:b/>
              </w:rPr>
              <w:t>dalį, ir asmuo, kuris vykdo neatlygintiną veiklą pagal Užimtumo įstatymo 9 straipsnį.“</w:t>
            </w:r>
          </w:p>
          <w:p w:rsidR="006B2A46" w:rsidRPr="00865782" w:rsidRDefault="006B2A46" w:rsidP="008F7AC9">
            <w:pPr>
              <w:jc w:val="left"/>
            </w:pPr>
            <w:r w:rsidRPr="00865782">
              <w:rPr>
                <w:b/>
              </w:rPr>
              <w:t>&lt;...&gt;</w:t>
            </w:r>
          </w:p>
        </w:tc>
        <w:tc>
          <w:tcPr>
            <w:tcW w:w="1524" w:type="dxa"/>
          </w:tcPr>
          <w:p w:rsidR="006B2A46" w:rsidRPr="00865782" w:rsidRDefault="004F146F" w:rsidP="008F7AC9">
            <w:pPr>
              <w:jc w:val="left"/>
            </w:pPr>
            <w:r w:rsidRPr="00865782">
              <w:t>Dalinis</w:t>
            </w:r>
          </w:p>
          <w:p w:rsidR="0088744C" w:rsidRPr="00865782" w:rsidRDefault="0088744C" w:rsidP="008F7AC9">
            <w:pPr>
              <w:jc w:val="left"/>
            </w:pPr>
          </w:p>
          <w:p w:rsidR="00A66A64" w:rsidRPr="00865782" w:rsidRDefault="00A2776E" w:rsidP="00494B32">
            <w:pPr>
              <w:jc w:val="left"/>
              <w:rPr>
                <w:i/>
              </w:rPr>
            </w:pPr>
            <w:r>
              <w:rPr>
                <w:i/>
              </w:rPr>
              <w:t>Direktyvos 3 </w:t>
            </w:r>
            <w:r w:rsidR="00A67D15" w:rsidRPr="00865782">
              <w:rPr>
                <w:i/>
              </w:rPr>
              <w:t>straipsnio a punkto nuostatos</w:t>
            </w:r>
            <w:r w:rsidR="0088744C" w:rsidRPr="00865782">
              <w:rPr>
                <w:i/>
              </w:rPr>
              <w:t xml:space="preserve"> perkeltos </w:t>
            </w:r>
            <w:r w:rsidR="0067470D" w:rsidRPr="00865782">
              <w:rPr>
                <w:i/>
              </w:rPr>
              <w:t>Lietuvos Respublikos d</w:t>
            </w:r>
            <w:r w:rsidR="0088744C" w:rsidRPr="00865782">
              <w:rPr>
                <w:i/>
              </w:rPr>
              <w:t>arbo kodekso</w:t>
            </w:r>
            <w:r w:rsidR="00494B32" w:rsidRPr="00865782">
              <w:rPr>
                <w:i/>
              </w:rPr>
              <w:t xml:space="preserve"> (nuo 2019-07-01)</w:t>
            </w:r>
            <w:r w:rsidR="0088744C" w:rsidRPr="00865782">
              <w:rPr>
                <w:i/>
              </w:rPr>
              <w:t xml:space="preserve"> 21 straipsnio 2 dalyje</w:t>
            </w:r>
            <w:r w:rsidR="00494B32" w:rsidRPr="00865782">
              <w:rPr>
                <w:i/>
              </w:rPr>
              <w:t>.</w:t>
            </w:r>
          </w:p>
        </w:tc>
      </w:tr>
      <w:tr w:rsidR="006B2A46" w:rsidRPr="00865782" w:rsidTr="00470201">
        <w:tc>
          <w:tcPr>
            <w:tcW w:w="3038" w:type="dxa"/>
          </w:tcPr>
          <w:p w:rsidR="006B2A46" w:rsidRPr="00865782" w:rsidRDefault="006B2A46" w:rsidP="008F7AC9">
            <w:pPr>
              <w:jc w:val="left"/>
            </w:pPr>
            <w:r w:rsidRPr="00865782">
              <w:t xml:space="preserve">b) </w:t>
            </w:r>
            <w:r w:rsidRPr="00865782">
              <w:rPr>
                <w:bCs/>
              </w:rPr>
              <w:t>darbdavys</w:t>
            </w:r>
            <w:r w:rsidRPr="00865782">
              <w:t xml:space="preserve"> – bet kuris fizinis arba juridinis asmuo, susijęs su darbuotoju darbo santykiais ir atsakingas už įmonę ir (arba) įstaigą;</w:t>
            </w:r>
          </w:p>
          <w:p w:rsidR="006B2A46" w:rsidRPr="00865782" w:rsidRDefault="006B2A46" w:rsidP="008F7AC9">
            <w:pPr>
              <w:jc w:val="left"/>
            </w:pPr>
          </w:p>
        </w:tc>
        <w:tc>
          <w:tcPr>
            <w:tcW w:w="5008" w:type="dxa"/>
          </w:tcPr>
          <w:p w:rsidR="006B2A46" w:rsidRPr="00865782" w:rsidRDefault="006B2A46" w:rsidP="008F7AC9">
            <w:pPr>
              <w:jc w:val="left"/>
              <w:rPr>
                <w:b/>
              </w:rPr>
            </w:pPr>
            <w:r w:rsidRPr="00865782">
              <w:rPr>
                <w:b/>
              </w:rPr>
              <w:t>1 straipsnis. 2 straipsnio pakeitimas</w:t>
            </w:r>
          </w:p>
          <w:p w:rsidR="006B2A46" w:rsidRPr="00865782" w:rsidRDefault="006B2A46" w:rsidP="008F7AC9">
            <w:pPr>
              <w:jc w:val="left"/>
              <w:rPr>
                <w:b/>
              </w:rPr>
            </w:pPr>
            <w:r w:rsidRPr="00865782">
              <w:rPr>
                <w:b/>
              </w:rPr>
              <w:t>1. Pakeisti 2 straipsnio 2 dalį ir ją išdėstyti taip:</w:t>
            </w:r>
          </w:p>
          <w:p w:rsidR="006B2A46" w:rsidRPr="00865782" w:rsidRDefault="006B2A46" w:rsidP="008F7AC9">
            <w:pPr>
              <w:jc w:val="left"/>
              <w:rPr>
                <w:b/>
              </w:rPr>
            </w:pPr>
            <w:r w:rsidRPr="00865782">
              <w:rPr>
                <w:b/>
              </w:rPr>
              <w:t>„2. Darbdavys – kaip nustatyta Lietuvos Respublikos darbo kodekso 21 strai</w:t>
            </w:r>
            <w:r w:rsidR="00C34A2B">
              <w:rPr>
                <w:b/>
              </w:rPr>
              <w:t>psnio 3 </w:t>
            </w:r>
            <w:r w:rsidRPr="00865782">
              <w:rPr>
                <w:b/>
              </w:rPr>
              <w:t>dalyje, taip pat valstybės ar savivaldybės institucija ar įstaiga.“</w:t>
            </w:r>
          </w:p>
          <w:p w:rsidR="006B2A46" w:rsidRPr="00865782" w:rsidRDefault="006B2A46" w:rsidP="008F7AC9">
            <w:pPr>
              <w:jc w:val="left"/>
              <w:rPr>
                <w:b/>
              </w:rPr>
            </w:pPr>
            <w:r w:rsidRPr="00865782">
              <w:rPr>
                <w:b/>
              </w:rPr>
              <w:t>&lt;...&gt;</w:t>
            </w:r>
          </w:p>
        </w:tc>
        <w:tc>
          <w:tcPr>
            <w:tcW w:w="1524" w:type="dxa"/>
          </w:tcPr>
          <w:p w:rsidR="006B2A46" w:rsidRPr="00865782" w:rsidRDefault="004F146F" w:rsidP="008F7AC9">
            <w:pPr>
              <w:jc w:val="left"/>
            </w:pPr>
            <w:r w:rsidRPr="00865782">
              <w:t>Dalinis</w:t>
            </w:r>
          </w:p>
          <w:p w:rsidR="0027661D" w:rsidRPr="00865782" w:rsidRDefault="0027661D" w:rsidP="008F7AC9">
            <w:pPr>
              <w:jc w:val="left"/>
            </w:pPr>
          </w:p>
          <w:p w:rsidR="0027661D" w:rsidRPr="00865782" w:rsidRDefault="00A2776E" w:rsidP="009339C7">
            <w:pPr>
              <w:jc w:val="left"/>
            </w:pPr>
            <w:r>
              <w:rPr>
                <w:i/>
              </w:rPr>
              <w:t>Direktyvos 3 </w:t>
            </w:r>
            <w:r w:rsidR="0027661D" w:rsidRPr="00865782">
              <w:rPr>
                <w:i/>
              </w:rPr>
              <w:t xml:space="preserve">straipsnio b punkto nuostatos perkeltos </w:t>
            </w:r>
            <w:r w:rsidR="0067470D" w:rsidRPr="00865782">
              <w:rPr>
                <w:i/>
              </w:rPr>
              <w:t>Lietuvos Respublikos d</w:t>
            </w:r>
            <w:r w:rsidR="0027661D" w:rsidRPr="00865782">
              <w:rPr>
                <w:i/>
              </w:rPr>
              <w:t>arbo kodekso</w:t>
            </w:r>
            <w:r w:rsidR="009339C7" w:rsidRPr="00865782">
              <w:rPr>
                <w:i/>
              </w:rPr>
              <w:t xml:space="preserve"> (nuo 2019-07-01)</w:t>
            </w:r>
            <w:r w:rsidR="0027661D" w:rsidRPr="00865782">
              <w:rPr>
                <w:i/>
              </w:rPr>
              <w:t xml:space="preserve"> 21 straipsnio 3 dalyje</w:t>
            </w:r>
            <w:r w:rsidR="00494B32" w:rsidRPr="00865782">
              <w:rPr>
                <w:i/>
              </w:rPr>
              <w:t>.</w:t>
            </w:r>
          </w:p>
        </w:tc>
      </w:tr>
      <w:tr w:rsidR="006B2A46" w:rsidRPr="00865782" w:rsidTr="00470201">
        <w:tc>
          <w:tcPr>
            <w:tcW w:w="3038" w:type="dxa"/>
          </w:tcPr>
          <w:p w:rsidR="006B2A46" w:rsidRPr="00865782" w:rsidRDefault="006B2A46" w:rsidP="008F7AC9">
            <w:pPr>
              <w:jc w:val="left"/>
              <w:rPr>
                <w:b/>
                <w:bCs/>
              </w:rPr>
            </w:pPr>
            <w:r w:rsidRPr="00865782">
              <w:rPr>
                <w:b/>
                <w:bCs/>
              </w:rPr>
              <w:t>6 straipsnis. Bendrosios darbdavių pareigos</w:t>
            </w:r>
          </w:p>
          <w:p w:rsidR="006B2A46" w:rsidRPr="00865782" w:rsidRDefault="006B2A46" w:rsidP="008F7AC9">
            <w:pPr>
              <w:jc w:val="left"/>
              <w:rPr>
                <w:rFonts w:eastAsia="Arial Unicode MS"/>
              </w:rPr>
            </w:pPr>
            <w:r w:rsidRPr="00865782">
              <w:t xml:space="preserve">1. Atsižvelgdamas į atsakomybės sritis, darbdavys imasi priemonių, būtinų darbuotojų saugai ir sveikatai apsaugoti, įskaitant profesinės rizikos rūšių prevenciją, informavimą bei profesinį mokymą, taip pat </w:t>
            </w:r>
            <w:r w:rsidRPr="00865782">
              <w:lastRenderedPageBreak/>
              <w:t>būtiną organizavimą ir priemones.</w:t>
            </w:r>
          </w:p>
          <w:p w:rsidR="006B2A46" w:rsidRPr="00865782" w:rsidRDefault="006B2A46" w:rsidP="008F7AC9">
            <w:pPr>
              <w:jc w:val="left"/>
            </w:pPr>
            <w:r w:rsidRPr="00865782">
              <w:t xml:space="preserve">Darbdavys atidžiai stebi, ar nereikia pakoreguoti šių priemonių atsižvelgiant į besikeičiančias aplinkybes ir siekį gerinti esamą padėtį. </w:t>
            </w:r>
          </w:p>
        </w:tc>
        <w:tc>
          <w:tcPr>
            <w:tcW w:w="5008" w:type="dxa"/>
          </w:tcPr>
          <w:p w:rsidR="00C34A2B" w:rsidRPr="00C34A2B" w:rsidRDefault="00C34A2B" w:rsidP="00C34A2B">
            <w:pPr>
              <w:tabs>
                <w:tab w:val="left" w:pos="-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sidRPr="00C34A2B">
              <w:rPr>
                <w:b/>
              </w:rPr>
              <w:lastRenderedPageBreak/>
              <w:t>6 straipsnis. 27 straipsnio pakeitimas</w:t>
            </w:r>
          </w:p>
          <w:p w:rsidR="00C34A2B" w:rsidRPr="00C34A2B" w:rsidRDefault="00C34A2B" w:rsidP="00C34A2B">
            <w:pPr>
              <w:tabs>
                <w:tab w:val="left" w:pos="-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sidRPr="00C34A2B">
              <w:rPr>
                <w:b/>
              </w:rPr>
              <w:t>1. Pakeisti 27 straipsnio 1 dalį ir ją išdėstyti taip:</w:t>
            </w:r>
          </w:p>
          <w:p w:rsidR="00E21CB6" w:rsidRPr="00865782" w:rsidRDefault="00C34A2B" w:rsidP="00C34A2B">
            <w:pPr>
              <w:tabs>
                <w:tab w:val="left" w:pos="-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lang w:val="en-US"/>
              </w:rPr>
            </w:pPr>
            <w:r w:rsidRPr="00C34A2B">
              <w:rPr>
                <w:b/>
              </w:rPr>
              <w:t xml:space="preserve">„1. Darbdavys negali reikalauti, kad darbuotojas pradėtų dirbti jam pavestą darbą įmonėje, jeigu jis neinstruktuotas ir (ar) neišmokytas saugiai jį atlikti. Darbuotojas instruktuojamas atsižvelgiant į jo darbo vietą ar atliekamą darbą, jį priimant į darbą, perkeliant į kitą darbą ar darbo vietą, </w:t>
            </w:r>
            <w:r w:rsidRPr="00C34A2B">
              <w:rPr>
                <w:b/>
              </w:rPr>
              <w:lastRenderedPageBreak/>
              <w:t>pradėjus naudoti naujas ar modernizuotas darbo priemones, naujas technologijas. Kai darbuotojui nepakanka profesinių įgūdžių ir instruktuojant suteiktų žinių, kad jis galėtų saugiai dirbti ir nebūtų pakenkta jo sveikatai, darbdaviui atstovaujantis asmuo arba darbdavio įgaliotas asmuo, atsižvelgdamas į darbuotoją veikiančius kenksmingus ir (ar) pavojingus veiksnius, organizuoja darbuotojo mokymą darbo vietoje, įmonėje ar mokyklose, mokymo įstaigose, kurios vykdo mokymą vadovaudamosi Mokymo ir žinių darbuotojų saugos ir sveikatos klausimais tikrinimo bendraisiais nuostatais. Instruktavimas ir mokymas vykdomas darbuotojo darbo laiku, atnaujinamas pasikeitus ar atsiradus naujai profesinei rizikai ir prireikus kartojamas.“</w:t>
            </w:r>
          </w:p>
          <w:p w:rsidR="006B2A46" w:rsidRPr="00865782" w:rsidRDefault="00E21CB6" w:rsidP="008F7AC9">
            <w:pPr>
              <w:tabs>
                <w:tab w:val="left" w:pos="-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rPr>
            </w:pPr>
            <w:r w:rsidRPr="00865782">
              <w:rPr>
                <w:b/>
              </w:rPr>
              <w:t>&lt;...&gt;</w:t>
            </w:r>
          </w:p>
        </w:tc>
        <w:tc>
          <w:tcPr>
            <w:tcW w:w="1524" w:type="dxa"/>
          </w:tcPr>
          <w:p w:rsidR="006B2A46" w:rsidRPr="00865782" w:rsidRDefault="004F146F" w:rsidP="008F7AC9">
            <w:pPr>
              <w:jc w:val="left"/>
            </w:pPr>
            <w:r w:rsidRPr="00865782">
              <w:lastRenderedPageBreak/>
              <w:t>Dalinis</w:t>
            </w:r>
          </w:p>
          <w:p w:rsidR="0012633B" w:rsidRPr="00865782" w:rsidRDefault="0012633B" w:rsidP="008F7AC9">
            <w:pPr>
              <w:jc w:val="left"/>
            </w:pPr>
          </w:p>
          <w:p w:rsidR="0012633B" w:rsidRPr="00865782" w:rsidRDefault="00A2776E" w:rsidP="0012633B">
            <w:pPr>
              <w:jc w:val="left"/>
              <w:rPr>
                <w:bCs/>
                <w:i/>
              </w:rPr>
            </w:pPr>
            <w:r>
              <w:rPr>
                <w:bCs/>
                <w:i/>
              </w:rPr>
              <w:t>Direktyvos 6 </w:t>
            </w:r>
            <w:r w:rsidR="0012633B" w:rsidRPr="00865782">
              <w:rPr>
                <w:bCs/>
                <w:i/>
              </w:rPr>
              <w:t xml:space="preserve">straipsnio </w:t>
            </w:r>
            <w:r w:rsidR="002B72B1" w:rsidRPr="00865782">
              <w:rPr>
                <w:bCs/>
                <w:i/>
              </w:rPr>
              <w:t xml:space="preserve">1 dalies nuostatos </w:t>
            </w:r>
            <w:r w:rsidR="0067470D" w:rsidRPr="00865782">
              <w:rPr>
                <w:bCs/>
                <w:i/>
              </w:rPr>
              <w:t xml:space="preserve">perkeltos Lietuvos Respublikos </w:t>
            </w:r>
            <w:r w:rsidR="00470201" w:rsidRPr="00865782">
              <w:rPr>
                <w:bCs/>
                <w:i/>
              </w:rPr>
              <w:t xml:space="preserve">darbuotojų </w:t>
            </w:r>
            <w:r w:rsidR="00470201" w:rsidRPr="00865782">
              <w:rPr>
                <w:bCs/>
                <w:i/>
              </w:rPr>
              <w:lastRenderedPageBreak/>
              <w:t>saugos ir sveikatos į</w:t>
            </w:r>
            <w:r w:rsidR="0012633B" w:rsidRPr="00865782">
              <w:rPr>
                <w:bCs/>
                <w:i/>
              </w:rPr>
              <w:t>statym</w:t>
            </w:r>
            <w:r w:rsidR="00470201" w:rsidRPr="00865782">
              <w:rPr>
                <w:bCs/>
                <w:i/>
              </w:rPr>
              <w:t>o</w:t>
            </w:r>
            <w:r>
              <w:rPr>
                <w:bCs/>
                <w:i/>
              </w:rPr>
              <w:t xml:space="preserve"> Nr. </w:t>
            </w:r>
            <w:r w:rsidR="0012633B" w:rsidRPr="00865782">
              <w:rPr>
                <w:bCs/>
                <w:i/>
              </w:rPr>
              <w:t xml:space="preserve">IX-1672 </w:t>
            </w:r>
            <w:r w:rsidR="00E117D4" w:rsidRPr="00865782">
              <w:rPr>
                <w:bCs/>
                <w:i/>
              </w:rPr>
              <w:t>(nuo 2019-07-01)</w:t>
            </w:r>
          </w:p>
          <w:p w:rsidR="0012633B" w:rsidRPr="00865782" w:rsidRDefault="0012633B" w:rsidP="00470201">
            <w:pPr>
              <w:jc w:val="left"/>
              <w:rPr>
                <w:b/>
                <w:bCs/>
              </w:rPr>
            </w:pPr>
            <w:r w:rsidRPr="00865782">
              <w:rPr>
                <w:bCs/>
                <w:i/>
              </w:rPr>
              <w:t>11 straipsni</w:t>
            </w:r>
            <w:r w:rsidR="00470201" w:rsidRPr="00865782">
              <w:rPr>
                <w:bCs/>
                <w:i/>
              </w:rPr>
              <w:t>o</w:t>
            </w:r>
            <w:r w:rsidRPr="00865782">
              <w:rPr>
                <w:bCs/>
                <w:i/>
              </w:rPr>
              <w:t xml:space="preserve"> 2</w:t>
            </w:r>
            <w:r w:rsidR="00A2776E">
              <w:rPr>
                <w:bCs/>
                <w:i/>
              </w:rPr>
              <w:t xml:space="preserve"> dalyje ir 19 </w:t>
            </w:r>
            <w:r w:rsidR="00470201" w:rsidRPr="00865782">
              <w:rPr>
                <w:bCs/>
                <w:i/>
              </w:rPr>
              <w:t>straipsnio 2 dalyje</w:t>
            </w:r>
            <w:r w:rsidR="00494B32" w:rsidRPr="00865782">
              <w:rPr>
                <w:bCs/>
                <w:i/>
              </w:rPr>
              <w:t>.</w:t>
            </w:r>
          </w:p>
        </w:tc>
      </w:tr>
      <w:tr w:rsidR="006B2A46" w:rsidRPr="00865782" w:rsidTr="00470201">
        <w:tc>
          <w:tcPr>
            <w:tcW w:w="3038" w:type="dxa"/>
          </w:tcPr>
          <w:p w:rsidR="006B2A46" w:rsidRPr="00865782" w:rsidRDefault="006B2A46" w:rsidP="008F7AC9">
            <w:pPr>
              <w:tabs>
                <w:tab w:val="left" w:pos="720"/>
                <w:tab w:val="right" w:pos="8953"/>
              </w:tabs>
              <w:jc w:val="left"/>
            </w:pPr>
            <w:r w:rsidRPr="00865782">
              <w:rPr>
                <w:b/>
              </w:rPr>
              <w:lastRenderedPageBreak/>
              <w:t>6 straipsnis. Bendrosios darbdavių pareigos</w:t>
            </w:r>
          </w:p>
          <w:p w:rsidR="006B2A46" w:rsidRPr="00865782" w:rsidRDefault="006B2A46" w:rsidP="008F7AC9">
            <w:pPr>
              <w:jc w:val="left"/>
              <w:rPr>
                <w:rFonts w:eastAsia="Arial Unicode MS"/>
              </w:rPr>
            </w:pPr>
            <w:r w:rsidRPr="00865782">
              <w:t>3. Nepažeisdamas kitų šios direktyvos nuostatų ir atsižvelgdamas į įmonės arba (ir) įstaigos veiklos pobūdį, darbdavys:</w:t>
            </w:r>
          </w:p>
          <w:p w:rsidR="006B2A46" w:rsidRPr="00865782" w:rsidRDefault="006B2A46" w:rsidP="008F7AC9">
            <w:pPr>
              <w:jc w:val="left"/>
            </w:pPr>
            <w:r w:rsidRPr="00865782">
              <w:t xml:space="preserve">a) įvertina rizikos darbuotojų saugai ir sveikatai rūšis, </w:t>
            </w:r>
            <w:proofErr w:type="spellStart"/>
            <w:r w:rsidRPr="00865782">
              <w:rPr>
                <w:i/>
                <w:iCs/>
              </w:rPr>
              <w:t>inter</w:t>
            </w:r>
            <w:proofErr w:type="spellEnd"/>
            <w:r w:rsidRPr="00865782">
              <w:rPr>
                <w:i/>
                <w:iCs/>
              </w:rPr>
              <w:t xml:space="preserve"> </w:t>
            </w:r>
            <w:proofErr w:type="spellStart"/>
            <w:r w:rsidRPr="00865782">
              <w:rPr>
                <w:i/>
                <w:iCs/>
              </w:rPr>
              <w:t>alia</w:t>
            </w:r>
            <w:proofErr w:type="spellEnd"/>
            <w:r w:rsidRPr="00865782">
              <w:rPr>
                <w:i/>
                <w:iCs/>
              </w:rPr>
              <w:t xml:space="preserve">, </w:t>
            </w:r>
            <w:r w:rsidRPr="00865782">
              <w:t>atsižvelgdamas į pasirinktas darbo priemones, chemines medžiagas ar naudojamus preparatus</w:t>
            </w:r>
            <w:proofErr w:type="gramStart"/>
            <w:r w:rsidRPr="00865782">
              <w:t>, bei</w:t>
            </w:r>
            <w:proofErr w:type="gramEnd"/>
            <w:r w:rsidRPr="00865782">
              <w:t xml:space="preserve"> į darbo vietų įrengimą.</w:t>
            </w:r>
          </w:p>
          <w:p w:rsidR="006B2A46" w:rsidRPr="00865782" w:rsidRDefault="006B2A46" w:rsidP="008F7AC9">
            <w:pPr>
              <w:jc w:val="left"/>
            </w:pPr>
            <w:r w:rsidRPr="00865782">
              <w:t>Įvertinus šią riziką, jeigu reikia, darbdavio naudojamos prevencinės priemonės ir darbo bei gamybos metodai privalo:</w:t>
            </w:r>
          </w:p>
          <w:p w:rsidR="006B2A46" w:rsidRPr="00865782" w:rsidRDefault="006B2A46" w:rsidP="008F7AC9">
            <w:pPr>
              <w:jc w:val="left"/>
            </w:pPr>
            <w:r w:rsidRPr="00865782">
              <w:t>– užtikrinti geresnį darbuotojų sveikatos apsaugos ir saugos lygį;</w:t>
            </w:r>
          </w:p>
          <w:p w:rsidR="006B2A46" w:rsidRPr="00865782" w:rsidRDefault="006B2A46" w:rsidP="008F7AC9">
            <w:pPr>
              <w:jc w:val="left"/>
            </w:pPr>
            <w:r w:rsidRPr="00865782">
              <w:t>– būti neatsiejama visų įmonės ir (arba) įstaigos veiklos sričių dalis visais pavaldumo lygiais;</w:t>
            </w:r>
          </w:p>
          <w:p w:rsidR="006B2A46" w:rsidRPr="00865782" w:rsidRDefault="006B2A46" w:rsidP="008F7AC9">
            <w:pPr>
              <w:jc w:val="left"/>
            </w:pPr>
            <w:r w:rsidRPr="00865782">
              <w:t>&lt;...&gt;</w:t>
            </w:r>
          </w:p>
        </w:tc>
        <w:tc>
          <w:tcPr>
            <w:tcW w:w="5008" w:type="dxa"/>
          </w:tcPr>
          <w:p w:rsidR="00946E75" w:rsidRPr="00946E75" w:rsidRDefault="00946E75" w:rsidP="00946E75">
            <w:pPr>
              <w:jc w:val="left"/>
              <w:rPr>
                <w:b/>
                <w:bCs/>
              </w:rPr>
            </w:pPr>
            <w:r w:rsidRPr="00946E75">
              <w:rPr>
                <w:b/>
                <w:bCs/>
              </w:rPr>
              <w:t>5 straipsnis. 25 straipsnio pakeitimas</w:t>
            </w:r>
          </w:p>
          <w:p w:rsidR="00946E75" w:rsidRPr="00946E75" w:rsidRDefault="00946E75" w:rsidP="00946E75">
            <w:pPr>
              <w:jc w:val="left"/>
              <w:rPr>
                <w:b/>
                <w:bCs/>
              </w:rPr>
            </w:pPr>
            <w:r>
              <w:rPr>
                <w:b/>
                <w:bCs/>
              </w:rPr>
              <w:t xml:space="preserve">1. </w:t>
            </w:r>
            <w:r w:rsidRPr="00946E75">
              <w:rPr>
                <w:b/>
                <w:bCs/>
              </w:rPr>
              <w:t>Pakeisti 25 straipsnio 1 dalies 2 punktą ir jį išdėstyti taip:</w:t>
            </w:r>
          </w:p>
          <w:p w:rsidR="006B2A46" w:rsidRPr="00865782" w:rsidRDefault="00946E75" w:rsidP="00946E75">
            <w:pPr>
              <w:jc w:val="left"/>
              <w:rPr>
                <w:b/>
                <w:bCs/>
                <w:lang w:val="en-US"/>
              </w:rPr>
            </w:pPr>
            <w:r w:rsidRPr="00946E75">
              <w:rPr>
                <w:b/>
                <w:bCs/>
              </w:rPr>
              <w:t>„2) organizuoja arba paveda darbdavio įgaliotam asmeniui organizuoti profesinės rizikos vertinimą ir nustato faktinę darbuotojų saugos ir sveikatos būklę įmonėje, padaliniuose ir atskirose darbo vietose. Nustačius, kad darbo priemonės ir (ar) darbo sąlygos įmonėje, padaliniuose ir (ar) darbo vietose neatitinka darbuotojų saugos ir sveikatos norminių teisės aktų reikalavimų, kad darbo aplinkoje yra kenksmingų ir (ar) pavojingų veiksnių, darbdaviui atstovaujantis asmuo organizuoja reikiamų prevencijos priemonių parengimą ir įgyvendinimą;“.</w:t>
            </w:r>
          </w:p>
          <w:p w:rsidR="006B2A46" w:rsidRPr="00865782" w:rsidRDefault="006B2A46" w:rsidP="008F7AC9">
            <w:pPr>
              <w:pStyle w:val="Pagrindinistekstas3"/>
              <w:rPr>
                <w:szCs w:val="24"/>
                <w:lang w:val="en-US"/>
              </w:rPr>
            </w:pPr>
            <w:r w:rsidRPr="00865782">
              <w:rPr>
                <w:b/>
                <w:szCs w:val="24"/>
              </w:rPr>
              <w:t>&lt;...&gt;</w:t>
            </w:r>
          </w:p>
        </w:tc>
        <w:tc>
          <w:tcPr>
            <w:tcW w:w="1524" w:type="dxa"/>
          </w:tcPr>
          <w:p w:rsidR="006B2A46" w:rsidRPr="00865782" w:rsidRDefault="004F146F" w:rsidP="008F7AC9">
            <w:pPr>
              <w:pStyle w:val="fait0"/>
              <w:spacing w:before="0" w:beforeAutospacing="0" w:after="0" w:afterAutospacing="0"/>
              <w:rPr>
                <w:rFonts w:ascii="Times New Roman" w:eastAsia="Times New Roman" w:hAnsi="Times New Roman" w:cs="Times New Roman"/>
                <w:lang w:val="lt-LT"/>
              </w:rPr>
            </w:pPr>
            <w:r w:rsidRPr="00865782">
              <w:rPr>
                <w:rFonts w:ascii="Times New Roman" w:eastAsia="Times New Roman" w:hAnsi="Times New Roman" w:cs="Times New Roman"/>
                <w:lang w:val="lt-LT"/>
              </w:rPr>
              <w:t>Dalinis</w:t>
            </w:r>
          </w:p>
          <w:p w:rsidR="00FF2853" w:rsidRPr="00865782" w:rsidRDefault="00FF2853" w:rsidP="008F7AC9">
            <w:pPr>
              <w:pStyle w:val="fait0"/>
              <w:spacing w:before="0" w:beforeAutospacing="0" w:after="0" w:afterAutospacing="0"/>
              <w:rPr>
                <w:rFonts w:ascii="Times New Roman" w:eastAsia="Times New Roman" w:hAnsi="Times New Roman" w:cs="Times New Roman"/>
                <w:lang w:val="lt-LT"/>
              </w:rPr>
            </w:pPr>
          </w:p>
          <w:p w:rsidR="00FF2853" w:rsidRPr="00865782" w:rsidRDefault="00A2776E" w:rsidP="00FF2853">
            <w:pPr>
              <w:jc w:val="left"/>
              <w:rPr>
                <w:bCs/>
                <w:i/>
              </w:rPr>
            </w:pPr>
            <w:r>
              <w:rPr>
                <w:bCs/>
                <w:i/>
              </w:rPr>
              <w:t>Direktyvos 6 straipsnio 3 dalies a </w:t>
            </w:r>
            <w:r w:rsidR="00FF2853" w:rsidRPr="00865782">
              <w:rPr>
                <w:bCs/>
                <w:i/>
              </w:rPr>
              <w:t>punkto nuostatos perkeltos Lietuvos Respublikos darbuotojų s</w:t>
            </w:r>
            <w:r>
              <w:rPr>
                <w:bCs/>
                <w:i/>
              </w:rPr>
              <w:t>augos ir sveikatos įstatymo Nr. </w:t>
            </w:r>
            <w:r w:rsidR="00FF2853" w:rsidRPr="00865782">
              <w:rPr>
                <w:bCs/>
                <w:i/>
              </w:rPr>
              <w:t>IX-1672 (nuo 2019-07-01)</w:t>
            </w:r>
            <w:r>
              <w:rPr>
                <w:bCs/>
                <w:i/>
              </w:rPr>
              <w:t xml:space="preserve"> 25 </w:t>
            </w:r>
            <w:r w:rsidR="00AD6E19" w:rsidRPr="00865782">
              <w:rPr>
                <w:bCs/>
                <w:i/>
              </w:rPr>
              <w:t>straipsnio 1 dalyje.</w:t>
            </w:r>
          </w:p>
        </w:tc>
      </w:tr>
      <w:tr w:rsidR="00961BE1" w:rsidRPr="00DD10E8" w:rsidTr="00470201">
        <w:tc>
          <w:tcPr>
            <w:tcW w:w="3038" w:type="dxa"/>
          </w:tcPr>
          <w:p w:rsidR="00DD10E8" w:rsidRPr="00DD10E8" w:rsidRDefault="00DD10E8" w:rsidP="00DD10E8">
            <w:pPr>
              <w:tabs>
                <w:tab w:val="left" w:pos="720"/>
                <w:tab w:val="right" w:pos="8953"/>
              </w:tabs>
              <w:jc w:val="left"/>
            </w:pPr>
            <w:r w:rsidRPr="00DD10E8">
              <w:rPr>
                <w:b/>
              </w:rPr>
              <w:t>6 straipsnis. Bendrosios darbdavių pareigos</w:t>
            </w:r>
          </w:p>
          <w:p w:rsidR="00DD10E8" w:rsidRPr="00DD10E8" w:rsidRDefault="00DD10E8" w:rsidP="00DD10E8">
            <w:pPr>
              <w:tabs>
                <w:tab w:val="left" w:pos="720"/>
                <w:tab w:val="right" w:pos="8953"/>
              </w:tabs>
              <w:jc w:val="left"/>
            </w:pPr>
            <w:r w:rsidRPr="00DD10E8">
              <w:t>3. Nepažeisdamas kitų šios direktyvos nuostatų ir atsižvelgdamas į įmonės arba (ir) įstaigos veiklos pobūdį, darbdavys:</w:t>
            </w:r>
          </w:p>
          <w:p w:rsidR="00DD10E8" w:rsidRDefault="00DD10E8" w:rsidP="008F7AC9">
            <w:pPr>
              <w:tabs>
                <w:tab w:val="left" w:pos="720"/>
                <w:tab w:val="right" w:pos="8953"/>
              </w:tabs>
              <w:jc w:val="left"/>
            </w:pPr>
            <w:r>
              <w:lastRenderedPageBreak/>
              <w:t>&lt;...&gt;</w:t>
            </w:r>
          </w:p>
          <w:p w:rsidR="00961BE1" w:rsidRPr="00DD10E8" w:rsidRDefault="00DD10E8" w:rsidP="008F7AC9">
            <w:pPr>
              <w:tabs>
                <w:tab w:val="left" w:pos="720"/>
                <w:tab w:val="right" w:pos="8953"/>
              </w:tabs>
              <w:jc w:val="left"/>
            </w:pPr>
            <w:r w:rsidRPr="00DD10E8">
              <w:t>d) imasi reikiamų priemonių, kad tik atitinkamai instruktuoti darbuotojai galėtų patekti į tas teritorijas, kuriose kyla didelis ir konkretus pavojus.</w:t>
            </w:r>
          </w:p>
        </w:tc>
        <w:tc>
          <w:tcPr>
            <w:tcW w:w="5008" w:type="dxa"/>
          </w:tcPr>
          <w:p w:rsidR="00C95BDF" w:rsidRPr="00C95BDF" w:rsidRDefault="008F7201" w:rsidP="00C95BDF">
            <w:pPr>
              <w:rPr>
                <w:b/>
                <w:lang w:eastAsia="lt-LT"/>
              </w:rPr>
            </w:pPr>
            <w:r>
              <w:rPr>
                <w:b/>
                <w:lang w:eastAsia="lt-LT"/>
              </w:rPr>
              <w:lastRenderedPageBreak/>
              <w:t>6</w:t>
            </w:r>
            <w:r w:rsidR="00C95BDF" w:rsidRPr="00C95BDF">
              <w:rPr>
                <w:b/>
                <w:lang w:eastAsia="lt-LT"/>
              </w:rPr>
              <w:t xml:space="preserve"> straipsnis. 27 straipsnio pakeitimas</w:t>
            </w:r>
          </w:p>
          <w:p w:rsidR="00C95BDF" w:rsidRPr="00E90EC1" w:rsidRDefault="00C95BDF" w:rsidP="00C95BDF">
            <w:pPr>
              <w:rPr>
                <w:b/>
                <w:szCs w:val="20"/>
              </w:rPr>
            </w:pPr>
            <w:bookmarkStart w:id="0" w:name="part_9f2be30639d14337b8356d75bfea4ce3"/>
            <w:bookmarkEnd w:id="0"/>
            <w:r w:rsidRPr="00E90EC1">
              <w:rPr>
                <w:b/>
                <w:szCs w:val="20"/>
              </w:rPr>
              <w:t>&lt;...&gt;</w:t>
            </w:r>
          </w:p>
          <w:p w:rsidR="00C95BDF" w:rsidRPr="00C95BDF" w:rsidRDefault="00C95BDF" w:rsidP="00C95BDF">
            <w:pPr>
              <w:rPr>
                <w:b/>
                <w:szCs w:val="20"/>
                <w:lang w:val="en-US"/>
              </w:rPr>
            </w:pPr>
            <w:r w:rsidRPr="00C95BDF">
              <w:rPr>
                <w:b/>
                <w:szCs w:val="20"/>
              </w:rPr>
              <w:t>2. Pripažinti netekusia galios 27 straipsnio 5</w:t>
            </w:r>
            <w:r w:rsidR="00A2776E">
              <w:rPr>
                <w:b/>
                <w:szCs w:val="20"/>
              </w:rPr>
              <w:t> </w:t>
            </w:r>
            <w:r w:rsidRPr="00C95BDF">
              <w:rPr>
                <w:b/>
                <w:szCs w:val="20"/>
              </w:rPr>
              <w:t>dalį.</w:t>
            </w:r>
          </w:p>
          <w:p w:rsidR="00C95BDF" w:rsidRPr="00C95BDF" w:rsidRDefault="00C95BDF" w:rsidP="00C95BDF">
            <w:pPr>
              <w:rPr>
                <w:b/>
                <w:strike/>
                <w:szCs w:val="20"/>
                <w:lang w:val="en-US"/>
              </w:rPr>
            </w:pPr>
            <w:bookmarkStart w:id="1" w:name="part_c1c0255d229f41ccba19a44c90b20638"/>
            <w:bookmarkEnd w:id="1"/>
            <w:r w:rsidRPr="00C95BDF">
              <w:rPr>
                <w:b/>
                <w:strike/>
                <w:szCs w:val="20"/>
              </w:rPr>
              <w:t xml:space="preserve">5. Darbuotojų, dirbančių pavojingus darbus, kurių sąrašą tvirtina Vyriausybė, mokymo ir žinių iš darbuotojų saugos ir sveikatos srities </w:t>
            </w:r>
            <w:r w:rsidRPr="00C95BDF">
              <w:rPr>
                <w:b/>
                <w:strike/>
                <w:szCs w:val="20"/>
              </w:rPr>
              <w:lastRenderedPageBreak/>
              <w:t>patikrinimo bei šių darbų saugaus atlikimo tvarką nustato darbdavys, išskyrus atvejus, kai įstatymai ar kiti norminiai teisės aktai nustato kitokią šių darbuotojų mokymo, žinių tikrinimo bei saugaus darbų atlikimo tvarką.</w:t>
            </w:r>
          </w:p>
          <w:p w:rsidR="00961BE1" w:rsidRPr="00E90EC1" w:rsidRDefault="00961BE1" w:rsidP="00C95BDF">
            <w:pPr>
              <w:jc w:val="left"/>
              <w:rPr>
                <w:b/>
                <w:bCs/>
              </w:rPr>
            </w:pPr>
          </w:p>
        </w:tc>
        <w:tc>
          <w:tcPr>
            <w:tcW w:w="1524" w:type="dxa"/>
          </w:tcPr>
          <w:p w:rsidR="006C3162" w:rsidRPr="006C3162" w:rsidRDefault="006C3162" w:rsidP="006C3162">
            <w:pPr>
              <w:pStyle w:val="fait0"/>
              <w:rPr>
                <w:rFonts w:ascii="Times New Roman" w:eastAsia="Times New Roman" w:hAnsi="Times New Roman" w:cs="Times New Roman"/>
                <w:szCs w:val="20"/>
                <w:lang w:val="lt-LT"/>
              </w:rPr>
            </w:pPr>
            <w:r w:rsidRPr="006C3162">
              <w:rPr>
                <w:rFonts w:ascii="Times New Roman" w:eastAsia="Times New Roman" w:hAnsi="Times New Roman" w:cs="Times New Roman"/>
                <w:szCs w:val="20"/>
                <w:lang w:val="lt-LT"/>
              </w:rPr>
              <w:lastRenderedPageBreak/>
              <w:t>Dalinis</w:t>
            </w:r>
          </w:p>
          <w:p w:rsidR="00961BE1" w:rsidRPr="00DD10E8" w:rsidRDefault="00A2776E" w:rsidP="00DB439E">
            <w:pPr>
              <w:pStyle w:val="fait0"/>
              <w:spacing w:before="0" w:beforeAutospacing="0" w:after="0" w:afterAutospacing="0"/>
              <w:rPr>
                <w:rFonts w:ascii="Times New Roman" w:eastAsia="Times New Roman" w:hAnsi="Times New Roman" w:cs="Times New Roman"/>
                <w:lang w:val="lt-LT"/>
              </w:rPr>
            </w:pPr>
            <w:r>
              <w:rPr>
                <w:rFonts w:ascii="Times New Roman" w:eastAsia="Times New Roman" w:hAnsi="Times New Roman" w:cs="Times New Roman"/>
                <w:bCs/>
                <w:i/>
                <w:lang w:val="lt-LT"/>
              </w:rPr>
              <w:t>Direktyvos 6 </w:t>
            </w:r>
            <w:r w:rsidR="006C3162" w:rsidRPr="006C3162">
              <w:rPr>
                <w:rFonts w:ascii="Times New Roman" w:eastAsia="Times New Roman" w:hAnsi="Times New Roman" w:cs="Times New Roman"/>
                <w:bCs/>
                <w:i/>
                <w:lang w:val="lt-LT"/>
              </w:rPr>
              <w:t xml:space="preserve">straipsnio 3 dalies </w:t>
            </w:r>
            <w:r w:rsidR="006C3162">
              <w:rPr>
                <w:rFonts w:ascii="Times New Roman" w:eastAsia="Times New Roman" w:hAnsi="Times New Roman" w:cs="Times New Roman"/>
                <w:bCs/>
                <w:i/>
                <w:lang w:val="lt-LT"/>
              </w:rPr>
              <w:t>d</w:t>
            </w:r>
            <w:r>
              <w:rPr>
                <w:rFonts w:ascii="Times New Roman" w:eastAsia="Times New Roman" w:hAnsi="Times New Roman" w:cs="Times New Roman"/>
                <w:bCs/>
                <w:i/>
                <w:lang w:val="lt-LT"/>
              </w:rPr>
              <w:t> </w:t>
            </w:r>
            <w:r w:rsidR="006C3162" w:rsidRPr="006C3162">
              <w:rPr>
                <w:rFonts w:ascii="Times New Roman" w:eastAsia="Times New Roman" w:hAnsi="Times New Roman" w:cs="Times New Roman"/>
                <w:bCs/>
                <w:i/>
                <w:lang w:val="lt-LT"/>
              </w:rPr>
              <w:t xml:space="preserve">punkto nuostatos </w:t>
            </w:r>
            <w:r w:rsidR="006C3162" w:rsidRPr="006C3162">
              <w:rPr>
                <w:rFonts w:ascii="Times New Roman" w:eastAsia="Times New Roman" w:hAnsi="Times New Roman" w:cs="Times New Roman"/>
                <w:bCs/>
                <w:i/>
                <w:lang w:val="lt-LT"/>
              </w:rPr>
              <w:lastRenderedPageBreak/>
              <w:t>perkeltos Lietuvos Respublikos darbuotojų s</w:t>
            </w:r>
            <w:r>
              <w:rPr>
                <w:rFonts w:ascii="Times New Roman" w:eastAsia="Times New Roman" w:hAnsi="Times New Roman" w:cs="Times New Roman"/>
                <w:bCs/>
                <w:i/>
                <w:lang w:val="lt-LT"/>
              </w:rPr>
              <w:t>augos ir sveikatos įstatymo Nr. </w:t>
            </w:r>
            <w:r w:rsidR="006C3162" w:rsidRPr="006C3162">
              <w:rPr>
                <w:rFonts w:ascii="Times New Roman" w:eastAsia="Times New Roman" w:hAnsi="Times New Roman" w:cs="Times New Roman"/>
                <w:bCs/>
                <w:i/>
                <w:lang w:val="lt-LT"/>
              </w:rPr>
              <w:t xml:space="preserve">IX-1672 (nuo 2019-07-01) </w:t>
            </w:r>
            <w:r>
              <w:rPr>
                <w:rFonts w:ascii="Times New Roman" w:eastAsia="Times New Roman" w:hAnsi="Times New Roman" w:cs="Times New Roman"/>
                <w:bCs/>
                <w:i/>
                <w:lang w:val="lt-LT"/>
              </w:rPr>
              <w:t>18 straipsnio 3 dalyje ir 27 </w:t>
            </w:r>
            <w:r w:rsidR="00DB439E">
              <w:rPr>
                <w:rFonts w:ascii="Times New Roman" w:eastAsia="Times New Roman" w:hAnsi="Times New Roman" w:cs="Times New Roman"/>
                <w:bCs/>
                <w:i/>
                <w:lang w:val="lt-LT"/>
              </w:rPr>
              <w:t xml:space="preserve">straipsnio 4 </w:t>
            </w:r>
            <w:r w:rsidR="006C3162" w:rsidRPr="006C3162">
              <w:rPr>
                <w:rFonts w:ascii="Times New Roman" w:eastAsia="Times New Roman" w:hAnsi="Times New Roman" w:cs="Times New Roman"/>
                <w:bCs/>
                <w:i/>
                <w:lang w:val="lt-LT"/>
              </w:rPr>
              <w:t>dalyje.</w:t>
            </w:r>
          </w:p>
        </w:tc>
      </w:tr>
      <w:tr w:rsidR="009C234B" w:rsidRPr="00865782" w:rsidTr="00470201">
        <w:tc>
          <w:tcPr>
            <w:tcW w:w="3038" w:type="dxa"/>
          </w:tcPr>
          <w:p w:rsidR="009C234B" w:rsidRPr="00865782" w:rsidRDefault="009C234B" w:rsidP="008F7AC9">
            <w:pPr>
              <w:tabs>
                <w:tab w:val="left" w:pos="720"/>
                <w:tab w:val="right" w:pos="8953"/>
              </w:tabs>
              <w:jc w:val="left"/>
              <w:rPr>
                <w:b/>
                <w:bCs/>
              </w:rPr>
            </w:pPr>
            <w:r w:rsidRPr="00865782">
              <w:rPr>
                <w:b/>
              </w:rPr>
              <w:lastRenderedPageBreak/>
              <w:t xml:space="preserve">9 straipsnis. </w:t>
            </w:r>
            <w:r w:rsidRPr="00865782">
              <w:rPr>
                <w:b/>
                <w:bCs/>
              </w:rPr>
              <w:t>Įvairūs darbdavių įsipareigojimai</w:t>
            </w:r>
          </w:p>
          <w:p w:rsidR="009C234B" w:rsidRPr="00865782" w:rsidRDefault="009C234B" w:rsidP="008F7AC9">
            <w:pPr>
              <w:tabs>
                <w:tab w:val="left" w:pos="720"/>
                <w:tab w:val="right" w:pos="8953"/>
              </w:tabs>
            </w:pPr>
            <w:r w:rsidRPr="00865782">
              <w:t>1. Darbdavys:</w:t>
            </w:r>
          </w:p>
          <w:p w:rsidR="009C234B" w:rsidRPr="00865782" w:rsidRDefault="009C234B" w:rsidP="008F7AC9">
            <w:pPr>
              <w:tabs>
                <w:tab w:val="left" w:pos="720"/>
                <w:tab w:val="right" w:pos="8953"/>
              </w:tabs>
              <w:jc w:val="left"/>
              <w:rPr>
                <w:b/>
              </w:rPr>
            </w:pPr>
            <w:r w:rsidRPr="00865782">
              <w:t>a) pasirūpina rizikos darbuotojų saugai ir sveikatai rūšių, įskaitant tas, su kuriomis susiduria darbuotojų grupės, kurioms daro poveikį konkrečios rizikos rūšys, įvertinimu;</w:t>
            </w:r>
          </w:p>
        </w:tc>
        <w:tc>
          <w:tcPr>
            <w:tcW w:w="5008" w:type="dxa"/>
          </w:tcPr>
          <w:p w:rsidR="006069B6" w:rsidRPr="006069B6" w:rsidRDefault="006069B6" w:rsidP="006069B6">
            <w:pPr>
              <w:jc w:val="left"/>
              <w:rPr>
                <w:b/>
                <w:bCs/>
              </w:rPr>
            </w:pPr>
            <w:r w:rsidRPr="006069B6">
              <w:rPr>
                <w:b/>
                <w:bCs/>
              </w:rPr>
              <w:t>5 straipsnis. 25 straipsnio pakeitimas</w:t>
            </w:r>
          </w:p>
          <w:p w:rsidR="006069B6" w:rsidRPr="006069B6" w:rsidRDefault="006069B6" w:rsidP="006069B6">
            <w:pPr>
              <w:jc w:val="left"/>
              <w:rPr>
                <w:b/>
                <w:bCs/>
              </w:rPr>
            </w:pPr>
            <w:r>
              <w:rPr>
                <w:b/>
                <w:bCs/>
              </w:rPr>
              <w:t xml:space="preserve">1. </w:t>
            </w:r>
            <w:r w:rsidRPr="006069B6">
              <w:rPr>
                <w:b/>
                <w:bCs/>
              </w:rPr>
              <w:t>Pakeisti 25 straipsnio 1 dalies 2 punktą ir jį išdėstyti taip:</w:t>
            </w:r>
          </w:p>
          <w:p w:rsidR="009C234B" w:rsidRPr="00865782" w:rsidRDefault="006069B6" w:rsidP="006069B6">
            <w:pPr>
              <w:jc w:val="left"/>
              <w:rPr>
                <w:b/>
                <w:bCs/>
                <w:lang w:val="en-US"/>
              </w:rPr>
            </w:pPr>
            <w:r w:rsidRPr="006069B6">
              <w:rPr>
                <w:b/>
                <w:bCs/>
              </w:rPr>
              <w:t>„2) organizuoja arba paveda darbdavio įgaliotam asmeniui organizuoti profesinės rizikos vertinimą ir nustato</w:t>
            </w:r>
            <w:bookmarkStart w:id="2" w:name="_GoBack"/>
            <w:bookmarkEnd w:id="2"/>
            <w:r w:rsidRPr="006069B6">
              <w:rPr>
                <w:b/>
                <w:bCs/>
              </w:rPr>
              <w:t xml:space="preserve"> faktinę darbuotojų saugos ir sveikatos būklę įmonėje, padaliniuose ir atskirose darbo vietose. Nustačius, kad darbo priemonės ir (ar) darbo sąlygos įmonėje, padaliniuose ir (ar) darbo vietose neatitinka darbuotojų saugos ir sveikatos norminių teisės aktų reikalavimų, kad darbo aplinkoje yra kenksmingų ir (ar) pavojingų veiksnių, darbdaviui atstovaujantis asmuo organizuoja reikiamų prevencijos priemonių parengimą ir įgyvendinimą;“.</w:t>
            </w:r>
          </w:p>
          <w:p w:rsidR="009C234B" w:rsidRPr="00865782" w:rsidRDefault="009C234B" w:rsidP="008F7AC9">
            <w:pPr>
              <w:pStyle w:val="Pagrindinistekstas3"/>
              <w:rPr>
                <w:szCs w:val="24"/>
                <w:lang w:val="en-US"/>
              </w:rPr>
            </w:pPr>
            <w:r w:rsidRPr="00865782">
              <w:rPr>
                <w:b/>
                <w:szCs w:val="24"/>
              </w:rPr>
              <w:t>&lt;...&gt;</w:t>
            </w:r>
          </w:p>
        </w:tc>
        <w:tc>
          <w:tcPr>
            <w:tcW w:w="1524" w:type="dxa"/>
          </w:tcPr>
          <w:p w:rsidR="009C234B" w:rsidRPr="00865782" w:rsidRDefault="00F548CF" w:rsidP="008F7AC9">
            <w:pPr>
              <w:pStyle w:val="fait0"/>
              <w:spacing w:before="0" w:beforeAutospacing="0" w:after="0" w:afterAutospacing="0"/>
              <w:rPr>
                <w:rFonts w:ascii="Times New Roman" w:eastAsia="Times New Roman" w:hAnsi="Times New Roman" w:cs="Times New Roman"/>
                <w:lang w:val="lt-LT"/>
              </w:rPr>
            </w:pPr>
            <w:r w:rsidRPr="00865782">
              <w:rPr>
                <w:rFonts w:ascii="Times New Roman" w:eastAsia="Times New Roman" w:hAnsi="Times New Roman" w:cs="Times New Roman"/>
                <w:lang w:val="lt-LT"/>
              </w:rPr>
              <w:t>Visiškas</w:t>
            </w:r>
          </w:p>
        </w:tc>
      </w:tr>
      <w:tr w:rsidR="006B2A46" w:rsidRPr="00865782" w:rsidTr="00470201">
        <w:tc>
          <w:tcPr>
            <w:tcW w:w="3038" w:type="dxa"/>
          </w:tcPr>
          <w:p w:rsidR="006B2A46" w:rsidRPr="00865782" w:rsidRDefault="006B2A46" w:rsidP="008F7AC9">
            <w:pPr>
              <w:tabs>
                <w:tab w:val="left" w:pos="720"/>
                <w:tab w:val="right" w:pos="8953"/>
              </w:tabs>
              <w:jc w:val="left"/>
              <w:rPr>
                <w:b/>
                <w:bCs/>
              </w:rPr>
            </w:pPr>
            <w:r w:rsidRPr="00865782">
              <w:rPr>
                <w:b/>
              </w:rPr>
              <w:t xml:space="preserve">12 straipsnis. </w:t>
            </w:r>
            <w:r w:rsidRPr="00865782">
              <w:rPr>
                <w:b/>
                <w:bCs/>
              </w:rPr>
              <w:t>Darbuotojų mokymas</w:t>
            </w:r>
          </w:p>
          <w:p w:rsidR="006B2A46" w:rsidRPr="00865782" w:rsidRDefault="006B2A46" w:rsidP="008F7AC9">
            <w:pPr>
              <w:jc w:val="left"/>
              <w:rPr>
                <w:rFonts w:eastAsia="Arial Unicode MS"/>
              </w:rPr>
            </w:pPr>
            <w:r w:rsidRPr="00865782">
              <w:t>1. Darbdavys užtikrina, kad kiekvienas darbuotojas gautų pakankamai žinių apie saugą ir sveikatą, pirmiausia gaudamas informaciją bei nurodymus apie savo darbo vietą ar atliekamą darbą:</w:t>
            </w:r>
          </w:p>
          <w:p w:rsidR="006B2A46" w:rsidRPr="00865782" w:rsidRDefault="006B2A46" w:rsidP="008F7AC9">
            <w:pPr>
              <w:jc w:val="left"/>
            </w:pPr>
            <w:r w:rsidRPr="00865782">
              <w:t>– priimant į darbą,</w:t>
            </w:r>
          </w:p>
          <w:p w:rsidR="006B2A46" w:rsidRPr="00865782" w:rsidRDefault="006B2A46" w:rsidP="008F7AC9">
            <w:pPr>
              <w:pStyle w:val="fait0"/>
              <w:spacing w:before="0" w:beforeAutospacing="0" w:after="0" w:afterAutospacing="0"/>
              <w:rPr>
                <w:rFonts w:ascii="Times New Roman" w:hAnsi="Times New Roman" w:cs="Times New Roman"/>
                <w:lang w:val="lt-LT"/>
              </w:rPr>
            </w:pPr>
            <w:r w:rsidRPr="00865782">
              <w:rPr>
                <w:rFonts w:ascii="Times New Roman" w:hAnsi="Times New Roman" w:cs="Times New Roman"/>
                <w:lang w:val="lt-LT"/>
              </w:rPr>
              <w:t>– perkeliant į kitą darbą arba keičiant darbo vietą,</w:t>
            </w:r>
          </w:p>
          <w:p w:rsidR="006B2A46" w:rsidRPr="00865782" w:rsidRDefault="006B2A46" w:rsidP="008F7AC9">
            <w:pPr>
              <w:jc w:val="left"/>
            </w:pPr>
            <w:r w:rsidRPr="00865782">
              <w:t>– įdiegus naujas darbo priemones arba jas pakeitus,</w:t>
            </w:r>
          </w:p>
          <w:p w:rsidR="006B2A46" w:rsidRPr="00865782" w:rsidRDefault="006B2A46" w:rsidP="008F7AC9">
            <w:pPr>
              <w:jc w:val="left"/>
            </w:pPr>
            <w:r w:rsidRPr="00865782">
              <w:t>– įdiegus naujas technologijas.</w:t>
            </w:r>
          </w:p>
          <w:p w:rsidR="006B2A46" w:rsidRPr="00865782" w:rsidRDefault="006B2A46" w:rsidP="008F7AC9">
            <w:pPr>
              <w:jc w:val="left"/>
            </w:pPr>
            <w:r w:rsidRPr="00865782">
              <w:t xml:space="preserve">  Mokymas turi būti:</w:t>
            </w:r>
          </w:p>
          <w:p w:rsidR="006B2A46" w:rsidRPr="00865782" w:rsidRDefault="006B2A46" w:rsidP="008F7AC9">
            <w:pPr>
              <w:jc w:val="left"/>
            </w:pPr>
            <w:r w:rsidRPr="00865782">
              <w:t>– pritaikytas prie naujų ar pasikeitusių rizikos rūšių ir</w:t>
            </w:r>
          </w:p>
          <w:p w:rsidR="006B2A46" w:rsidRPr="00865782" w:rsidRDefault="006B2A46" w:rsidP="008F7AC9">
            <w:pPr>
              <w:jc w:val="left"/>
            </w:pPr>
            <w:r w:rsidRPr="00865782">
              <w:t>– prireikus periodiškai kartojamas.</w:t>
            </w:r>
          </w:p>
        </w:tc>
        <w:tc>
          <w:tcPr>
            <w:tcW w:w="5008" w:type="dxa"/>
          </w:tcPr>
          <w:p w:rsidR="00F15772" w:rsidRPr="00865782" w:rsidRDefault="008F7201" w:rsidP="008F7AC9">
            <w:pPr>
              <w:jc w:val="left"/>
              <w:rPr>
                <w:b/>
              </w:rPr>
            </w:pPr>
            <w:r>
              <w:rPr>
                <w:b/>
              </w:rPr>
              <w:t>5</w:t>
            </w:r>
            <w:r w:rsidR="00F15772" w:rsidRPr="00865782">
              <w:rPr>
                <w:b/>
              </w:rPr>
              <w:t xml:space="preserve"> straipsnis. 25 straipsnio pakeitimas</w:t>
            </w:r>
          </w:p>
          <w:p w:rsidR="00F15772" w:rsidRPr="00865782" w:rsidRDefault="00F15772" w:rsidP="008F7AC9">
            <w:pPr>
              <w:jc w:val="left"/>
              <w:rPr>
                <w:b/>
                <w:lang w:val="en-US"/>
              </w:rPr>
            </w:pPr>
            <w:r w:rsidRPr="00865782">
              <w:rPr>
                <w:b/>
              </w:rPr>
              <w:t>&lt;...&gt;</w:t>
            </w:r>
          </w:p>
          <w:p w:rsidR="00F15772" w:rsidRPr="00865782" w:rsidRDefault="00F15772" w:rsidP="008F7AC9">
            <w:pPr>
              <w:jc w:val="left"/>
              <w:rPr>
                <w:b/>
              </w:rPr>
            </w:pPr>
            <w:bookmarkStart w:id="3" w:name="part_2d9283bb43b5497dbc60a187351cf120"/>
            <w:bookmarkEnd w:id="3"/>
            <w:r w:rsidRPr="00865782">
              <w:rPr>
                <w:b/>
              </w:rPr>
              <w:t>2. Pakeisti 25 straipsnio 1 dalies 6 punktą ir jį išdėstyti taip:</w:t>
            </w:r>
          </w:p>
          <w:p w:rsidR="006B2A46" w:rsidRPr="00865782" w:rsidRDefault="008F7201" w:rsidP="008F7AC9">
            <w:pPr>
              <w:jc w:val="left"/>
              <w:rPr>
                <w:b/>
              </w:rPr>
            </w:pPr>
            <w:r w:rsidRPr="008F7201">
              <w:rPr>
                <w:b/>
              </w:rPr>
              <w:t>„6) organizuoja arba paveda darbdavio įgaliotam asmeniui organizuoti darbuotojų instruktavimą ir mokymą. Nustato darbuotojų instruktavimo, mokymo ir žinių darbuotojų saugos ir sveikatos klausimais tikrinimo tvarką;“.</w:t>
            </w:r>
          </w:p>
          <w:p w:rsidR="00F15772" w:rsidRPr="00865782" w:rsidRDefault="00F15772" w:rsidP="008F7AC9">
            <w:pPr>
              <w:jc w:val="left"/>
              <w:rPr>
                <w:b/>
              </w:rPr>
            </w:pPr>
            <w:r w:rsidRPr="00865782">
              <w:rPr>
                <w:b/>
              </w:rPr>
              <w:t>&lt;...&gt;</w:t>
            </w:r>
          </w:p>
          <w:p w:rsidR="00F15772" w:rsidRPr="00865782" w:rsidRDefault="00F15772" w:rsidP="008F7AC9">
            <w:pPr>
              <w:jc w:val="left"/>
            </w:pPr>
          </w:p>
          <w:p w:rsidR="008F7201" w:rsidRPr="008F7201" w:rsidRDefault="008F7201" w:rsidP="008F7201">
            <w:pPr>
              <w:jc w:val="left"/>
              <w:rPr>
                <w:b/>
              </w:rPr>
            </w:pPr>
            <w:r w:rsidRPr="008F7201">
              <w:rPr>
                <w:b/>
              </w:rPr>
              <w:t>6 straipsnis. 27 straipsnio pakeitimas</w:t>
            </w:r>
          </w:p>
          <w:p w:rsidR="008F7201" w:rsidRPr="008F7201" w:rsidRDefault="008F7201" w:rsidP="008F7201">
            <w:pPr>
              <w:jc w:val="left"/>
              <w:rPr>
                <w:b/>
              </w:rPr>
            </w:pPr>
            <w:r w:rsidRPr="008F7201">
              <w:rPr>
                <w:b/>
              </w:rPr>
              <w:t>1. Pakeisti 27 straipsnio 1 dalį ir ją išdėstyti taip:</w:t>
            </w:r>
          </w:p>
          <w:p w:rsidR="001E0722" w:rsidRPr="00865782" w:rsidRDefault="002E337F" w:rsidP="008F7201">
            <w:pPr>
              <w:jc w:val="left"/>
              <w:rPr>
                <w:b/>
                <w:lang w:val="en-US"/>
              </w:rPr>
            </w:pPr>
            <w:r w:rsidRPr="002E337F">
              <w:rPr>
                <w:b/>
              </w:rPr>
              <w:t xml:space="preserve">„1. Darbdavys negali reikalauti, kad darbuotojas pradėtų dirbti jam pavestą darbą įmonėje, jeigu jis neinstruktuotas ir (ar) neišmokytas saugiai jį atlikti. Darbuotojas instruktuojamas atsižvelgiant į jo darbo vietą ar atliekamą darbą, jį priimant į darbą, </w:t>
            </w:r>
            <w:r w:rsidRPr="002E337F">
              <w:rPr>
                <w:b/>
              </w:rPr>
              <w:lastRenderedPageBreak/>
              <w:t>perkeliant į kitą darbą ar darbo vietą, pradėjus naudoti naujas ar modernizuotas darbo priemones, naujas technologijas. Kai darbuotojui nepakanka profesinių įgūdžių ir instruktuojant suteiktų žinių, kad jis galėtų saugiai dirbti ir nebūtų pakenkta jo sveikatai, darbdaviui atstovaujantis asmuo arba darbdavio įgaliotas asmuo, atsižvelgdamas į darbuotoją veikiančius kenksmingus ir (ar) pavojingus veiksnius, organizuoja darbuotojo mokymą darbo vietoje, įmonėje ar mokyklose, mokymo įstaigose, kurios vykdo mokymą vadovaudamosi Mokymo ir žinių darbuotojų saugos ir sveikatos klausimais tikrinimo bendraisiais nuostatais. Instruktavimas ir mokymas vykdomas darbuotojo darbo laiku, atnaujinamas pasikeitus ar atsiradus naujai profesinei rizikai ir prireikus kartojamas.“</w:t>
            </w:r>
          </w:p>
          <w:p w:rsidR="006B2A46" w:rsidRPr="00865782" w:rsidRDefault="001E0722" w:rsidP="008F7AC9">
            <w:pPr>
              <w:jc w:val="left"/>
            </w:pPr>
            <w:r w:rsidRPr="00865782">
              <w:rPr>
                <w:b/>
              </w:rPr>
              <w:t>&lt;...&gt;</w:t>
            </w:r>
          </w:p>
        </w:tc>
        <w:tc>
          <w:tcPr>
            <w:tcW w:w="1524" w:type="dxa"/>
          </w:tcPr>
          <w:p w:rsidR="006B2A46" w:rsidRPr="00865782" w:rsidRDefault="005413BB" w:rsidP="008F7AC9">
            <w:pPr>
              <w:pStyle w:val="fait0"/>
              <w:spacing w:before="0" w:beforeAutospacing="0" w:after="0" w:afterAutospacing="0"/>
              <w:rPr>
                <w:rFonts w:ascii="Times New Roman" w:eastAsia="Times New Roman" w:hAnsi="Times New Roman" w:cs="Times New Roman"/>
                <w:bCs/>
                <w:lang w:val="lt-LT"/>
              </w:rPr>
            </w:pPr>
            <w:r w:rsidRPr="00865782">
              <w:rPr>
                <w:rFonts w:ascii="Times New Roman" w:hAnsi="Times New Roman" w:cs="Times New Roman"/>
                <w:lang w:val="lt-LT"/>
              </w:rPr>
              <w:lastRenderedPageBreak/>
              <w:t>Visiškas</w:t>
            </w:r>
          </w:p>
        </w:tc>
      </w:tr>
      <w:tr w:rsidR="006B2A46" w:rsidRPr="00865782" w:rsidTr="00865782">
        <w:trPr>
          <w:cantSplit/>
        </w:trPr>
        <w:tc>
          <w:tcPr>
            <w:tcW w:w="3038" w:type="dxa"/>
          </w:tcPr>
          <w:p w:rsidR="006B2A46" w:rsidRPr="00865782" w:rsidRDefault="006B2A46" w:rsidP="008F7AC9">
            <w:pPr>
              <w:tabs>
                <w:tab w:val="left" w:pos="720"/>
                <w:tab w:val="right" w:pos="8953"/>
              </w:tabs>
              <w:jc w:val="left"/>
              <w:rPr>
                <w:b/>
              </w:rPr>
            </w:pPr>
            <w:r w:rsidRPr="00865782">
              <w:rPr>
                <w:b/>
              </w:rPr>
              <w:lastRenderedPageBreak/>
              <w:t xml:space="preserve">12 straipsnis. </w:t>
            </w:r>
            <w:r w:rsidRPr="00865782">
              <w:rPr>
                <w:b/>
                <w:bCs/>
              </w:rPr>
              <w:t>Darbuotojų mokymas</w:t>
            </w:r>
          </w:p>
          <w:p w:rsidR="006B2A46" w:rsidRPr="00865782" w:rsidRDefault="006B2A46" w:rsidP="008F7AC9">
            <w:pPr>
              <w:tabs>
                <w:tab w:val="left" w:pos="720"/>
                <w:tab w:val="right" w:pos="8953"/>
              </w:tabs>
              <w:jc w:val="left"/>
            </w:pPr>
            <w:r w:rsidRPr="00865782">
              <w:rPr>
                <w:b/>
              </w:rPr>
              <w:t xml:space="preserve"> </w:t>
            </w:r>
            <w:r w:rsidRPr="00865782">
              <w:t>4. Mokymas, nurodytas 1 ir 3 dalyse, turi vykti ne darbuotojo ar jo atstovo sąskaita.</w:t>
            </w:r>
          </w:p>
          <w:p w:rsidR="006B2A46" w:rsidRPr="00865782" w:rsidRDefault="00A2776E" w:rsidP="008F7AC9">
            <w:pPr>
              <w:tabs>
                <w:tab w:val="left" w:pos="720"/>
                <w:tab w:val="right" w:pos="8953"/>
              </w:tabs>
              <w:jc w:val="left"/>
            </w:pPr>
            <w:r>
              <w:t xml:space="preserve"> Mokymas, nurodytas 1 </w:t>
            </w:r>
            <w:r w:rsidR="006B2A46" w:rsidRPr="00865782">
              <w:t xml:space="preserve">dalyje, turi vykti darbo valandomis. </w:t>
            </w:r>
          </w:p>
          <w:p w:rsidR="006B2A46" w:rsidRPr="00865782" w:rsidRDefault="00A2776E" w:rsidP="008F7AC9">
            <w:pPr>
              <w:tabs>
                <w:tab w:val="left" w:pos="720"/>
                <w:tab w:val="right" w:pos="8953"/>
              </w:tabs>
              <w:jc w:val="left"/>
              <w:rPr>
                <w:b/>
              </w:rPr>
            </w:pPr>
            <w:r>
              <w:t xml:space="preserve"> Mokymas, nurodytas 3 </w:t>
            </w:r>
            <w:r w:rsidR="006B2A46" w:rsidRPr="00865782">
              <w:t>dalyje, turi vykti darbo valandomis arba pagal nacionalinę praktiką pačioje įmonėje ir (arba) įstaigoje arba už jos ribų.</w:t>
            </w:r>
          </w:p>
        </w:tc>
        <w:tc>
          <w:tcPr>
            <w:tcW w:w="5008" w:type="dxa"/>
          </w:tcPr>
          <w:p w:rsidR="005E026E" w:rsidRPr="005E026E" w:rsidRDefault="005E026E" w:rsidP="005E026E">
            <w:pPr>
              <w:jc w:val="left"/>
              <w:rPr>
                <w:b/>
                <w:bCs/>
              </w:rPr>
            </w:pPr>
            <w:r w:rsidRPr="005E026E">
              <w:rPr>
                <w:b/>
                <w:bCs/>
              </w:rPr>
              <w:t>6 straipsnis. 27 straipsnio pakeitimas</w:t>
            </w:r>
          </w:p>
          <w:p w:rsidR="005E026E" w:rsidRPr="005E026E" w:rsidRDefault="005E026E" w:rsidP="005E026E">
            <w:pPr>
              <w:jc w:val="left"/>
              <w:rPr>
                <w:b/>
                <w:bCs/>
              </w:rPr>
            </w:pPr>
            <w:r w:rsidRPr="005E026E">
              <w:rPr>
                <w:b/>
                <w:bCs/>
              </w:rPr>
              <w:t>1. Pakeisti 27 straipsnio 1 dalį ir ją išdėstyti taip:</w:t>
            </w:r>
          </w:p>
          <w:p w:rsidR="00166DC5" w:rsidRPr="00865782" w:rsidRDefault="002E337F" w:rsidP="005E026E">
            <w:pPr>
              <w:jc w:val="left"/>
              <w:rPr>
                <w:b/>
                <w:bCs/>
                <w:lang w:val="en-US"/>
              </w:rPr>
            </w:pPr>
            <w:r w:rsidRPr="002E337F">
              <w:rPr>
                <w:b/>
                <w:bCs/>
              </w:rPr>
              <w:t>„1. Darbdavys negali reikalauti, kad darbuotojas pradėtų dirbti jam pavestą darbą įmonėje, jeigu jis neinstruktuotas ir (ar) neišmokytas saugiai jį atlikti. Darbuotojas instruktuojamas atsižvelgiant į jo darbo vietą ar atliekamą darbą, jį priimant į darbą, perkeliant į kitą darbą ar darbo vietą, pradėjus naudoti naujas ar modernizuotas darbo priemones, naujas technologijas. Kai darbuotojui nepakanka profesinių įgūdžių ir instruktuojant suteiktų žinių, kad jis galėtų saugiai dirbti ir nebūtų pakenkta jo sveikatai, darbdaviui atstovaujantis asmuo arba darbdavio įgaliotas asmuo, atsižvelgdamas į darbuotoją veikiančius kenksmingus ir (ar) pavojingus veiksnius, organizuoja darbuotojo mokymą darbo vietoje, įmonėje ar mokyklose, mokymo įstaigose, kurios vykdo mokymą vadovaudamosi Mokymo ir žinių darbuotojų saugos ir sveikatos klausimais tikrinimo bendraisiais nuostatais. Instruktavimas ir mokymas vykdomas darbuotojo darbo laiku, atnaujinamas pasikeitus ar atsiradus naujai profesinei rizikai ir prireikus kartojamas.“</w:t>
            </w:r>
          </w:p>
          <w:p w:rsidR="006B2A46" w:rsidRPr="00865782" w:rsidRDefault="00166DC5" w:rsidP="008F7AC9">
            <w:pPr>
              <w:jc w:val="left"/>
              <w:rPr>
                <w:bCs/>
              </w:rPr>
            </w:pPr>
            <w:r w:rsidRPr="00865782">
              <w:rPr>
                <w:b/>
                <w:bCs/>
              </w:rPr>
              <w:t>&lt;...&gt;</w:t>
            </w:r>
          </w:p>
        </w:tc>
        <w:tc>
          <w:tcPr>
            <w:tcW w:w="1524" w:type="dxa"/>
          </w:tcPr>
          <w:p w:rsidR="006B2A46" w:rsidRPr="00865782" w:rsidRDefault="004F146F" w:rsidP="008F7AC9">
            <w:pPr>
              <w:pStyle w:val="fait0"/>
              <w:spacing w:before="0" w:beforeAutospacing="0" w:after="0" w:afterAutospacing="0"/>
              <w:rPr>
                <w:rFonts w:ascii="Times New Roman" w:hAnsi="Times New Roman" w:cs="Times New Roman"/>
                <w:lang w:val="lt-LT"/>
              </w:rPr>
            </w:pPr>
            <w:r w:rsidRPr="00865782">
              <w:rPr>
                <w:rFonts w:ascii="Times New Roman" w:hAnsi="Times New Roman" w:cs="Times New Roman"/>
                <w:lang w:val="lt-LT"/>
              </w:rPr>
              <w:t>Dalinis</w:t>
            </w:r>
          </w:p>
          <w:p w:rsidR="008C3AC0" w:rsidRPr="00865782" w:rsidRDefault="008C3AC0" w:rsidP="008F7AC9">
            <w:pPr>
              <w:pStyle w:val="fait0"/>
              <w:spacing w:before="0" w:beforeAutospacing="0" w:after="0" w:afterAutospacing="0"/>
              <w:rPr>
                <w:rFonts w:ascii="Times New Roman" w:hAnsi="Times New Roman" w:cs="Times New Roman"/>
                <w:lang w:val="lt-LT"/>
              </w:rPr>
            </w:pPr>
          </w:p>
          <w:p w:rsidR="008C3AC0" w:rsidRPr="00865782" w:rsidRDefault="008C3AC0" w:rsidP="00BB3121">
            <w:pPr>
              <w:pStyle w:val="fait0"/>
              <w:spacing w:before="0" w:beforeAutospacing="0" w:after="0" w:afterAutospacing="0"/>
              <w:rPr>
                <w:rFonts w:ascii="Times New Roman" w:eastAsia="Times New Roman" w:hAnsi="Times New Roman" w:cs="Times New Roman"/>
                <w:bCs/>
                <w:lang w:val="lt-LT"/>
              </w:rPr>
            </w:pPr>
            <w:r w:rsidRPr="00865782">
              <w:rPr>
                <w:rFonts w:ascii="Times New Roman" w:eastAsia="Times New Roman" w:hAnsi="Times New Roman" w:cs="Times New Roman"/>
                <w:bCs/>
                <w:i/>
                <w:lang w:val="lt-LT"/>
              </w:rPr>
              <w:t>Direktyvos 12 straipsnio 4 dalies nuostatos perkeltos Lietuvos Respublikos darbuotojų s</w:t>
            </w:r>
            <w:r w:rsidR="00A2776E">
              <w:rPr>
                <w:rFonts w:ascii="Times New Roman" w:eastAsia="Times New Roman" w:hAnsi="Times New Roman" w:cs="Times New Roman"/>
                <w:bCs/>
                <w:i/>
                <w:lang w:val="lt-LT"/>
              </w:rPr>
              <w:t>augos ir sveikatos įstatymo Nr. </w:t>
            </w:r>
            <w:r w:rsidRPr="00865782">
              <w:rPr>
                <w:rFonts w:ascii="Times New Roman" w:eastAsia="Times New Roman" w:hAnsi="Times New Roman" w:cs="Times New Roman"/>
                <w:bCs/>
                <w:i/>
                <w:lang w:val="lt-LT"/>
              </w:rPr>
              <w:t xml:space="preserve">IX-1672 (nuo 2019-07-01) </w:t>
            </w:r>
            <w:r w:rsidR="00A2776E">
              <w:rPr>
                <w:rFonts w:ascii="Times New Roman" w:eastAsia="Times New Roman" w:hAnsi="Times New Roman" w:cs="Times New Roman"/>
                <w:bCs/>
                <w:i/>
                <w:lang w:val="lt-LT"/>
              </w:rPr>
              <w:t>13 </w:t>
            </w:r>
            <w:r w:rsidR="00BB3121" w:rsidRPr="00865782">
              <w:rPr>
                <w:rFonts w:ascii="Times New Roman" w:eastAsia="Times New Roman" w:hAnsi="Times New Roman" w:cs="Times New Roman"/>
                <w:bCs/>
                <w:i/>
                <w:lang w:val="lt-LT"/>
              </w:rPr>
              <w:t>straipsnio</w:t>
            </w:r>
            <w:r w:rsidRPr="00865782">
              <w:rPr>
                <w:rFonts w:ascii="Times New Roman" w:eastAsia="Times New Roman" w:hAnsi="Times New Roman" w:cs="Times New Roman"/>
                <w:bCs/>
                <w:i/>
                <w:lang w:val="lt-LT"/>
              </w:rPr>
              <w:t xml:space="preserve"> 1</w:t>
            </w:r>
            <w:r w:rsidR="00BB3121" w:rsidRPr="00865782">
              <w:rPr>
                <w:rFonts w:ascii="Times New Roman" w:eastAsia="Times New Roman" w:hAnsi="Times New Roman" w:cs="Times New Roman"/>
                <w:bCs/>
                <w:i/>
                <w:lang w:val="lt-LT"/>
              </w:rPr>
              <w:t>0</w:t>
            </w:r>
            <w:r w:rsidRPr="00865782">
              <w:rPr>
                <w:rFonts w:ascii="Times New Roman" w:eastAsia="Times New Roman" w:hAnsi="Times New Roman" w:cs="Times New Roman"/>
                <w:bCs/>
                <w:i/>
                <w:lang w:val="lt-LT"/>
              </w:rPr>
              <w:t xml:space="preserve"> dalyje.</w:t>
            </w:r>
          </w:p>
        </w:tc>
      </w:tr>
    </w:tbl>
    <w:p w:rsidR="00CC4B97" w:rsidRPr="00865782" w:rsidRDefault="00CC4B97" w:rsidP="008F7AC9">
      <w:pPr>
        <w:jc w:val="center"/>
      </w:pPr>
    </w:p>
    <w:p w:rsidR="00613E73" w:rsidRPr="00865782" w:rsidRDefault="00CA3ABD" w:rsidP="008F7AC9">
      <w:pPr>
        <w:jc w:val="center"/>
        <w:rPr>
          <w:u w:val="single"/>
        </w:rPr>
      </w:pPr>
      <w:r w:rsidRPr="00865782">
        <w:rPr>
          <w:u w:val="single"/>
        </w:rPr>
        <w:tab/>
      </w:r>
      <w:r w:rsidRPr="00865782">
        <w:rPr>
          <w:u w:val="single"/>
        </w:rPr>
        <w:tab/>
      </w:r>
      <w:r w:rsidRPr="00865782">
        <w:rPr>
          <w:u w:val="single"/>
        </w:rPr>
        <w:tab/>
      </w:r>
      <w:r w:rsidRPr="00865782">
        <w:rPr>
          <w:u w:val="single"/>
        </w:rPr>
        <w:tab/>
      </w:r>
    </w:p>
    <w:sectPr w:rsidR="00613E73" w:rsidRPr="00865782">
      <w:headerReference w:type="even" r:id="rId9"/>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4B2" w:rsidRDefault="006734B2">
      <w:r>
        <w:separator/>
      </w:r>
    </w:p>
  </w:endnote>
  <w:endnote w:type="continuationSeparator" w:id="0">
    <w:p w:rsidR="006734B2" w:rsidRDefault="0067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4B2" w:rsidRDefault="006734B2">
      <w:r>
        <w:separator/>
      </w:r>
    </w:p>
  </w:footnote>
  <w:footnote w:type="continuationSeparator" w:id="0">
    <w:p w:rsidR="006734B2" w:rsidRDefault="00673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A1" w:rsidRDefault="00292EA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92EA1" w:rsidRDefault="00292E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A1" w:rsidRDefault="00292EA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369E">
      <w:rPr>
        <w:rStyle w:val="Puslapionumeris"/>
        <w:noProof/>
      </w:rPr>
      <w:t>3</w:t>
    </w:r>
    <w:r>
      <w:rPr>
        <w:rStyle w:val="Puslapionumeris"/>
      </w:rPr>
      <w:fldChar w:fldCharType="end"/>
    </w:r>
  </w:p>
  <w:p w:rsidR="00292EA1" w:rsidRDefault="00292E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02A0FC"/>
    <w:lvl w:ilvl="0">
      <w:numFmt w:val="decimal"/>
      <w:lvlText w:val="*"/>
      <w:lvlJc w:val="left"/>
    </w:lvl>
  </w:abstractNum>
  <w:abstractNum w:abstractNumId="1">
    <w:nsid w:val="029C55FA"/>
    <w:multiLevelType w:val="singleLevel"/>
    <w:tmpl w:val="5F3E3A32"/>
    <w:lvl w:ilvl="0">
      <w:start w:val="2"/>
      <w:numFmt w:val="lowerLetter"/>
      <w:lvlText w:val="%1)"/>
      <w:legacy w:legacy="1" w:legacySpace="0" w:legacyIndent="420"/>
      <w:lvlJc w:val="left"/>
      <w:pPr>
        <w:ind w:left="480" w:hanging="420"/>
      </w:pPr>
    </w:lvl>
  </w:abstractNum>
  <w:abstractNum w:abstractNumId="2">
    <w:nsid w:val="11830AB5"/>
    <w:multiLevelType w:val="singleLevel"/>
    <w:tmpl w:val="D1043FEC"/>
    <w:lvl w:ilvl="0">
      <w:start w:val="1"/>
      <w:numFmt w:val="decimal"/>
      <w:lvlText w:val="%1."/>
      <w:legacy w:legacy="1" w:legacySpace="0" w:legacyIndent="360"/>
      <w:lvlJc w:val="left"/>
      <w:pPr>
        <w:ind w:left="360" w:hanging="360"/>
      </w:pPr>
    </w:lvl>
  </w:abstractNum>
  <w:abstractNum w:abstractNumId="3">
    <w:nsid w:val="14CD43A0"/>
    <w:multiLevelType w:val="hybridMultilevel"/>
    <w:tmpl w:val="03647274"/>
    <w:lvl w:ilvl="0" w:tplc="6A1AE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01C0F5D"/>
    <w:multiLevelType w:val="singleLevel"/>
    <w:tmpl w:val="348A15AE"/>
    <w:lvl w:ilvl="0">
      <w:start w:val="1"/>
      <w:numFmt w:val="decimal"/>
      <w:lvlText w:val="%1."/>
      <w:legacy w:legacy="1" w:legacySpace="0" w:legacyIndent="360"/>
      <w:lvlJc w:val="left"/>
      <w:pPr>
        <w:ind w:left="360" w:hanging="360"/>
      </w:pPr>
    </w:lvl>
  </w:abstractNum>
  <w:abstractNum w:abstractNumId="5">
    <w:nsid w:val="209C4407"/>
    <w:multiLevelType w:val="hybridMultilevel"/>
    <w:tmpl w:val="77A20AD2"/>
    <w:lvl w:ilvl="0" w:tplc="02D613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086305"/>
    <w:multiLevelType w:val="singleLevel"/>
    <w:tmpl w:val="D1043FEC"/>
    <w:lvl w:ilvl="0">
      <w:start w:val="1"/>
      <w:numFmt w:val="decimal"/>
      <w:lvlText w:val="%1."/>
      <w:legacy w:legacy="1" w:legacySpace="0" w:legacyIndent="360"/>
      <w:lvlJc w:val="left"/>
      <w:pPr>
        <w:ind w:left="360" w:hanging="360"/>
      </w:pPr>
    </w:lvl>
  </w:abstractNum>
  <w:num w:numId="1">
    <w:abstractNumId w:val="4"/>
  </w:num>
  <w:num w:numId="2">
    <w:abstractNumId w:val="1"/>
  </w:num>
  <w:num w:numId="3">
    <w:abstractNumId w:val="0"/>
    <w:lvlOverride w:ilvl="0">
      <w:lvl w:ilvl="0">
        <w:start w:val="4"/>
        <w:numFmt w:val="bullet"/>
        <w:lvlText w:val="-"/>
        <w:legacy w:legacy="1" w:legacySpace="0" w:legacyIndent="360"/>
        <w:lvlJc w:val="left"/>
        <w:pPr>
          <w:ind w:left="360" w:hanging="360"/>
        </w:pPr>
      </w:lvl>
    </w:lvlOverride>
  </w:num>
  <w:num w:numId="4">
    <w:abstractNumId w:val="2"/>
  </w:num>
  <w:num w:numId="5">
    <w:abstractNumId w:val="0"/>
    <w:lvlOverride w:ilvl="0">
      <w:lvl w:ilvl="0">
        <w:start w:val="1"/>
        <w:numFmt w:val="bullet"/>
        <w:lvlText w:val="-"/>
        <w:legacy w:legacy="1" w:legacySpace="0" w:legacyIndent="360"/>
        <w:lvlJc w:val="left"/>
        <w:pPr>
          <w:ind w:left="720" w:hanging="360"/>
        </w:pPr>
      </w:lvl>
    </w:lvlOverride>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AB2"/>
    <w:rsid w:val="00016534"/>
    <w:rsid w:val="00016C66"/>
    <w:rsid w:val="0002268B"/>
    <w:rsid w:val="000254F8"/>
    <w:rsid w:val="00030C44"/>
    <w:rsid w:val="000328AB"/>
    <w:rsid w:val="00034EA8"/>
    <w:rsid w:val="00034F38"/>
    <w:rsid w:val="00036784"/>
    <w:rsid w:val="000371DA"/>
    <w:rsid w:val="00043EDF"/>
    <w:rsid w:val="0004471D"/>
    <w:rsid w:val="000510B3"/>
    <w:rsid w:val="000519BE"/>
    <w:rsid w:val="00051DD9"/>
    <w:rsid w:val="000530F6"/>
    <w:rsid w:val="0006193A"/>
    <w:rsid w:val="00063214"/>
    <w:rsid w:val="00065137"/>
    <w:rsid w:val="00067F54"/>
    <w:rsid w:val="00072339"/>
    <w:rsid w:val="00082EF4"/>
    <w:rsid w:val="00085BC3"/>
    <w:rsid w:val="00085EA9"/>
    <w:rsid w:val="00090753"/>
    <w:rsid w:val="000A1AC5"/>
    <w:rsid w:val="000A612E"/>
    <w:rsid w:val="000B1098"/>
    <w:rsid w:val="000B2AFF"/>
    <w:rsid w:val="000B6823"/>
    <w:rsid w:val="000C0A7C"/>
    <w:rsid w:val="000D0765"/>
    <w:rsid w:val="000D6F56"/>
    <w:rsid w:val="000E2BA1"/>
    <w:rsid w:val="000F5180"/>
    <w:rsid w:val="001013AB"/>
    <w:rsid w:val="00103310"/>
    <w:rsid w:val="001043A6"/>
    <w:rsid w:val="00114D65"/>
    <w:rsid w:val="0011550C"/>
    <w:rsid w:val="00122C99"/>
    <w:rsid w:val="00125F85"/>
    <w:rsid w:val="0012633B"/>
    <w:rsid w:val="00135B62"/>
    <w:rsid w:val="00135EEC"/>
    <w:rsid w:val="00136003"/>
    <w:rsid w:val="001447F4"/>
    <w:rsid w:val="00150679"/>
    <w:rsid w:val="0015559C"/>
    <w:rsid w:val="00162C46"/>
    <w:rsid w:val="0016361F"/>
    <w:rsid w:val="00166DC5"/>
    <w:rsid w:val="00167CBA"/>
    <w:rsid w:val="00171469"/>
    <w:rsid w:val="001729B5"/>
    <w:rsid w:val="00174AC7"/>
    <w:rsid w:val="001763FC"/>
    <w:rsid w:val="00182224"/>
    <w:rsid w:val="00190DB1"/>
    <w:rsid w:val="001918FE"/>
    <w:rsid w:val="00195541"/>
    <w:rsid w:val="00197BB3"/>
    <w:rsid w:val="001A1812"/>
    <w:rsid w:val="001A2DB7"/>
    <w:rsid w:val="001A557F"/>
    <w:rsid w:val="001A7561"/>
    <w:rsid w:val="001B08E7"/>
    <w:rsid w:val="001B3320"/>
    <w:rsid w:val="001B4FA8"/>
    <w:rsid w:val="001C46A6"/>
    <w:rsid w:val="001C589A"/>
    <w:rsid w:val="001D0998"/>
    <w:rsid w:val="001D1709"/>
    <w:rsid w:val="001D2D3E"/>
    <w:rsid w:val="001D323F"/>
    <w:rsid w:val="001D615B"/>
    <w:rsid w:val="001D7D00"/>
    <w:rsid w:val="001E0722"/>
    <w:rsid w:val="001E0BDD"/>
    <w:rsid w:val="001E2365"/>
    <w:rsid w:val="001E3AAB"/>
    <w:rsid w:val="001E620F"/>
    <w:rsid w:val="001F05E6"/>
    <w:rsid w:val="001F1E77"/>
    <w:rsid w:val="00202008"/>
    <w:rsid w:val="0020722B"/>
    <w:rsid w:val="00214137"/>
    <w:rsid w:val="00216CB4"/>
    <w:rsid w:val="00221CCF"/>
    <w:rsid w:val="00233FDF"/>
    <w:rsid w:val="002422DE"/>
    <w:rsid w:val="00251838"/>
    <w:rsid w:val="0025345B"/>
    <w:rsid w:val="00254753"/>
    <w:rsid w:val="00254AE3"/>
    <w:rsid w:val="002556A3"/>
    <w:rsid w:val="00257DD0"/>
    <w:rsid w:val="0027661D"/>
    <w:rsid w:val="002770B6"/>
    <w:rsid w:val="00287D49"/>
    <w:rsid w:val="00290B75"/>
    <w:rsid w:val="00292EA1"/>
    <w:rsid w:val="00293D0E"/>
    <w:rsid w:val="002949AC"/>
    <w:rsid w:val="00296C4B"/>
    <w:rsid w:val="002B0820"/>
    <w:rsid w:val="002B61DD"/>
    <w:rsid w:val="002B6B79"/>
    <w:rsid w:val="002B72B1"/>
    <w:rsid w:val="002C085A"/>
    <w:rsid w:val="002C27EA"/>
    <w:rsid w:val="002C4A6C"/>
    <w:rsid w:val="002C5278"/>
    <w:rsid w:val="002C7648"/>
    <w:rsid w:val="002C7D1B"/>
    <w:rsid w:val="002D673C"/>
    <w:rsid w:val="002E337F"/>
    <w:rsid w:val="002F5DB3"/>
    <w:rsid w:val="002F72C3"/>
    <w:rsid w:val="00300B2C"/>
    <w:rsid w:val="003028F3"/>
    <w:rsid w:val="0030452E"/>
    <w:rsid w:val="00305E43"/>
    <w:rsid w:val="00316254"/>
    <w:rsid w:val="00322B13"/>
    <w:rsid w:val="00324B58"/>
    <w:rsid w:val="00337475"/>
    <w:rsid w:val="00341A4C"/>
    <w:rsid w:val="00351447"/>
    <w:rsid w:val="0035305D"/>
    <w:rsid w:val="0035389E"/>
    <w:rsid w:val="00354BDB"/>
    <w:rsid w:val="003717CF"/>
    <w:rsid w:val="00375CB2"/>
    <w:rsid w:val="0038349A"/>
    <w:rsid w:val="00397D2C"/>
    <w:rsid w:val="003A1369"/>
    <w:rsid w:val="003A3D16"/>
    <w:rsid w:val="003A5598"/>
    <w:rsid w:val="003A578A"/>
    <w:rsid w:val="003A6D1B"/>
    <w:rsid w:val="003A75C9"/>
    <w:rsid w:val="003C0844"/>
    <w:rsid w:val="003D080A"/>
    <w:rsid w:val="003D15CE"/>
    <w:rsid w:val="003D616B"/>
    <w:rsid w:val="003E08B0"/>
    <w:rsid w:val="003E6B31"/>
    <w:rsid w:val="003F19DB"/>
    <w:rsid w:val="003F1A95"/>
    <w:rsid w:val="003F295E"/>
    <w:rsid w:val="003F7D63"/>
    <w:rsid w:val="0040128A"/>
    <w:rsid w:val="00410C2C"/>
    <w:rsid w:val="00411650"/>
    <w:rsid w:val="004132A4"/>
    <w:rsid w:val="00414FEE"/>
    <w:rsid w:val="00420ADD"/>
    <w:rsid w:val="00421973"/>
    <w:rsid w:val="00426439"/>
    <w:rsid w:val="00426B2F"/>
    <w:rsid w:val="00427808"/>
    <w:rsid w:val="00427DFD"/>
    <w:rsid w:val="004337FD"/>
    <w:rsid w:val="0043728E"/>
    <w:rsid w:val="004447F3"/>
    <w:rsid w:val="00450E4C"/>
    <w:rsid w:val="00460BA7"/>
    <w:rsid w:val="004615FD"/>
    <w:rsid w:val="00461F62"/>
    <w:rsid w:val="00465978"/>
    <w:rsid w:val="00470201"/>
    <w:rsid w:val="00473F5E"/>
    <w:rsid w:val="004765C0"/>
    <w:rsid w:val="0047705B"/>
    <w:rsid w:val="00480550"/>
    <w:rsid w:val="00482939"/>
    <w:rsid w:val="00483543"/>
    <w:rsid w:val="00490B99"/>
    <w:rsid w:val="00490DD9"/>
    <w:rsid w:val="004922CA"/>
    <w:rsid w:val="00492EB5"/>
    <w:rsid w:val="00494B32"/>
    <w:rsid w:val="004972BC"/>
    <w:rsid w:val="004A207A"/>
    <w:rsid w:val="004B1EC0"/>
    <w:rsid w:val="004B4D07"/>
    <w:rsid w:val="004C0860"/>
    <w:rsid w:val="004C1A4E"/>
    <w:rsid w:val="004C2BB2"/>
    <w:rsid w:val="004C4D42"/>
    <w:rsid w:val="004C5B82"/>
    <w:rsid w:val="004D04C2"/>
    <w:rsid w:val="004D1CBD"/>
    <w:rsid w:val="004D2011"/>
    <w:rsid w:val="004D2157"/>
    <w:rsid w:val="004D2C66"/>
    <w:rsid w:val="004F146F"/>
    <w:rsid w:val="004F425C"/>
    <w:rsid w:val="004F5E51"/>
    <w:rsid w:val="004F6A9C"/>
    <w:rsid w:val="0050041D"/>
    <w:rsid w:val="00506E54"/>
    <w:rsid w:val="0051043F"/>
    <w:rsid w:val="0051771B"/>
    <w:rsid w:val="00517EAF"/>
    <w:rsid w:val="005212D6"/>
    <w:rsid w:val="0052406C"/>
    <w:rsid w:val="0052734A"/>
    <w:rsid w:val="00540E14"/>
    <w:rsid w:val="005413BB"/>
    <w:rsid w:val="00541F9D"/>
    <w:rsid w:val="00544831"/>
    <w:rsid w:val="0054484B"/>
    <w:rsid w:val="00550B10"/>
    <w:rsid w:val="00550EEA"/>
    <w:rsid w:val="00554FC7"/>
    <w:rsid w:val="00557F57"/>
    <w:rsid w:val="00575800"/>
    <w:rsid w:val="00584312"/>
    <w:rsid w:val="0058608D"/>
    <w:rsid w:val="00590501"/>
    <w:rsid w:val="0059680E"/>
    <w:rsid w:val="005A4259"/>
    <w:rsid w:val="005A4CCC"/>
    <w:rsid w:val="005B0DCD"/>
    <w:rsid w:val="005B2451"/>
    <w:rsid w:val="005B41B8"/>
    <w:rsid w:val="005B47E7"/>
    <w:rsid w:val="005C5550"/>
    <w:rsid w:val="005D016A"/>
    <w:rsid w:val="005D0DAE"/>
    <w:rsid w:val="005D2DD1"/>
    <w:rsid w:val="005D4BC6"/>
    <w:rsid w:val="005D509C"/>
    <w:rsid w:val="005D67D1"/>
    <w:rsid w:val="005E026E"/>
    <w:rsid w:val="005E24EE"/>
    <w:rsid w:val="005E3523"/>
    <w:rsid w:val="005F4F0B"/>
    <w:rsid w:val="00600E0B"/>
    <w:rsid w:val="00603B9B"/>
    <w:rsid w:val="00603EE1"/>
    <w:rsid w:val="006041DB"/>
    <w:rsid w:val="006069B6"/>
    <w:rsid w:val="00607466"/>
    <w:rsid w:val="00610CE1"/>
    <w:rsid w:val="006127D2"/>
    <w:rsid w:val="00613E73"/>
    <w:rsid w:val="00615526"/>
    <w:rsid w:val="006170CA"/>
    <w:rsid w:val="0062212F"/>
    <w:rsid w:val="006248A8"/>
    <w:rsid w:val="00625399"/>
    <w:rsid w:val="00625B56"/>
    <w:rsid w:val="0062669F"/>
    <w:rsid w:val="00631B9F"/>
    <w:rsid w:val="006368DA"/>
    <w:rsid w:val="00640723"/>
    <w:rsid w:val="0064215B"/>
    <w:rsid w:val="00645C33"/>
    <w:rsid w:val="0065173A"/>
    <w:rsid w:val="00656878"/>
    <w:rsid w:val="00656B64"/>
    <w:rsid w:val="00657899"/>
    <w:rsid w:val="00660264"/>
    <w:rsid w:val="00666F6C"/>
    <w:rsid w:val="00667862"/>
    <w:rsid w:val="0067317E"/>
    <w:rsid w:val="006734B2"/>
    <w:rsid w:val="0067470D"/>
    <w:rsid w:val="0067609B"/>
    <w:rsid w:val="006778C4"/>
    <w:rsid w:val="00690480"/>
    <w:rsid w:val="00697853"/>
    <w:rsid w:val="006A34D3"/>
    <w:rsid w:val="006A3C01"/>
    <w:rsid w:val="006B10B0"/>
    <w:rsid w:val="006B1BEB"/>
    <w:rsid w:val="006B1CD3"/>
    <w:rsid w:val="006B2A46"/>
    <w:rsid w:val="006B4A0D"/>
    <w:rsid w:val="006C07E8"/>
    <w:rsid w:val="006C3162"/>
    <w:rsid w:val="006C3311"/>
    <w:rsid w:val="006D7A1A"/>
    <w:rsid w:val="006E7286"/>
    <w:rsid w:val="006F1717"/>
    <w:rsid w:val="006F242D"/>
    <w:rsid w:val="00703832"/>
    <w:rsid w:val="00705EED"/>
    <w:rsid w:val="00705FD0"/>
    <w:rsid w:val="0071049D"/>
    <w:rsid w:val="00713F05"/>
    <w:rsid w:val="007152B6"/>
    <w:rsid w:val="007244C7"/>
    <w:rsid w:val="00725F1D"/>
    <w:rsid w:val="007276F3"/>
    <w:rsid w:val="00731977"/>
    <w:rsid w:val="0073253B"/>
    <w:rsid w:val="007330FD"/>
    <w:rsid w:val="00736670"/>
    <w:rsid w:val="007510EF"/>
    <w:rsid w:val="00753597"/>
    <w:rsid w:val="00761A5D"/>
    <w:rsid w:val="00761B95"/>
    <w:rsid w:val="00761F97"/>
    <w:rsid w:val="00763695"/>
    <w:rsid w:val="00764E55"/>
    <w:rsid w:val="00766DE5"/>
    <w:rsid w:val="00767AE9"/>
    <w:rsid w:val="007725B7"/>
    <w:rsid w:val="0077358E"/>
    <w:rsid w:val="00777880"/>
    <w:rsid w:val="00777E22"/>
    <w:rsid w:val="00780E43"/>
    <w:rsid w:val="00783D34"/>
    <w:rsid w:val="007854C5"/>
    <w:rsid w:val="007930A6"/>
    <w:rsid w:val="007A3F98"/>
    <w:rsid w:val="007A7246"/>
    <w:rsid w:val="007B61B7"/>
    <w:rsid w:val="007B71F7"/>
    <w:rsid w:val="007B7A30"/>
    <w:rsid w:val="007C07E3"/>
    <w:rsid w:val="007C135F"/>
    <w:rsid w:val="007C1F26"/>
    <w:rsid w:val="007C5CB6"/>
    <w:rsid w:val="007D00C5"/>
    <w:rsid w:val="007D3D45"/>
    <w:rsid w:val="007D3FD7"/>
    <w:rsid w:val="007D6B20"/>
    <w:rsid w:val="007E0264"/>
    <w:rsid w:val="007E7111"/>
    <w:rsid w:val="007E7CD7"/>
    <w:rsid w:val="007F0E51"/>
    <w:rsid w:val="007F0F92"/>
    <w:rsid w:val="007F2CA8"/>
    <w:rsid w:val="007F6068"/>
    <w:rsid w:val="008020F2"/>
    <w:rsid w:val="0080399C"/>
    <w:rsid w:val="008057E3"/>
    <w:rsid w:val="00807CB3"/>
    <w:rsid w:val="008123B9"/>
    <w:rsid w:val="00812749"/>
    <w:rsid w:val="008160A7"/>
    <w:rsid w:val="00816FCF"/>
    <w:rsid w:val="00821B7D"/>
    <w:rsid w:val="008363A4"/>
    <w:rsid w:val="008366BE"/>
    <w:rsid w:val="00841CED"/>
    <w:rsid w:val="0084270D"/>
    <w:rsid w:val="008503B4"/>
    <w:rsid w:val="00850C4B"/>
    <w:rsid w:val="0085285E"/>
    <w:rsid w:val="00852CF9"/>
    <w:rsid w:val="00855692"/>
    <w:rsid w:val="00856CBC"/>
    <w:rsid w:val="008629B0"/>
    <w:rsid w:val="00862D18"/>
    <w:rsid w:val="00865782"/>
    <w:rsid w:val="00865CD1"/>
    <w:rsid w:val="0087025C"/>
    <w:rsid w:val="008712CD"/>
    <w:rsid w:val="008742FA"/>
    <w:rsid w:val="00877B1D"/>
    <w:rsid w:val="00882F96"/>
    <w:rsid w:val="008852ED"/>
    <w:rsid w:val="0088744C"/>
    <w:rsid w:val="00895A71"/>
    <w:rsid w:val="0089674B"/>
    <w:rsid w:val="008A193C"/>
    <w:rsid w:val="008A786C"/>
    <w:rsid w:val="008B448B"/>
    <w:rsid w:val="008C3AC0"/>
    <w:rsid w:val="008D36BB"/>
    <w:rsid w:val="008D7AE3"/>
    <w:rsid w:val="008E19A3"/>
    <w:rsid w:val="008E49E0"/>
    <w:rsid w:val="008F1494"/>
    <w:rsid w:val="008F6C2D"/>
    <w:rsid w:val="008F7201"/>
    <w:rsid w:val="008F78FC"/>
    <w:rsid w:val="008F7AC9"/>
    <w:rsid w:val="009035E3"/>
    <w:rsid w:val="00903DD5"/>
    <w:rsid w:val="00905E17"/>
    <w:rsid w:val="00912AD2"/>
    <w:rsid w:val="00912CD6"/>
    <w:rsid w:val="00920958"/>
    <w:rsid w:val="00924A4E"/>
    <w:rsid w:val="009329FE"/>
    <w:rsid w:val="009339C7"/>
    <w:rsid w:val="009340C1"/>
    <w:rsid w:val="009441A2"/>
    <w:rsid w:val="00946E75"/>
    <w:rsid w:val="0095049A"/>
    <w:rsid w:val="00953296"/>
    <w:rsid w:val="0095526E"/>
    <w:rsid w:val="00956BFD"/>
    <w:rsid w:val="00961BE1"/>
    <w:rsid w:val="00961C21"/>
    <w:rsid w:val="00963828"/>
    <w:rsid w:val="009679A8"/>
    <w:rsid w:val="0097063A"/>
    <w:rsid w:val="0097116E"/>
    <w:rsid w:val="00971ECF"/>
    <w:rsid w:val="00980178"/>
    <w:rsid w:val="0098265A"/>
    <w:rsid w:val="00983A46"/>
    <w:rsid w:val="009862B9"/>
    <w:rsid w:val="00991A48"/>
    <w:rsid w:val="00994000"/>
    <w:rsid w:val="009A0133"/>
    <w:rsid w:val="009A282F"/>
    <w:rsid w:val="009A2A20"/>
    <w:rsid w:val="009A5460"/>
    <w:rsid w:val="009A6FB6"/>
    <w:rsid w:val="009A71C2"/>
    <w:rsid w:val="009B573C"/>
    <w:rsid w:val="009C05EC"/>
    <w:rsid w:val="009C234B"/>
    <w:rsid w:val="009C6BB7"/>
    <w:rsid w:val="009D17BA"/>
    <w:rsid w:val="009D5889"/>
    <w:rsid w:val="009D5C40"/>
    <w:rsid w:val="009E49B4"/>
    <w:rsid w:val="009E69BE"/>
    <w:rsid w:val="00A0169E"/>
    <w:rsid w:val="00A073CA"/>
    <w:rsid w:val="00A0740F"/>
    <w:rsid w:val="00A122DC"/>
    <w:rsid w:val="00A1339E"/>
    <w:rsid w:val="00A16C32"/>
    <w:rsid w:val="00A20670"/>
    <w:rsid w:val="00A232C1"/>
    <w:rsid w:val="00A23CCC"/>
    <w:rsid w:val="00A23E9F"/>
    <w:rsid w:val="00A2776E"/>
    <w:rsid w:val="00A367A9"/>
    <w:rsid w:val="00A36981"/>
    <w:rsid w:val="00A439D0"/>
    <w:rsid w:val="00A45F99"/>
    <w:rsid w:val="00A47B3B"/>
    <w:rsid w:val="00A502AE"/>
    <w:rsid w:val="00A529A5"/>
    <w:rsid w:val="00A529F5"/>
    <w:rsid w:val="00A551A7"/>
    <w:rsid w:val="00A56EE4"/>
    <w:rsid w:val="00A609D9"/>
    <w:rsid w:val="00A62A96"/>
    <w:rsid w:val="00A636C0"/>
    <w:rsid w:val="00A66A64"/>
    <w:rsid w:val="00A67D15"/>
    <w:rsid w:val="00A7309C"/>
    <w:rsid w:val="00A7369E"/>
    <w:rsid w:val="00A75A3D"/>
    <w:rsid w:val="00A75A61"/>
    <w:rsid w:val="00A77A5C"/>
    <w:rsid w:val="00A8041F"/>
    <w:rsid w:val="00A855DC"/>
    <w:rsid w:val="00A85BE5"/>
    <w:rsid w:val="00A8671E"/>
    <w:rsid w:val="00A9268D"/>
    <w:rsid w:val="00A93439"/>
    <w:rsid w:val="00A93955"/>
    <w:rsid w:val="00A944E2"/>
    <w:rsid w:val="00A9666C"/>
    <w:rsid w:val="00A96BFD"/>
    <w:rsid w:val="00AA15AE"/>
    <w:rsid w:val="00AA2131"/>
    <w:rsid w:val="00AA6765"/>
    <w:rsid w:val="00AA6A89"/>
    <w:rsid w:val="00AA7A12"/>
    <w:rsid w:val="00AB3360"/>
    <w:rsid w:val="00AB3587"/>
    <w:rsid w:val="00AB3840"/>
    <w:rsid w:val="00AB3B1A"/>
    <w:rsid w:val="00AB4419"/>
    <w:rsid w:val="00AB45E3"/>
    <w:rsid w:val="00AB4AD8"/>
    <w:rsid w:val="00AB50DF"/>
    <w:rsid w:val="00AC0566"/>
    <w:rsid w:val="00AD3F88"/>
    <w:rsid w:val="00AD6E19"/>
    <w:rsid w:val="00AE2FBD"/>
    <w:rsid w:val="00AE66E6"/>
    <w:rsid w:val="00AF1ECA"/>
    <w:rsid w:val="00AF7C52"/>
    <w:rsid w:val="00B018CD"/>
    <w:rsid w:val="00B06029"/>
    <w:rsid w:val="00B06842"/>
    <w:rsid w:val="00B079ED"/>
    <w:rsid w:val="00B11220"/>
    <w:rsid w:val="00B11D3E"/>
    <w:rsid w:val="00B13C86"/>
    <w:rsid w:val="00B13EDF"/>
    <w:rsid w:val="00B2746D"/>
    <w:rsid w:val="00B30508"/>
    <w:rsid w:val="00B32EFA"/>
    <w:rsid w:val="00B32F99"/>
    <w:rsid w:val="00B4004D"/>
    <w:rsid w:val="00B40120"/>
    <w:rsid w:val="00B42C76"/>
    <w:rsid w:val="00B4384C"/>
    <w:rsid w:val="00B45BCE"/>
    <w:rsid w:val="00B46E1E"/>
    <w:rsid w:val="00B573E5"/>
    <w:rsid w:val="00B61B0A"/>
    <w:rsid w:val="00B61CC6"/>
    <w:rsid w:val="00B6346A"/>
    <w:rsid w:val="00B6374D"/>
    <w:rsid w:val="00B67829"/>
    <w:rsid w:val="00B67A1B"/>
    <w:rsid w:val="00B71AB2"/>
    <w:rsid w:val="00B73233"/>
    <w:rsid w:val="00B73A8D"/>
    <w:rsid w:val="00B8097C"/>
    <w:rsid w:val="00B82C30"/>
    <w:rsid w:val="00B82C51"/>
    <w:rsid w:val="00B90636"/>
    <w:rsid w:val="00B92D92"/>
    <w:rsid w:val="00B95104"/>
    <w:rsid w:val="00B96B39"/>
    <w:rsid w:val="00B96F57"/>
    <w:rsid w:val="00BA0DDE"/>
    <w:rsid w:val="00BA3038"/>
    <w:rsid w:val="00BA31DA"/>
    <w:rsid w:val="00BB2A6D"/>
    <w:rsid w:val="00BB3121"/>
    <w:rsid w:val="00BB5821"/>
    <w:rsid w:val="00BB6DA1"/>
    <w:rsid w:val="00BC11BF"/>
    <w:rsid w:val="00BC1FE5"/>
    <w:rsid w:val="00BC5DB8"/>
    <w:rsid w:val="00BC62DB"/>
    <w:rsid w:val="00BD28CF"/>
    <w:rsid w:val="00BD3623"/>
    <w:rsid w:val="00BE0755"/>
    <w:rsid w:val="00BE1BBB"/>
    <w:rsid w:val="00BF016B"/>
    <w:rsid w:val="00BF1C91"/>
    <w:rsid w:val="00BF4050"/>
    <w:rsid w:val="00BF5980"/>
    <w:rsid w:val="00BF630F"/>
    <w:rsid w:val="00BF679A"/>
    <w:rsid w:val="00BF6D8B"/>
    <w:rsid w:val="00C10392"/>
    <w:rsid w:val="00C2161D"/>
    <w:rsid w:val="00C22AC8"/>
    <w:rsid w:val="00C26518"/>
    <w:rsid w:val="00C26882"/>
    <w:rsid w:val="00C27317"/>
    <w:rsid w:val="00C31D27"/>
    <w:rsid w:val="00C34A2B"/>
    <w:rsid w:val="00C41810"/>
    <w:rsid w:val="00C4411C"/>
    <w:rsid w:val="00C55988"/>
    <w:rsid w:val="00C56BBC"/>
    <w:rsid w:val="00C61344"/>
    <w:rsid w:val="00C61F52"/>
    <w:rsid w:val="00C6452C"/>
    <w:rsid w:val="00C66B26"/>
    <w:rsid w:val="00C66D05"/>
    <w:rsid w:val="00C724D5"/>
    <w:rsid w:val="00C7560C"/>
    <w:rsid w:val="00C7704A"/>
    <w:rsid w:val="00C805E7"/>
    <w:rsid w:val="00C821E6"/>
    <w:rsid w:val="00C87E53"/>
    <w:rsid w:val="00C918C3"/>
    <w:rsid w:val="00C95BDF"/>
    <w:rsid w:val="00C97A1B"/>
    <w:rsid w:val="00CA33BC"/>
    <w:rsid w:val="00CA3ABD"/>
    <w:rsid w:val="00CA72DD"/>
    <w:rsid w:val="00CB63FF"/>
    <w:rsid w:val="00CB6F41"/>
    <w:rsid w:val="00CC3FD3"/>
    <w:rsid w:val="00CC4B97"/>
    <w:rsid w:val="00CC5D67"/>
    <w:rsid w:val="00CD58B4"/>
    <w:rsid w:val="00CE0D1A"/>
    <w:rsid w:val="00CE1A79"/>
    <w:rsid w:val="00CE1F36"/>
    <w:rsid w:val="00CE66C2"/>
    <w:rsid w:val="00CF40DF"/>
    <w:rsid w:val="00CF4513"/>
    <w:rsid w:val="00CF4930"/>
    <w:rsid w:val="00D03BD4"/>
    <w:rsid w:val="00D05BC8"/>
    <w:rsid w:val="00D10DAD"/>
    <w:rsid w:val="00D11768"/>
    <w:rsid w:val="00D123D5"/>
    <w:rsid w:val="00D15211"/>
    <w:rsid w:val="00D25E4A"/>
    <w:rsid w:val="00D30549"/>
    <w:rsid w:val="00D36A31"/>
    <w:rsid w:val="00D404AE"/>
    <w:rsid w:val="00D40F1E"/>
    <w:rsid w:val="00D50763"/>
    <w:rsid w:val="00D50C9D"/>
    <w:rsid w:val="00D55D3A"/>
    <w:rsid w:val="00D56A10"/>
    <w:rsid w:val="00D61402"/>
    <w:rsid w:val="00D6350A"/>
    <w:rsid w:val="00D65133"/>
    <w:rsid w:val="00D66777"/>
    <w:rsid w:val="00D67DC4"/>
    <w:rsid w:val="00D74B56"/>
    <w:rsid w:val="00D80AAA"/>
    <w:rsid w:val="00D84CC7"/>
    <w:rsid w:val="00D85153"/>
    <w:rsid w:val="00D86575"/>
    <w:rsid w:val="00D87561"/>
    <w:rsid w:val="00D93A67"/>
    <w:rsid w:val="00DA24DF"/>
    <w:rsid w:val="00DA6724"/>
    <w:rsid w:val="00DA7284"/>
    <w:rsid w:val="00DA74B9"/>
    <w:rsid w:val="00DA7C57"/>
    <w:rsid w:val="00DB02E7"/>
    <w:rsid w:val="00DB03CB"/>
    <w:rsid w:val="00DB3A81"/>
    <w:rsid w:val="00DB439E"/>
    <w:rsid w:val="00DC00D1"/>
    <w:rsid w:val="00DC0532"/>
    <w:rsid w:val="00DC273A"/>
    <w:rsid w:val="00DC2CD1"/>
    <w:rsid w:val="00DC3850"/>
    <w:rsid w:val="00DC6B4B"/>
    <w:rsid w:val="00DC7CC7"/>
    <w:rsid w:val="00DD10E8"/>
    <w:rsid w:val="00DD13AA"/>
    <w:rsid w:val="00DD155B"/>
    <w:rsid w:val="00DD5A8D"/>
    <w:rsid w:val="00DE2581"/>
    <w:rsid w:val="00DE2753"/>
    <w:rsid w:val="00DE62FC"/>
    <w:rsid w:val="00DF08A1"/>
    <w:rsid w:val="00DF43ED"/>
    <w:rsid w:val="00E04F5A"/>
    <w:rsid w:val="00E060E9"/>
    <w:rsid w:val="00E0682C"/>
    <w:rsid w:val="00E117D4"/>
    <w:rsid w:val="00E12619"/>
    <w:rsid w:val="00E21CB6"/>
    <w:rsid w:val="00E2333D"/>
    <w:rsid w:val="00E244C6"/>
    <w:rsid w:val="00E3011F"/>
    <w:rsid w:val="00E343BB"/>
    <w:rsid w:val="00E365BC"/>
    <w:rsid w:val="00E41DF4"/>
    <w:rsid w:val="00E42D1F"/>
    <w:rsid w:val="00E44B4A"/>
    <w:rsid w:val="00E505BA"/>
    <w:rsid w:val="00E50836"/>
    <w:rsid w:val="00E52880"/>
    <w:rsid w:val="00E54D11"/>
    <w:rsid w:val="00E6557E"/>
    <w:rsid w:val="00E66697"/>
    <w:rsid w:val="00E6783C"/>
    <w:rsid w:val="00E7016C"/>
    <w:rsid w:val="00E701F9"/>
    <w:rsid w:val="00E71935"/>
    <w:rsid w:val="00E7256F"/>
    <w:rsid w:val="00E72E2C"/>
    <w:rsid w:val="00E73B39"/>
    <w:rsid w:val="00E73C4D"/>
    <w:rsid w:val="00E816BF"/>
    <w:rsid w:val="00E84125"/>
    <w:rsid w:val="00E84802"/>
    <w:rsid w:val="00E8761B"/>
    <w:rsid w:val="00E906AB"/>
    <w:rsid w:val="00E90EC1"/>
    <w:rsid w:val="00E919E0"/>
    <w:rsid w:val="00E93737"/>
    <w:rsid w:val="00E9678B"/>
    <w:rsid w:val="00E967D0"/>
    <w:rsid w:val="00E96EC1"/>
    <w:rsid w:val="00EA212A"/>
    <w:rsid w:val="00EB35EE"/>
    <w:rsid w:val="00EB705C"/>
    <w:rsid w:val="00EB7770"/>
    <w:rsid w:val="00EC3A5C"/>
    <w:rsid w:val="00EC70F5"/>
    <w:rsid w:val="00EC796F"/>
    <w:rsid w:val="00EF0342"/>
    <w:rsid w:val="00EF1B14"/>
    <w:rsid w:val="00EF44AE"/>
    <w:rsid w:val="00EF4BC5"/>
    <w:rsid w:val="00EF71B1"/>
    <w:rsid w:val="00F05129"/>
    <w:rsid w:val="00F07E83"/>
    <w:rsid w:val="00F15772"/>
    <w:rsid w:val="00F17358"/>
    <w:rsid w:val="00F221A1"/>
    <w:rsid w:val="00F31DDB"/>
    <w:rsid w:val="00F334C9"/>
    <w:rsid w:val="00F343B3"/>
    <w:rsid w:val="00F46300"/>
    <w:rsid w:val="00F536DD"/>
    <w:rsid w:val="00F548CF"/>
    <w:rsid w:val="00F61D2B"/>
    <w:rsid w:val="00F6221E"/>
    <w:rsid w:val="00F63AD9"/>
    <w:rsid w:val="00F700DE"/>
    <w:rsid w:val="00F75092"/>
    <w:rsid w:val="00F754DD"/>
    <w:rsid w:val="00F93F89"/>
    <w:rsid w:val="00F95044"/>
    <w:rsid w:val="00FA13B8"/>
    <w:rsid w:val="00FA2405"/>
    <w:rsid w:val="00FA4E49"/>
    <w:rsid w:val="00FB21B8"/>
    <w:rsid w:val="00FB3283"/>
    <w:rsid w:val="00FB367C"/>
    <w:rsid w:val="00FB46A0"/>
    <w:rsid w:val="00FB522D"/>
    <w:rsid w:val="00FB527A"/>
    <w:rsid w:val="00FB5783"/>
    <w:rsid w:val="00FB7265"/>
    <w:rsid w:val="00FC15ED"/>
    <w:rsid w:val="00FC61CB"/>
    <w:rsid w:val="00FD0705"/>
    <w:rsid w:val="00FD318E"/>
    <w:rsid w:val="00FD5282"/>
    <w:rsid w:val="00FD7F41"/>
    <w:rsid w:val="00FE0C96"/>
    <w:rsid w:val="00FE281A"/>
    <w:rsid w:val="00FE4A3C"/>
    <w:rsid w:val="00FE6A5C"/>
    <w:rsid w:val="00FF2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jc w:val="both"/>
    </w:pPr>
    <w:rPr>
      <w:sz w:val="24"/>
      <w:szCs w:val="24"/>
      <w:lang w:eastAsia="en-US"/>
    </w:rPr>
  </w:style>
  <w:style w:type="paragraph" w:styleId="Antrat1">
    <w:name w:val="heading 1"/>
    <w:basedOn w:val="prastasis"/>
    <w:next w:val="prastasis"/>
    <w:qFormat/>
    <w:pPr>
      <w:keepNext/>
      <w:overflowPunct w:val="0"/>
      <w:autoSpaceDE w:val="0"/>
      <w:autoSpaceDN w:val="0"/>
      <w:adjustRightInd w:val="0"/>
      <w:spacing w:before="240" w:after="60"/>
      <w:jc w:val="left"/>
      <w:textAlignment w:val="baseline"/>
      <w:outlineLvl w:val="0"/>
    </w:pPr>
    <w:rPr>
      <w:rFonts w:ascii="Arial" w:hAnsi="Arial"/>
      <w:b/>
      <w:kern w:val="28"/>
      <w:sz w:val="28"/>
      <w:szCs w:val="20"/>
      <w:lang w:val="en-GB"/>
    </w:rPr>
  </w:style>
  <w:style w:type="paragraph" w:styleId="Antrat2">
    <w:name w:val="heading 2"/>
    <w:basedOn w:val="prastasis"/>
    <w:next w:val="prastasis"/>
    <w:qFormat/>
    <w:pPr>
      <w:keepNext/>
      <w:overflowPunct w:val="0"/>
      <w:autoSpaceDE w:val="0"/>
      <w:autoSpaceDN w:val="0"/>
      <w:adjustRightInd w:val="0"/>
      <w:jc w:val="left"/>
      <w:textAlignment w:val="baseline"/>
      <w:outlineLvl w:val="1"/>
    </w:pPr>
    <w:rPr>
      <w:b/>
      <w:szCs w:val="20"/>
    </w:rPr>
  </w:style>
  <w:style w:type="paragraph" w:styleId="Antrat3">
    <w:name w:val="heading 3"/>
    <w:basedOn w:val="prastasis"/>
    <w:next w:val="prastasis"/>
    <w:qFormat/>
    <w:pPr>
      <w:keepNext/>
      <w:outlineLvl w:val="2"/>
    </w:pPr>
    <w:rPr>
      <w:b/>
      <w:bCs/>
    </w:rPr>
  </w:style>
  <w:style w:type="paragraph" w:styleId="Antrat4">
    <w:name w:val="heading 4"/>
    <w:basedOn w:val="prastasis"/>
    <w:next w:val="prastasis"/>
    <w:qFormat/>
    <w:pPr>
      <w:keepNext/>
      <w:ind w:firstLine="22"/>
      <w:jc w:val="left"/>
      <w:outlineLvl w:val="3"/>
    </w:pPr>
    <w:rPr>
      <w:b/>
    </w:rPr>
  </w:style>
  <w:style w:type="paragraph" w:styleId="Antrat7">
    <w:name w:val="heading 7"/>
    <w:basedOn w:val="prastasis"/>
    <w:next w:val="prastasis"/>
    <w:qFormat/>
    <w:pPr>
      <w:keepNext/>
      <w:tabs>
        <w:tab w:val="left" w:pos="720"/>
        <w:tab w:val="right" w:pos="8953"/>
      </w:tabs>
      <w:overflowPunct w:val="0"/>
      <w:autoSpaceDE w:val="0"/>
      <w:autoSpaceDN w:val="0"/>
      <w:adjustRightInd w:val="0"/>
      <w:spacing w:line="240" w:lineRule="atLeast"/>
      <w:jc w:val="center"/>
      <w:textAlignment w:val="baseline"/>
      <w:outlineLvl w:val="6"/>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ait">
    <w:name w:val="Fait ?"/>
    <w:basedOn w:val="prastasis"/>
    <w:next w:val="prastasis"/>
    <w:pPr>
      <w:overflowPunct w:val="0"/>
      <w:autoSpaceDE w:val="0"/>
      <w:autoSpaceDN w:val="0"/>
      <w:adjustRightInd w:val="0"/>
      <w:spacing w:before="120"/>
      <w:textAlignment w:val="baseline"/>
    </w:pPr>
    <w:rPr>
      <w:szCs w:val="20"/>
      <w:lang w:val="en-GB"/>
    </w:rPr>
  </w:style>
  <w:style w:type="paragraph" w:styleId="Pagrindinistekstas">
    <w:name w:val="Body Text"/>
    <w:basedOn w:val="prastasis"/>
    <w:pPr>
      <w:overflowPunct w:val="0"/>
      <w:autoSpaceDE w:val="0"/>
      <w:autoSpaceDN w:val="0"/>
      <w:adjustRightInd w:val="0"/>
      <w:ind w:right="702"/>
      <w:jc w:val="center"/>
      <w:textAlignment w:val="baseline"/>
    </w:pPr>
    <w:rPr>
      <w:rFonts w:ascii="TimesLT" w:hAnsi="TimesLT"/>
      <w:b/>
      <w:szCs w:val="20"/>
    </w:rPr>
  </w:style>
  <w:style w:type="paragraph" w:styleId="Porat">
    <w:name w:val="footer"/>
    <w:basedOn w:val="prastasis"/>
    <w:pPr>
      <w:tabs>
        <w:tab w:val="center" w:pos="4153"/>
        <w:tab w:val="right" w:pos="8306"/>
      </w:tabs>
      <w:overflowPunct w:val="0"/>
      <w:autoSpaceDE w:val="0"/>
      <w:autoSpaceDN w:val="0"/>
      <w:adjustRightInd w:val="0"/>
      <w:jc w:val="left"/>
      <w:textAlignment w:val="baseline"/>
    </w:pPr>
    <w:rPr>
      <w:sz w:val="20"/>
      <w:szCs w:val="20"/>
      <w:lang w:val="en-GB"/>
    </w:rPr>
  </w:style>
  <w:style w:type="paragraph" w:styleId="Pagrindinistekstas2">
    <w:name w:val="Body Text 2"/>
    <w:basedOn w:val="prastasis"/>
    <w:pPr>
      <w:overflowPunct w:val="0"/>
      <w:autoSpaceDE w:val="0"/>
      <w:autoSpaceDN w:val="0"/>
      <w:adjustRightInd w:val="0"/>
      <w:spacing w:line="360" w:lineRule="auto"/>
      <w:textAlignment w:val="baseline"/>
    </w:pPr>
    <w:rPr>
      <w:szCs w:val="20"/>
    </w:rPr>
  </w:style>
  <w:style w:type="paragraph" w:styleId="Antrats">
    <w:name w:val="header"/>
    <w:basedOn w:val="prastasis"/>
    <w:link w:val="AntratsDiagrama"/>
    <w:uiPriority w:val="99"/>
    <w:pPr>
      <w:tabs>
        <w:tab w:val="center" w:pos="4153"/>
        <w:tab w:val="right" w:pos="8306"/>
      </w:tabs>
      <w:overflowPunct w:val="0"/>
      <w:autoSpaceDE w:val="0"/>
      <w:autoSpaceDN w:val="0"/>
      <w:adjustRightInd w:val="0"/>
      <w:jc w:val="left"/>
      <w:textAlignment w:val="baseline"/>
    </w:pPr>
    <w:rPr>
      <w:sz w:val="20"/>
      <w:szCs w:val="20"/>
      <w:lang w:val="en-GB"/>
    </w:rPr>
  </w:style>
  <w:style w:type="paragraph" w:styleId="Pagrindinistekstas3">
    <w:name w:val="Body Text 3"/>
    <w:basedOn w:val="prastasis"/>
    <w:link w:val="Pagrindinistekstas3Diagrama"/>
    <w:pPr>
      <w:overflowPunct w:val="0"/>
      <w:autoSpaceDE w:val="0"/>
      <w:autoSpaceDN w:val="0"/>
      <w:adjustRightInd w:val="0"/>
      <w:jc w:val="left"/>
      <w:textAlignment w:val="baseline"/>
    </w:pPr>
    <w:rPr>
      <w:szCs w:val="20"/>
    </w:rPr>
  </w:style>
  <w:style w:type="character" w:styleId="Puslapionumeris">
    <w:name w:val="page number"/>
    <w:basedOn w:val="Numatytasispastraiposriftas"/>
  </w:style>
  <w:style w:type="paragraph" w:styleId="Pagrindiniotekstotrauka">
    <w:name w:val="Body Text Indent"/>
    <w:basedOn w:val="prastasis"/>
    <w:pPr>
      <w:ind w:firstLine="851"/>
    </w:pPr>
    <w:rPr>
      <w:szCs w:val="20"/>
    </w:rPr>
  </w:style>
  <w:style w:type="paragraph" w:styleId="Pagrindiniotekstotrauka2">
    <w:name w:val="Body Text Indent 2"/>
    <w:basedOn w:val="prastasis"/>
    <w:pPr>
      <w:ind w:firstLine="255"/>
      <w:jc w:val="left"/>
    </w:pPr>
  </w:style>
  <w:style w:type="paragraph" w:styleId="Pagrindiniotekstotrauka3">
    <w:name w:val="Body Text Indent 3"/>
    <w:basedOn w:val="prastasis"/>
    <w:pPr>
      <w:autoSpaceDE w:val="0"/>
      <w:autoSpaceDN w:val="0"/>
      <w:ind w:firstLine="720"/>
    </w:pPr>
    <w:rPr>
      <w:szCs w:val="20"/>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szCs w:val="20"/>
      <w:lang w:val="en-GB"/>
    </w:rPr>
  </w:style>
  <w:style w:type="character" w:styleId="Hipersaitas">
    <w:name w:val="Hyperlink"/>
    <w:rPr>
      <w:color w:val="0000FF"/>
      <w:u w:val="single"/>
    </w:rPr>
  </w:style>
  <w:style w:type="paragraph" w:customStyle="1" w:styleId="fait0">
    <w:name w:val="fait"/>
    <w:basedOn w:val="prastasis"/>
    <w:pPr>
      <w:spacing w:before="100" w:beforeAutospacing="1" w:after="100" w:afterAutospacing="1"/>
      <w:jc w:val="left"/>
    </w:pPr>
    <w:rPr>
      <w:rFonts w:ascii="Arial Unicode MS" w:eastAsia="Arial Unicode MS" w:hAnsi="Arial Unicode MS" w:cs="Arial Unicode MS"/>
      <w:lang w:val="en-GB"/>
    </w:rPr>
  </w:style>
  <w:style w:type="paragraph" w:customStyle="1" w:styleId="istatymas">
    <w:name w:val="istatymas"/>
    <w:basedOn w:val="prastasis"/>
    <w:pPr>
      <w:spacing w:before="100" w:beforeAutospacing="1" w:after="100" w:afterAutospacing="1"/>
      <w:jc w:val="left"/>
    </w:pPr>
    <w:rPr>
      <w:rFonts w:ascii="Arial Unicode MS" w:eastAsia="Arial Unicode MS" w:hAnsi="Arial Unicode MS" w:cs="Arial Unicode MS"/>
      <w:lang w:val="en-GB"/>
    </w:rPr>
  </w:style>
  <w:style w:type="paragraph" w:customStyle="1" w:styleId="patvirtinta">
    <w:name w:val="patvirtinta"/>
    <w:basedOn w:val="prastasis"/>
    <w:pPr>
      <w:spacing w:before="100" w:beforeAutospacing="1" w:after="100" w:afterAutospacing="1"/>
      <w:jc w:val="left"/>
    </w:pPr>
    <w:rPr>
      <w:rFonts w:ascii="Arial Unicode MS" w:eastAsia="Arial Unicode MS" w:hAnsi="Arial Unicode MS" w:cs="Arial Unicode MS"/>
      <w:lang w:val="en-GB"/>
    </w:rPr>
  </w:style>
  <w:style w:type="paragraph" w:customStyle="1" w:styleId="centrbold">
    <w:name w:val="centrbold"/>
    <w:basedOn w:val="prastasis"/>
    <w:pPr>
      <w:spacing w:before="100" w:beforeAutospacing="1" w:after="100" w:afterAutospacing="1"/>
      <w:jc w:val="left"/>
    </w:pPr>
    <w:rPr>
      <w:rFonts w:ascii="Arial Unicode MS" w:eastAsia="Arial Unicode MS" w:hAnsi="Arial Unicode MS" w:cs="Arial Unicode MS"/>
      <w:lang w:val="en-GB"/>
    </w:rPr>
  </w:style>
  <w:style w:type="paragraph" w:customStyle="1" w:styleId="BodyText21">
    <w:name w:val="Body Text 21"/>
    <w:basedOn w:val="prastasis"/>
    <w:rsid w:val="005212D6"/>
    <w:pPr>
      <w:autoSpaceDE w:val="0"/>
      <w:autoSpaceDN w:val="0"/>
      <w:jc w:val="left"/>
    </w:pPr>
    <w:rPr>
      <w:szCs w:val="20"/>
    </w:rPr>
  </w:style>
  <w:style w:type="paragraph" w:customStyle="1" w:styleId="antraste">
    <w:name w:val="antraste"/>
    <w:basedOn w:val="prastasis"/>
    <w:rsid w:val="00A9666C"/>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b/>
      <w:caps/>
      <w:szCs w:val="20"/>
    </w:rPr>
  </w:style>
  <w:style w:type="paragraph" w:customStyle="1" w:styleId="Hipersaitas1">
    <w:name w:val="Hipersaitas1"/>
    <w:basedOn w:val="prastasis"/>
    <w:rsid w:val="00D11768"/>
    <w:pPr>
      <w:spacing w:before="100" w:beforeAutospacing="1" w:after="100" w:afterAutospacing="1"/>
      <w:jc w:val="left"/>
    </w:pPr>
    <w:rPr>
      <w:lang w:eastAsia="lt-LT"/>
    </w:rPr>
  </w:style>
  <w:style w:type="paragraph" w:styleId="Debesliotekstas">
    <w:name w:val="Balloon Text"/>
    <w:basedOn w:val="prastasis"/>
    <w:semiHidden/>
    <w:rsid w:val="006248A8"/>
    <w:rPr>
      <w:rFonts w:ascii="Tahoma" w:hAnsi="Tahoma" w:cs="Tahoma"/>
      <w:sz w:val="16"/>
      <w:szCs w:val="16"/>
    </w:rPr>
  </w:style>
  <w:style w:type="character" w:styleId="Komentaronuoroda">
    <w:name w:val="annotation reference"/>
    <w:semiHidden/>
    <w:rsid w:val="00254753"/>
    <w:rPr>
      <w:sz w:val="16"/>
      <w:szCs w:val="16"/>
    </w:rPr>
  </w:style>
  <w:style w:type="paragraph" w:styleId="Komentarotekstas">
    <w:name w:val="annotation text"/>
    <w:basedOn w:val="prastasis"/>
    <w:semiHidden/>
    <w:rsid w:val="00254753"/>
    <w:rPr>
      <w:sz w:val="20"/>
      <w:szCs w:val="20"/>
    </w:rPr>
  </w:style>
  <w:style w:type="paragraph" w:styleId="Komentarotema">
    <w:name w:val="annotation subject"/>
    <w:basedOn w:val="Komentarotekstas"/>
    <w:next w:val="Komentarotekstas"/>
    <w:semiHidden/>
    <w:rsid w:val="00254753"/>
    <w:rPr>
      <w:b/>
      <w:bCs/>
    </w:rPr>
  </w:style>
  <w:style w:type="character" w:customStyle="1" w:styleId="HTMLiankstoformatuotasDiagrama">
    <w:name w:val="HTML iš anksto formatuotas Diagrama"/>
    <w:link w:val="HTMLiankstoformatuotas"/>
    <w:uiPriority w:val="99"/>
    <w:rsid w:val="001D323F"/>
    <w:rPr>
      <w:rFonts w:ascii="Arial Unicode MS" w:eastAsia="Arial Unicode MS" w:hAnsi="Arial Unicode MS" w:cs="Arial Unicode MS"/>
      <w:lang w:val="en-GB" w:eastAsia="en-US"/>
    </w:rPr>
  </w:style>
  <w:style w:type="character" w:customStyle="1" w:styleId="AntratsDiagrama">
    <w:name w:val="Antraštės Diagrama"/>
    <w:link w:val="Antrats"/>
    <w:uiPriority w:val="99"/>
    <w:rsid w:val="00CC4B97"/>
    <w:rPr>
      <w:lang w:val="en-GB" w:eastAsia="en-US"/>
    </w:rPr>
  </w:style>
  <w:style w:type="paragraph" w:customStyle="1" w:styleId="bodytext">
    <w:name w:val="bodytext"/>
    <w:basedOn w:val="prastasis"/>
    <w:rsid w:val="00324B58"/>
    <w:pPr>
      <w:spacing w:before="100" w:beforeAutospacing="1" w:after="100" w:afterAutospacing="1"/>
      <w:jc w:val="left"/>
    </w:pPr>
    <w:rPr>
      <w:lang w:eastAsia="lt-LT"/>
    </w:rPr>
  </w:style>
  <w:style w:type="character" w:customStyle="1" w:styleId="Pagrindinistekstas3Diagrama">
    <w:name w:val="Pagrindinis tekstas 3 Diagrama"/>
    <w:link w:val="Pagrindinistekstas3"/>
    <w:rsid w:val="009C234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9002">
      <w:bodyDiv w:val="1"/>
      <w:marLeft w:val="225"/>
      <w:marRight w:val="225"/>
      <w:marTop w:val="0"/>
      <w:marBottom w:val="0"/>
      <w:divBdr>
        <w:top w:val="none" w:sz="0" w:space="0" w:color="auto"/>
        <w:left w:val="none" w:sz="0" w:space="0" w:color="auto"/>
        <w:bottom w:val="none" w:sz="0" w:space="0" w:color="auto"/>
        <w:right w:val="none" w:sz="0" w:space="0" w:color="auto"/>
      </w:divBdr>
      <w:divsChild>
        <w:div w:id="219364793">
          <w:marLeft w:val="0"/>
          <w:marRight w:val="0"/>
          <w:marTop w:val="0"/>
          <w:marBottom w:val="0"/>
          <w:divBdr>
            <w:top w:val="none" w:sz="0" w:space="0" w:color="auto"/>
            <w:left w:val="none" w:sz="0" w:space="0" w:color="auto"/>
            <w:bottom w:val="none" w:sz="0" w:space="0" w:color="auto"/>
            <w:right w:val="none" w:sz="0" w:space="0" w:color="auto"/>
          </w:divBdr>
        </w:div>
      </w:divsChild>
    </w:div>
    <w:div w:id="57827968">
      <w:bodyDiv w:val="1"/>
      <w:marLeft w:val="0"/>
      <w:marRight w:val="0"/>
      <w:marTop w:val="0"/>
      <w:marBottom w:val="0"/>
      <w:divBdr>
        <w:top w:val="none" w:sz="0" w:space="0" w:color="auto"/>
        <w:left w:val="none" w:sz="0" w:space="0" w:color="auto"/>
        <w:bottom w:val="none" w:sz="0" w:space="0" w:color="auto"/>
        <w:right w:val="none" w:sz="0" w:space="0" w:color="auto"/>
      </w:divBdr>
    </w:div>
    <w:div w:id="110981335">
      <w:bodyDiv w:val="1"/>
      <w:marLeft w:val="0"/>
      <w:marRight w:val="0"/>
      <w:marTop w:val="0"/>
      <w:marBottom w:val="0"/>
      <w:divBdr>
        <w:top w:val="none" w:sz="0" w:space="0" w:color="auto"/>
        <w:left w:val="none" w:sz="0" w:space="0" w:color="auto"/>
        <w:bottom w:val="none" w:sz="0" w:space="0" w:color="auto"/>
        <w:right w:val="none" w:sz="0" w:space="0" w:color="auto"/>
      </w:divBdr>
    </w:div>
    <w:div w:id="150365090">
      <w:bodyDiv w:val="1"/>
      <w:marLeft w:val="0"/>
      <w:marRight w:val="0"/>
      <w:marTop w:val="0"/>
      <w:marBottom w:val="0"/>
      <w:divBdr>
        <w:top w:val="none" w:sz="0" w:space="0" w:color="auto"/>
        <w:left w:val="none" w:sz="0" w:space="0" w:color="auto"/>
        <w:bottom w:val="none" w:sz="0" w:space="0" w:color="auto"/>
        <w:right w:val="none" w:sz="0" w:space="0" w:color="auto"/>
      </w:divBdr>
    </w:div>
    <w:div w:id="319038577">
      <w:bodyDiv w:val="1"/>
      <w:marLeft w:val="0"/>
      <w:marRight w:val="0"/>
      <w:marTop w:val="0"/>
      <w:marBottom w:val="0"/>
      <w:divBdr>
        <w:top w:val="none" w:sz="0" w:space="0" w:color="auto"/>
        <w:left w:val="none" w:sz="0" w:space="0" w:color="auto"/>
        <w:bottom w:val="none" w:sz="0" w:space="0" w:color="auto"/>
        <w:right w:val="none" w:sz="0" w:space="0" w:color="auto"/>
      </w:divBdr>
    </w:div>
    <w:div w:id="444424017">
      <w:bodyDiv w:val="1"/>
      <w:marLeft w:val="225"/>
      <w:marRight w:val="225"/>
      <w:marTop w:val="0"/>
      <w:marBottom w:val="0"/>
      <w:divBdr>
        <w:top w:val="none" w:sz="0" w:space="0" w:color="auto"/>
        <w:left w:val="none" w:sz="0" w:space="0" w:color="auto"/>
        <w:bottom w:val="none" w:sz="0" w:space="0" w:color="auto"/>
        <w:right w:val="none" w:sz="0" w:space="0" w:color="auto"/>
      </w:divBdr>
      <w:divsChild>
        <w:div w:id="1882936700">
          <w:marLeft w:val="0"/>
          <w:marRight w:val="0"/>
          <w:marTop w:val="0"/>
          <w:marBottom w:val="0"/>
          <w:divBdr>
            <w:top w:val="none" w:sz="0" w:space="0" w:color="auto"/>
            <w:left w:val="none" w:sz="0" w:space="0" w:color="auto"/>
            <w:bottom w:val="none" w:sz="0" w:space="0" w:color="auto"/>
            <w:right w:val="none" w:sz="0" w:space="0" w:color="auto"/>
          </w:divBdr>
        </w:div>
      </w:divsChild>
    </w:div>
    <w:div w:id="447167350">
      <w:bodyDiv w:val="1"/>
      <w:marLeft w:val="0"/>
      <w:marRight w:val="0"/>
      <w:marTop w:val="0"/>
      <w:marBottom w:val="0"/>
      <w:divBdr>
        <w:top w:val="none" w:sz="0" w:space="0" w:color="auto"/>
        <w:left w:val="none" w:sz="0" w:space="0" w:color="auto"/>
        <w:bottom w:val="none" w:sz="0" w:space="0" w:color="auto"/>
        <w:right w:val="none" w:sz="0" w:space="0" w:color="auto"/>
      </w:divBdr>
    </w:div>
    <w:div w:id="474223657">
      <w:bodyDiv w:val="1"/>
      <w:marLeft w:val="225"/>
      <w:marRight w:val="225"/>
      <w:marTop w:val="0"/>
      <w:marBottom w:val="0"/>
      <w:divBdr>
        <w:top w:val="none" w:sz="0" w:space="0" w:color="auto"/>
        <w:left w:val="none" w:sz="0" w:space="0" w:color="auto"/>
        <w:bottom w:val="none" w:sz="0" w:space="0" w:color="auto"/>
        <w:right w:val="none" w:sz="0" w:space="0" w:color="auto"/>
      </w:divBdr>
      <w:divsChild>
        <w:div w:id="2026400382">
          <w:marLeft w:val="0"/>
          <w:marRight w:val="0"/>
          <w:marTop w:val="0"/>
          <w:marBottom w:val="0"/>
          <w:divBdr>
            <w:top w:val="none" w:sz="0" w:space="0" w:color="auto"/>
            <w:left w:val="none" w:sz="0" w:space="0" w:color="auto"/>
            <w:bottom w:val="none" w:sz="0" w:space="0" w:color="auto"/>
            <w:right w:val="none" w:sz="0" w:space="0" w:color="auto"/>
          </w:divBdr>
        </w:div>
      </w:divsChild>
    </w:div>
    <w:div w:id="529219913">
      <w:bodyDiv w:val="1"/>
      <w:marLeft w:val="0"/>
      <w:marRight w:val="0"/>
      <w:marTop w:val="0"/>
      <w:marBottom w:val="0"/>
      <w:divBdr>
        <w:top w:val="none" w:sz="0" w:space="0" w:color="auto"/>
        <w:left w:val="none" w:sz="0" w:space="0" w:color="auto"/>
        <w:bottom w:val="none" w:sz="0" w:space="0" w:color="auto"/>
        <w:right w:val="none" w:sz="0" w:space="0" w:color="auto"/>
      </w:divBdr>
    </w:div>
    <w:div w:id="700665866">
      <w:bodyDiv w:val="1"/>
      <w:marLeft w:val="0"/>
      <w:marRight w:val="0"/>
      <w:marTop w:val="0"/>
      <w:marBottom w:val="0"/>
      <w:divBdr>
        <w:top w:val="none" w:sz="0" w:space="0" w:color="auto"/>
        <w:left w:val="none" w:sz="0" w:space="0" w:color="auto"/>
        <w:bottom w:val="none" w:sz="0" w:space="0" w:color="auto"/>
        <w:right w:val="none" w:sz="0" w:space="0" w:color="auto"/>
      </w:divBdr>
    </w:div>
    <w:div w:id="720708455">
      <w:bodyDiv w:val="1"/>
      <w:marLeft w:val="225"/>
      <w:marRight w:val="225"/>
      <w:marTop w:val="0"/>
      <w:marBottom w:val="0"/>
      <w:divBdr>
        <w:top w:val="none" w:sz="0" w:space="0" w:color="auto"/>
        <w:left w:val="none" w:sz="0" w:space="0" w:color="auto"/>
        <w:bottom w:val="none" w:sz="0" w:space="0" w:color="auto"/>
        <w:right w:val="none" w:sz="0" w:space="0" w:color="auto"/>
      </w:divBdr>
      <w:divsChild>
        <w:div w:id="788814395">
          <w:marLeft w:val="0"/>
          <w:marRight w:val="0"/>
          <w:marTop w:val="0"/>
          <w:marBottom w:val="0"/>
          <w:divBdr>
            <w:top w:val="none" w:sz="0" w:space="0" w:color="auto"/>
            <w:left w:val="none" w:sz="0" w:space="0" w:color="auto"/>
            <w:bottom w:val="none" w:sz="0" w:space="0" w:color="auto"/>
            <w:right w:val="none" w:sz="0" w:space="0" w:color="auto"/>
          </w:divBdr>
        </w:div>
      </w:divsChild>
    </w:div>
    <w:div w:id="725908788">
      <w:bodyDiv w:val="1"/>
      <w:marLeft w:val="0"/>
      <w:marRight w:val="0"/>
      <w:marTop w:val="0"/>
      <w:marBottom w:val="0"/>
      <w:divBdr>
        <w:top w:val="none" w:sz="0" w:space="0" w:color="auto"/>
        <w:left w:val="none" w:sz="0" w:space="0" w:color="auto"/>
        <w:bottom w:val="none" w:sz="0" w:space="0" w:color="auto"/>
        <w:right w:val="none" w:sz="0" w:space="0" w:color="auto"/>
      </w:divBdr>
    </w:div>
    <w:div w:id="903181017">
      <w:bodyDiv w:val="1"/>
      <w:marLeft w:val="0"/>
      <w:marRight w:val="0"/>
      <w:marTop w:val="0"/>
      <w:marBottom w:val="0"/>
      <w:divBdr>
        <w:top w:val="none" w:sz="0" w:space="0" w:color="auto"/>
        <w:left w:val="none" w:sz="0" w:space="0" w:color="auto"/>
        <w:bottom w:val="none" w:sz="0" w:space="0" w:color="auto"/>
        <w:right w:val="none" w:sz="0" w:space="0" w:color="auto"/>
      </w:divBdr>
    </w:div>
    <w:div w:id="922760028">
      <w:bodyDiv w:val="1"/>
      <w:marLeft w:val="225"/>
      <w:marRight w:val="225"/>
      <w:marTop w:val="0"/>
      <w:marBottom w:val="0"/>
      <w:divBdr>
        <w:top w:val="none" w:sz="0" w:space="0" w:color="auto"/>
        <w:left w:val="none" w:sz="0" w:space="0" w:color="auto"/>
        <w:bottom w:val="none" w:sz="0" w:space="0" w:color="auto"/>
        <w:right w:val="none" w:sz="0" w:space="0" w:color="auto"/>
      </w:divBdr>
      <w:divsChild>
        <w:div w:id="1843618187">
          <w:marLeft w:val="0"/>
          <w:marRight w:val="0"/>
          <w:marTop w:val="0"/>
          <w:marBottom w:val="0"/>
          <w:divBdr>
            <w:top w:val="none" w:sz="0" w:space="0" w:color="auto"/>
            <w:left w:val="none" w:sz="0" w:space="0" w:color="auto"/>
            <w:bottom w:val="none" w:sz="0" w:space="0" w:color="auto"/>
            <w:right w:val="none" w:sz="0" w:space="0" w:color="auto"/>
          </w:divBdr>
        </w:div>
      </w:divsChild>
    </w:div>
    <w:div w:id="927234807">
      <w:bodyDiv w:val="1"/>
      <w:marLeft w:val="0"/>
      <w:marRight w:val="0"/>
      <w:marTop w:val="0"/>
      <w:marBottom w:val="0"/>
      <w:divBdr>
        <w:top w:val="none" w:sz="0" w:space="0" w:color="auto"/>
        <w:left w:val="none" w:sz="0" w:space="0" w:color="auto"/>
        <w:bottom w:val="none" w:sz="0" w:space="0" w:color="auto"/>
        <w:right w:val="none" w:sz="0" w:space="0" w:color="auto"/>
      </w:divBdr>
    </w:div>
    <w:div w:id="1204907365">
      <w:bodyDiv w:val="1"/>
      <w:marLeft w:val="225"/>
      <w:marRight w:val="225"/>
      <w:marTop w:val="0"/>
      <w:marBottom w:val="0"/>
      <w:divBdr>
        <w:top w:val="none" w:sz="0" w:space="0" w:color="auto"/>
        <w:left w:val="none" w:sz="0" w:space="0" w:color="auto"/>
        <w:bottom w:val="none" w:sz="0" w:space="0" w:color="auto"/>
        <w:right w:val="none" w:sz="0" w:space="0" w:color="auto"/>
      </w:divBdr>
      <w:divsChild>
        <w:div w:id="45380421">
          <w:marLeft w:val="0"/>
          <w:marRight w:val="0"/>
          <w:marTop w:val="0"/>
          <w:marBottom w:val="0"/>
          <w:divBdr>
            <w:top w:val="none" w:sz="0" w:space="0" w:color="auto"/>
            <w:left w:val="none" w:sz="0" w:space="0" w:color="auto"/>
            <w:bottom w:val="none" w:sz="0" w:space="0" w:color="auto"/>
            <w:right w:val="none" w:sz="0" w:space="0" w:color="auto"/>
          </w:divBdr>
        </w:div>
      </w:divsChild>
    </w:div>
    <w:div w:id="1206602814">
      <w:bodyDiv w:val="1"/>
      <w:marLeft w:val="225"/>
      <w:marRight w:val="225"/>
      <w:marTop w:val="0"/>
      <w:marBottom w:val="0"/>
      <w:divBdr>
        <w:top w:val="none" w:sz="0" w:space="0" w:color="auto"/>
        <w:left w:val="none" w:sz="0" w:space="0" w:color="auto"/>
        <w:bottom w:val="none" w:sz="0" w:space="0" w:color="auto"/>
        <w:right w:val="none" w:sz="0" w:space="0" w:color="auto"/>
      </w:divBdr>
      <w:divsChild>
        <w:div w:id="2127965703">
          <w:marLeft w:val="0"/>
          <w:marRight w:val="0"/>
          <w:marTop w:val="0"/>
          <w:marBottom w:val="0"/>
          <w:divBdr>
            <w:top w:val="none" w:sz="0" w:space="0" w:color="auto"/>
            <w:left w:val="none" w:sz="0" w:space="0" w:color="auto"/>
            <w:bottom w:val="none" w:sz="0" w:space="0" w:color="auto"/>
            <w:right w:val="none" w:sz="0" w:space="0" w:color="auto"/>
          </w:divBdr>
        </w:div>
      </w:divsChild>
    </w:div>
    <w:div w:id="1531526758">
      <w:bodyDiv w:val="1"/>
      <w:marLeft w:val="225"/>
      <w:marRight w:val="225"/>
      <w:marTop w:val="0"/>
      <w:marBottom w:val="0"/>
      <w:divBdr>
        <w:top w:val="none" w:sz="0" w:space="0" w:color="auto"/>
        <w:left w:val="none" w:sz="0" w:space="0" w:color="auto"/>
        <w:bottom w:val="none" w:sz="0" w:space="0" w:color="auto"/>
        <w:right w:val="none" w:sz="0" w:space="0" w:color="auto"/>
      </w:divBdr>
      <w:divsChild>
        <w:div w:id="1328900609">
          <w:marLeft w:val="0"/>
          <w:marRight w:val="0"/>
          <w:marTop w:val="0"/>
          <w:marBottom w:val="0"/>
          <w:divBdr>
            <w:top w:val="none" w:sz="0" w:space="0" w:color="auto"/>
            <w:left w:val="none" w:sz="0" w:space="0" w:color="auto"/>
            <w:bottom w:val="none" w:sz="0" w:space="0" w:color="auto"/>
            <w:right w:val="none" w:sz="0" w:space="0" w:color="auto"/>
          </w:divBdr>
        </w:div>
      </w:divsChild>
    </w:div>
    <w:div w:id="1566644050">
      <w:bodyDiv w:val="1"/>
      <w:marLeft w:val="225"/>
      <w:marRight w:val="225"/>
      <w:marTop w:val="0"/>
      <w:marBottom w:val="0"/>
      <w:divBdr>
        <w:top w:val="none" w:sz="0" w:space="0" w:color="auto"/>
        <w:left w:val="none" w:sz="0" w:space="0" w:color="auto"/>
        <w:bottom w:val="none" w:sz="0" w:space="0" w:color="auto"/>
        <w:right w:val="none" w:sz="0" w:space="0" w:color="auto"/>
      </w:divBdr>
      <w:divsChild>
        <w:div w:id="1457719829">
          <w:marLeft w:val="0"/>
          <w:marRight w:val="0"/>
          <w:marTop w:val="0"/>
          <w:marBottom w:val="0"/>
          <w:divBdr>
            <w:top w:val="none" w:sz="0" w:space="0" w:color="auto"/>
            <w:left w:val="none" w:sz="0" w:space="0" w:color="auto"/>
            <w:bottom w:val="none" w:sz="0" w:space="0" w:color="auto"/>
            <w:right w:val="none" w:sz="0" w:space="0" w:color="auto"/>
          </w:divBdr>
        </w:div>
      </w:divsChild>
    </w:div>
    <w:div w:id="1751350823">
      <w:bodyDiv w:val="1"/>
      <w:marLeft w:val="0"/>
      <w:marRight w:val="0"/>
      <w:marTop w:val="0"/>
      <w:marBottom w:val="0"/>
      <w:divBdr>
        <w:top w:val="none" w:sz="0" w:space="0" w:color="auto"/>
        <w:left w:val="none" w:sz="0" w:space="0" w:color="auto"/>
        <w:bottom w:val="none" w:sz="0" w:space="0" w:color="auto"/>
        <w:right w:val="none" w:sz="0" w:space="0" w:color="auto"/>
      </w:divBdr>
    </w:div>
    <w:div w:id="1756900885">
      <w:bodyDiv w:val="1"/>
      <w:marLeft w:val="0"/>
      <w:marRight w:val="0"/>
      <w:marTop w:val="0"/>
      <w:marBottom w:val="0"/>
      <w:divBdr>
        <w:top w:val="none" w:sz="0" w:space="0" w:color="auto"/>
        <w:left w:val="none" w:sz="0" w:space="0" w:color="auto"/>
        <w:bottom w:val="none" w:sz="0" w:space="0" w:color="auto"/>
        <w:right w:val="none" w:sz="0" w:space="0" w:color="auto"/>
      </w:divBdr>
    </w:div>
    <w:div w:id="1758166141">
      <w:bodyDiv w:val="1"/>
      <w:marLeft w:val="0"/>
      <w:marRight w:val="0"/>
      <w:marTop w:val="0"/>
      <w:marBottom w:val="0"/>
      <w:divBdr>
        <w:top w:val="none" w:sz="0" w:space="0" w:color="auto"/>
        <w:left w:val="none" w:sz="0" w:space="0" w:color="auto"/>
        <w:bottom w:val="none" w:sz="0" w:space="0" w:color="auto"/>
        <w:right w:val="none" w:sz="0" w:space="0" w:color="auto"/>
      </w:divBdr>
    </w:div>
    <w:div w:id="1771773991">
      <w:bodyDiv w:val="1"/>
      <w:marLeft w:val="0"/>
      <w:marRight w:val="0"/>
      <w:marTop w:val="0"/>
      <w:marBottom w:val="0"/>
      <w:divBdr>
        <w:top w:val="none" w:sz="0" w:space="0" w:color="auto"/>
        <w:left w:val="none" w:sz="0" w:space="0" w:color="auto"/>
        <w:bottom w:val="none" w:sz="0" w:space="0" w:color="auto"/>
        <w:right w:val="none" w:sz="0" w:space="0" w:color="auto"/>
      </w:divBdr>
    </w:div>
    <w:div w:id="1799301613">
      <w:bodyDiv w:val="1"/>
      <w:marLeft w:val="0"/>
      <w:marRight w:val="0"/>
      <w:marTop w:val="0"/>
      <w:marBottom w:val="0"/>
      <w:divBdr>
        <w:top w:val="none" w:sz="0" w:space="0" w:color="auto"/>
        <w:left w:val="none" w:sz="0" w:space="0" w:color="auto"/>
        <w:bottom w:val="none" w:sz="0" w:space="0" w:color="auto"/>
        <w:right w:val="none" w:sz="0" w:space="0" w:color="auto"/>
      </w:divBdr>
    </w:div>
    <w:div w:id="188489969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93444">
          <w:marLeft w:val="0"/>
          <w:marRight w:val="0"/>
          <w:marTop w:val="0"/>
          <w:marBottom w:val="0"/>
          <w:divBdr>
            <w:top w:val="none" w:sz="0" w:space="0" w:color="auto"/>
            <w:left w:val="none" w:sz="0" w:space="0" w:color="auto"/>
            <w:bottom w:val="none" w:sz="0" w:space="0" w:color="auto"/>
            <w:right w:val="none" w:sz="0" w:space="0" w:color="auto"/>
          </w:divBdr>
        </w:div>
      </w:divsChild>
    </w:div>
    <w:div w:id="1937514959">
      <w:bodyDiv w:val="1"/>
      <w:marLeft w:val="225"/>
      <w:marRight w:val="225"/>
      <w:marTop w:val="0"/>
      <w:marBottom w:val="0"/>
      <w:divBdr>
        <w:top w:val="none" w:sz="0" w:space="0" w:color="auto"/>
        <w:left w:val="none" w:sz="0" w:space="0" w:color="auto"/>
        <w:bottom w:val="none" w:sz="0" w:space="0" w:color="auto"/>
        <w:right w:val="none" w:sz="0" w:space="0" w:color="auto"/>
      </w:divBdr>
      <w:divsChild>
        <w:div w:id="982857014">
          <w:marLeft w:val="0"/>
          <w:marRight w:val="0"/>
          <w:marTop w:val="0"/>
          <w:marBottom w:val="0"/>
          <w:divBdr>
            <w:top w:val="none" w:sz="0" w:space="0" w:color="auto"/>
            <w:left w:val="none" w:sz="0" w:space="0" w:color="auto"/>
            <w:bottom w:val="none" w:sz="0" w:space="0" w:color="auto"/>
            <w:right w:val="none" w:sz="0" w:space="0" w:color="auto"/>
          </w:divBdr>
        </w:div>
      </w:divsChild>
    </w:div>
    <w:div w:id="1963345337">
      <w:bodyDiv w:val="1"/>
      <w:marLeft w:val="225"/>
      <w:marRight w:val="225"/>
      <w:marTop w:val="0"/>
      <w:marBottom w:val="0"/>
      <w:divBdr>
        <w:top w:val="none" w:sz="0" w:space="0" w:color="auto"/>
        <w:left w:val="none" w:sz="0" w:space="0" w:color="auto"/>
        <w:bottom w:val="none" w:sz="0" w:space="0" w:color="auto"/>
        <w:right w:val="none" w:sz="0" w:space="0" w:color="auto"/>
      </w:divBdr>
      <w:divsChild>
        <w:div w:id="223493334">
          <w:marLeft w:val="0"/>
          <w:marRight w:val="0"/>
          <w:marTop w:val="0"/>
          <w:marBottom w:val="0"/>
          <w:divBdr>
            <w:top w:val="none" w:sz="0" w:space="0" w:color="auto"/>
            <w:left w:val="none" w:sz="0" w:space="0" w:color="auto"/>
            <w:bottom w:val="none" w:sz="0" w:space="0" w:color="auto"/>
            <w:right w:val="none" w:sz="0" w:space="0" w:color="auto"/>
          </w:divBdr>
        </w:div>
      </w:divsChild>
    </w:div>
    <w:div w:id="20904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02759-5017-4C34-992E-EC77D48B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6821</Words>
  <Characters>3888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Palyginamoji analizė</vt:lpstr>
      <vt:lpstr>Palyginamoji analizė</vt:lpstr>
    </vt:vector>
  </TitlesOfParts>
  <Company>Soc. apsaugos ir darbo min.</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2019-02-22T12:26:00Z</dcterms:created>
  <dc:creator>LR SADM</dc:creator>
  <cp:lastModifiedBy>Gintarė Bužinskaitė</cp:lastModifiedBy>
  <cp:lastPrinted>2011-01-28T07:42:00Z</cp:lastPrinted>
  <dcterms:modified xsi:type="dcterms:W3CDTF">2019-05-15T05:13:00Z</dcterms:modified>
  <cp:revision>46</cp:revision>
  <dc:title>Palyginamoji analizė</dc:title>
</cp:coreProperties>
</file>