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d3e29a216824dbba076daf4e9748db1"/>
        <w:lock w:val="sdtLocked"/>
        <w:richText/>
      </w:sdtPr>
      <w:sdtContent>
        <w:p>
          <w:pPr>
            <w:keepNext/>
            <w:ind w:left="6946" w:hanging="567"/>
            <w:jc w:val="right"/>
            <w:outlineLvl w:val="1"/>
            <w:rPr>
              <w:b/>
              <w:szCs w:val="24"/>
            </w:rPr>
          </w:pPr>
          <w:r>
            <w:rPr>
              <w:b/>
              <w:szCs w:val="24"/>
            </w:rPr>
            <w:t xml:space="preserve">Projektas </w:t>
          </w:r>
        </w:p>
        <w:p>
          <w:pPr>
            <w:rPr>
              <w:szCs w:val="24"/>
            </w:rPr>
          </w:pPr>
        </w:p>
        <w:p>
          <w:pPr>
            <w:jc w:val="center"/>
            <w:rPr>
              <w:b/>
              <w:caps/>
              <w:spacing w:val="40"/>
              <w:szCs w:val="24"/>
            </w:rPr>
          </w:pPr>
        </w:p>
        <w:p>
          <w:pPr>
            <w:jc w:val="center"/>
            <w:rPr>
              <w:b/>
              <w:caps/>
              <w:szCs w:val="24"/>
            </w:rPr>
          </w:pPr>
          <w:r>
            <w:rPr>
              <w:b/>
              <w:caps/>
              <w:szCs w:val="24"/>
            </w:rPr>
            <w:t>LIETUVOS RESPUBLIKOS VYRIAUSYBĖ</w:t>
          </w:r>
        </w:p>
        <w:p>
          <w:pPr>
            <w:jc w:val="center"/>
            <w:rPr>
              <w:b/>
              <w:caps/>
              <w:szCs w:val="24"/>
            </w:rPr>
          </w:pPr>
        </w:p>
        <w:p>
          <w:pPr>
            <w:jc w:val="center"/>
            <w:rPr>
              <w:b/>
              <w:caps/>
              <w:szCs w:val="24"/>
            </w:rPr>
          </w:pPr>
          <w:r>
            <w:rPr>
              <w:b/>
              <w:caps/>
              <w:szCs w:val="24"/>
            </w:rPr>
            <w:t>NUTARIMAS</w:t>
          </w:r>
        </w:p>
        <w:p>
          <w:pPr>
            <w:jc w:val="center"/>
            <w:rPr>
              <w:b/>
              <w:bCs/>
              <w:color w:val="000000"/>
              <w:szCs w:val="24"/>
              <w:lang w:eastAsia="lt-LT"/>
            </w:rPr>
          </w:pPr>
          <w:r>
            <w:rPr>
              <w:b/>
              <w:szCs w:val="24"/>
            </w:rPr>
            <w:t xml:space="preserve">DĖL NEKILNOJAMOJO TURTO PERDAVIMO BIUDŽETINEI ĮSTAIGAI NACIONALINEI ŠVIETIMO AGENTŪRAI </w:t>
          </w:r>
          <w:r>
            <w:rPr>
              <w:b/>
              <w:bCs/>
              <w:color w:val="000000"/>
              <w:szCs w:val="24"/>
              <w:lang w:eastAsia="lt-LT"/>
            </w:rPr>
            <w:t>VALDYTI, NAUDOTI IR DISPONUOTI</w:t>
          </w:r>
        </w:p>
        <w:p>
          <w:pPr>
            <w:ind w:firstLine="60"/>
            <w:jc w:val="center"/>
            <w:rPr>
              <w:color w:val="000000"/>
              <w:szCs w:val="24"/>
              <w:lang w:eastAsia="lt-LT"/>
            </w:rPr>
          </w:pPr>
          <w:r>
            <w:rPr>
              <w:b/>
              <w:bCs/>
              <w:color w:val="000000"/>
              <w:szCs w:val="24"/>
              <w:lang w:eastAsia="lt-LT"/>
            </w:rPr>
            <w:t>JUO PATIKĖJIMO TEISE</w:t>
          </w:r>
        </w:p>
        <w:p>
          <w:pPr>
            <w:jc w:val="center"/>
            <w:rPr>
              <w:b/>
              <w:szCs w:val="24"/>
            </w:rPr>
          </w:pPr>
        </w:p>
        <w:p>
          <w:pPr>
            <w:jc w:val="center"/>
            <w:rPr>
              <w:b/>
              <w:szCs w:val="24"/>
            </w:rPr>
          </w:pPr>
        </w:p>
        <w:p>
          <w:pPr>
            <w:jc w:val="center"/>
            <w:rPr>
              <w:szCs w:val="24"/>
            </w:rPr>
          </w:pPr>
          <w:r>
            <w:rPr>
              <w:szCs w:val="24"/>
            </w:rPr>
            <w:t xml:space="preserve">2019 m.                                   d.  Nr. </w:t>
          </w:r>
        </w:p>
        <w:p>
          <w:pPr>
            <w:jc w:val="center"/>
            <w:rPr>
              <w:szCs w:val="24"/>
            </w:rPr>
          </w:pPr>
          <w:r>
            <w:rPr>
              <w:szCs w:val="24"/>
            </w:rPr>
            <w:t>Vilnius</w:t>
          </w:r>
        </w:p>
        <w:p>
          <w:pPr>
            <w:rPr>
              <w:szCs w:val="24"/>
            </w:rPr>
          </w:pPr>
        </w:p>
        <w:sdt>
          <w:sdtPr>
            <w:alias w:val="preambule"/>
            <w:tag w:val="part_dce1b45935de4a21b7c7e11b3ccecdbb"/>
            <w:lock w:val="sdtLocked"/>
            <w:richText/>
          </w:sdtPr>
          <w:sdtContent>
            <w:p>
              <w:pPr>
                <w:spacing w:line="360" w:lineRule="auto"/>
                <w:ind w:firstLine="567"/>
                <w:jc w:val="both"/>
                <w:rPr>
                  <w:spacing w:val="60"/>
                  <w:szCs w:val="24"/>
                </w:rPr>
              </w:pPr>
              <w:r>
                <w:rPr>
                  <w:szCs w:val="24"/>
                </w:rPr>
                <w:t>Vadovaudamasi Lietuvos Respublikos valstybės ir savivaldybių turto valdymo, naudojimo ir disponavimo juo įstatymo 10 straipsniu</w:t>
              </w:r>
              <w:r>
                <w:rPr>
                  <w:color w:val="000000"/>
                </w:rPr>
                <w:t xml:space="preserve"> </w:t>
              </w:r>
              <w:r>
                <w:rPr>
                  <w:szCs w:val="24"/>
                </w:rPr>
                <w:t xml:space="preserve">ir įgyvendindama </w:t>
              </w:r>
              <w:r>
                <w:rPr>
                  <w:color w:val="000000"/>
                  <w:szCs w:val="24"/>
                  <w:lang w:eastAsia="lt-LT"/>
                </w:rPr>
                <w:t xml:space="preserve">Valstybės turto perdavimo valdyti, naudoti ir disponuoti juo patikėjimo teise tvarkos aprašą, patvirtintą Lietuvos Respublikos Vyriausybės 2001 m. sausio 5 d. nutarimu Nr. 16 „Dėl Valstybės turto perdavimo valdyti, naudoti ir disponuoti juo patikėjimo teise tvarkos aprašo patvirtinimo“, </w:t>
              </w:r>
              <w:r>
                <w:rPr>
                  <w:szCs w:val="24"/>
                </w:rPr>
                <w:t>Lietuvos Respublikos Vyriausybė</w:t>
              </w:r>
              <w:r>
                <w:rPr>
                  <w:spacing w:val="60"/>
                  <w:szCs w:val="24"/>
                </w:rPr>
                <w:t xml:space="preserve"> nutaria:</w:t>
              </w:r>
            </w:p>
            <w:p>
              <w:pPr>
                <w:rPr>
                  <w:sz w:val="2"/>
                  <w:szCs w:val="2"/>
                </w:rPr>
              </w:pPr>
            </w:p>
          </w:sdtContent>
        </w:sdt>
        <w:sdt>
          <w:sdtPr>
            <w:alias w:val="1 p."/>
            <w:tag w:val="part_b90bdaef70ba4a7eabe44c3a90ada620"/>
            <w:lock w:val="sdtLocked"/>
            <w:richText/>
          </w:sdtPr>
          <w:sdtContent>
            <w:p>
              <w:pPr>
                <w:tabs>
                  <w:tab w:val="left" w:pos="851"/>
                </w:tabs>
                <w:overflowPunct w:val="0"/>
                <w:spacing w:line="360" w:lineRule="auto"/>
                <w:ind w:firstLine="567"/>
                <w:jc w:val="both"/>
                <w:textAlignment w:val="baseline"/>
                <w:rPr>
                  <w:bCs/>
                  <w:color w:val="000000"/>
                  <w:szCs w:val="24"/>
                  <w:lang w:eastAsia="lt-LT"/>
                </w:rPr>
              </w:pPr>
              <w:sdt>
                <w:sdtPr>
                  <w:alias w:val="Numeris"/>
                  <w:tag w:val="nr_b90bdaef70ba4a7eabe44c3a90ada620"/>
                  <w:lock w:val="sdtLocked"/>
                  <w:richText/>
                </w:sdtPr>
                <w:sdtContent>
                  <w:r>
                    <w:rPr>
                      <w:bCs/>
                      <w:color w:val="000000"/>
                      <w:szCs w:val="24"/>
                      <w:lang w:eastAsia="lt-LT"/>
                    </w:rPr>
                    <w:t>1</w:t>
                  </w:r>
                </w:sdtContent>
              </w:sdt>
              <w:r>
                <w:rPr>
                  <w:bCs/>
                  <w:color w:val="000000"/>
                  <w:szCs w:val="24"/>
                  <w:lang w:eastAsia="lt-LT"/>
                </w:rPr>
                <w:t>.</w:t>
                <w:tab/>
                <w:t>Perduoti biudžetinei įstaigai Nacionalinei švietimo agentūrai valstybei nuosavybės teise priklausantį ir šiuo metu viešosios įstaigos Vilniaus technologijų ir dizaino kolegijos patikėjimo teise valdomą nekilnojamąjį turtą (pagal priedą) valdyti, naudoti ir disponuoti juo patikėjimo teise biudžetinės įstaigos Nacionalinės švietimo agentūros šiuo metu nuostatuose numatytai veiklai vykdyti.</w:t>
              </w:r>
            </w:p>
          </w:sdtContent>
        </w:sdt>
        <w:sdt>
          <w:sdtPr>
            <w:alias w:val="2 p."/>
            <w:tag w:val="part_0f7c4f7a9abb46ceba17ee773455a49c"/>
            <w:lock w:val="sdtLocked"/>
            <w:richText/>
          </w:sdtPr>
          <w:sdtContent>
            <w:p>
              <w:pPr>
                <w:tabs>
                  <w:tab w:val="left" w:pos="851"/>
                </w:tabs>
                <w:overflowPunct w:val="0"/>
                <w:spacing w:line="360" w:lineRule="auto"/>
                <w:ind w:firstLine="567"/>
                <w:jc w:val="both"/>
                <w:textAlignment w:val="baseline"/>
                <w:rPr>
                  <w:bCs/>
                  <w:color w:val="000000"/>
                  <w:szCs w:val="24"/>
                  <w:lang w:eastAsia="lt-LT"/>
                </w:rPr>
              </w:pPr>
              <w:sdt>
                <w:sdtPr>
                  <w:alias w:val="Numeris"/>
                  <w:tag w:val="nr_0f7c4f7a9abb46ceba17ee773455a49c"/>
                  <w:lock w:val="sdtLocked"/>
                  <w:richText/>
                </w:sdtPr>
                <w:sdtContent>
                  <w:r>
                    <w:rPr>
                      <w:bCs/>
                      <w:color w:val="000000"/>
                      <w:szCs w:val="24"/>
                      <w:lang w:eastAsia="lt-LT"/>
                    </w:rPr>
                    <w:t>2</w:t>
                  </w:r>
                </w:sdtContent>
              </w:sdt>
              <w:r>
                <w:rPr>
                  <w:bCs/>
                  <w:color w:val="000000"/>
                  <w:szCs w:val="24"/>
                  <w:lang w:eastAsia="lt-LT"/>
                </w:rPr>
                <w:t>.</w:t>
                <w:tab/>
              </w:r>
              <w:r>
                <w:rPr>
                  <w:color w:val="000000"/>
                </w:rPr>
                <w:t xml:space="preserve"> Įgalioti viešąją įstaigą </w:t>
              </w:r>
              <w:r>
                <w:rPr>
                  <w:bCs/>
                  <w:color w:val="000000"/>
                  <w:szCs w:val="24"/>
                  <w:lang w:eastAsia="lt-LT"/>
                </w:rPr>
                <w:t xml:space="preserve">Vilniaus technologijų ir dizaino kolegiją </w:t>
              </w:r>
              <w:r>
                <w:rPr>
                  <w:color w:val="000000"/>
                </w:rPr>
                <w:t>pasirašyti šio nutarimo 1 punkte nurodyto turto perdavimo ir priėmimo aktą.</w:t>
              </w:r>
              <w:r>
                <w:rPr>
                  <w:bCs/>
                  <w:color w:val="000000"/>
                  <w:szCs w:val="24"/>
                  <w:lang w:eastAsia="lt-LT"/>
                </w:rPr>
                <w:t xml:space="preserve"> </w:t>
              </w:r>
            </w:p>
            <w:p>
              <w:pPr>
                <w:jc w:val="both"/>
                <w:rPr>
                  <w:spacing w:val="60"/>
                  <w:szCs w:val="24"/>
                </w:rPr>
              </w:pPr>
            </w:p>
            <w:p>
              <w:pPr>
                <w:tabs>
                  <w:tab w:val="center" w:pos="4153"/>
                  <w:tab w:val="right" w:pos="8306"/>
                </w:tabs>
                <w:jc w:val="both"/>
                <w:rPr>
                  <w:szCs w:val="24"/>
                </w:rPr>
              </w:pPr>
            </w:p>
            <w:p>
              <w:pPr>
                <w:ind w:firstLine="709"/>
                <w:jc w:val="both"/>
                <w:rPr>
                  <w:szCs w:val="24"/>
                </w:rPr>
              </w:pPr>
            </w:p>
            <w:p>
              <w:pPr>
                <w:tabs>
                  <w:tab w:val="center" w:pos="4153"/>
                  <w:tab w:val="right" w:pos="8306"/>
                </w:tabs>
                <w:ind w:firstLine="720"/>
                <w:jc w:val="both"/>
                <w:rPr>
                  <w:szCs w:val="24"/>
                </w:rPr>
              </w:pPr>
            </w:p>
            <w:p>
              <w:pPr>
                <w:jc w:val="both"/>
                <w:rPr>
                  <w:szCs w:val="24"/>
                </w:rPr>
              </w:pPr>
            </w:p>
          </w:sdtContent>
        </w:sdt>
        <w:sdt>
          <w:sdtPr>
            <w:alias w:val="signatura"/>
            <w:tag w:val="part_41cbd88200bf40379164a16a77408616"/>
            <w:lock w:val="sdtLocked"/>
            <w:richText/>
          </w:sdtPr>
          <w:sdtContent>
            <w:p>
              <w:pPr>
                <w:jc w:val="both"/>
                <w:rPr>
                  <w:szCs w:val="24"/>
                </w:rPr>
              </w:pPr>
              <w:r>
                <w:rPr>
                  <w:szCs w:val="24"/>
                </w:rPr>
                <w:t>Ministras Pirmininkas</w:t>
              </w:r>
            </w:p>
            <w:p>
              <w:pPr>
                <w:jc w:val="both"/>
                <w:rPr>
                  <w:szCs w:val="24"/>
                </w:rPr>
              </w:pPr>
            </w:p>
            <w:p>
              <w:pPr>
                <w:jc w:val="both"/>
                <w:rPr>
                  <w:szCs w:val="24"/>
                </w:rPr>
              </w:pPr>
            </w:p>
            <w:p>
              <w:pPr>
                <w:jc w:val="both"/>
                <w:rPr>
                  <w:szCs w:val="24"/>
                </w:rPr>
              </w:pPr>
            </w:p>
            <w:p>
              <w:pPr>
                <w:jc w:val="both"/>
                <w:rPr>
                  <w:szCs w:val="24"/>
                </w:rPr>
              </w:pPr>
              <w:r>
                <w:rPr>
                  <w:szCs w:val="24"/>
                </w:rPr>
                <w:t xml:space="preserve">Švietimo, mokslo ir sporto ministras </w:t>
              </w:r>
            </w:p>
            <w:p>
              <w:pPr>
                <w:jc w:val="both"/>
                <w:rPr>
                  <w:szCs w:val="24"/>
                </w:rPr>
              </w:pPr>
            </w:p>
            <w:p>
              <w:pPr>
                <w:jc w:val="both"/>
                <w:rPr>
                  <w:szCs w:val="24"/>
                </w:rPr>
              </w:pPr>
            </w:p>
            <w:p>
              <w:pPr>
                <w:jc w:val="both"/>
                <w:rPr>
                  <w:szCs w:val="24"/>
                </w:rPr>
                <w:sectPr>
                  <w:pgSz w:w="11907" w:h="16840"/>
                  <w:pgMar w:top="1134" w:right="567" w:bottom="1134" w:left="1701" w:header="567" w:footer="567" w:gutter="0"/>
                  <w:cols w:space="1296"/>
                </w:sectPr>
              </w:pPr>
            </w:p>
          </w:sdtContent>
        </w:sdt>
      </w:sdtContent>
    </w:sdt>
    <w:sdt>
      <w:sdtPr>
        <w:alias w:val="pr."/>
        <w:tag w:val="part_3b60a9b624cb430c8eccfa9252be9951"/>
        <w:lock w:val="sdtLocked"/>
        <w:richText/>
      </w:sdtPr>
      <w:sdtContent>
        <w:p>
          <w:pPr>
            <w:ind w:left="9072" w:firstLine="1296"/>
            <w:jc w:val="both"/>
            <w:rPr>
              <w:rFonts w:eastAsia="Calibri"/>
              <w:sz w:val="20"/>
            </w:rPr>
          </w:pPr>
          <w:r>
            <w:rPr>
              <w:rFonts w:eastAsia="Calibri"/>
              <w:sz w:val="20"/>
            </w:rPr>
            <w:t>Lietuvos Respublikos Vyriausybės</w:t>
          </w:r>
        </w:p>
        <w:p>
          <w:pPr>
            <w:tabs>
              <w:tab w:val="left" w:pos="10065"/>
              <w:tab w:val="left" w:pos="11199"/>
            </w:tabs>
            <w:ind w:firstLine="10365"/>
            <w:jc w:val="both"/>
            <w:rPr>
              <w:rFonts w:eastAsia="Calibri"/>
              <w:sz w:val="20"/>
            </w:rPr>
          </w:pPr>
          <w:r>
            <w:rPr>
              <w:rFonts w:eastAsia="Calibri"/>
              <w:sz w:val="20"/>
            </w:rPr>
            <w:t xml:space="preserve">2019 m.               d. nutarimo Nr.</w:t>
          </w:r>
        </w:p>
        <w:p>
          <w:pPr>
            <w:ind w:firstLine="10372"/>
            <w:jc w:val="both"/>
            <w:rPr>
              <w:rFonts w:eastAsia="Calibri"/>
              <w:sz w:val="20"/>
            </w:rPr>
          </w:pPr>
          <w:r>
            <w:rPr>
              <w:rFonts w:eastAsia="Calibri"/>
              <w:sz w:val="20"/>
            </w:rPr>
            <w:t>priedas</w:t>
          </w:r>
        </w:p>
        <w:p>
          <w:pPr>
            <w:rPr>
              <w:rFonts w:eastAsia="Calibri"/>
              <w:sz w:val="20"/>
            </w:rPr>
          </w:pPr>
        </w:p>
        <w:p>
          <w:pPr>
            <w:jc w:val="center"/>
            <w:rPr>
              <w:rFonts w:eastAsia="Calibri"/>
              <w:b/>
              <w:sz w:val="22"/>
              <w:szCs w:val="22"/>
            </w:rPr>
          </w:pPr>
          <w:sdt>
            <w:sdtPr>
              <w:alias w:val="Pavadinimas"/>
              <w:tag w:val="title_3b60a9b624cb430c8eccfa9252be9951"/>
              <w:lock w:val="sdtLocked"/>
              <w:richText/>
            </w:sdtPr>
            <w:sdtContent>
              <w:r>
                <w:rPr>
                  <w:rFonts w:eastAsia="Calibri"/>
                  <w:b/>
                  <w:sz w:val="22"/>
                  <w:szCs w:val="22"/>
                </w:rPr>
                <w:t xml:space="preserve">NEKILNOJAMOJO TURTO, PERDUODAMO </w:t>
              </w:r>
              <w:r>
                <w:rPr>
                  <w:b/>
                  <w:bCs/>
                  <w:color w:val="000000"/>
                  <w:szCs w:val="24"/>
                  <w:lang w:eastAsia="lt-LT"/>
                </w:rPr>
                <w:t>VALDYTI, NAUDOTI IR DISPONUOTI JUO PATIKĖJIMO TEISE</w:t>
              </w:r>
              <w:r>
                <w:rPr>
                  <w:rFonts w:eastAsia="Calibri"/>
                  <w:b/>
                  <w:sz w:val="22"/>
                  <w:szCs w:val="22"/>
                </w:rPr>
                <w:t>, SĄRAŠAS</w:t>
              </w:r>
            </w:sdtContent>
          </w:sdt>
        </w:p>
        <w:p>
          <w:pPr>
            <w:jc w:val="center"/>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gridCol w:w="1985"/>
            <w:gridCol w:w="2239"/>
            <w:gridCol w:w="2155"/>
            <w:gridCol w:w="1949"/>
          </w:tblGrid>
          <w:tr>
            <w:trPr>
              <w:trHeight w:val="951"/>
            </w:trPr>
            <w:tc>
              <w:tcPr>
                <w:tcW w:w="562" w:type="dxa"/>
                <w:shd w:val="clear" w:color="auto" w:fill="auto"/>
              </w:tcPr>
              <w:p>
                <w:pPr>
                  <w:jc w:val="center"/>
                  <w:rPr>
                    <w:rFonts w:eastAsia="Calibri"/>
                    <w:szCs w:val="24"/>
                  </w:rPr>
                </w:pPr>
                <w:r>
                  <w:rPr>
                    <w:rFonts w:eastAsia="Calibri"/>
                    <w:szCs w:val="24"/>
                  </w:rPr>
                  <w:t>Eil.</w:t>
                </w:r>
              </w:p>
              <w:p>
                <w:pPr>
                  <w:jc w:val="center"/>
                  <w:rPr>
                    <w:rFonts w:eastAsia="Calibri"/>
                    <w:szCs w:val="24"/>
                  </w:rPr>
                </w:pPr>
                <w:r>
                  <w:rPr>
                    <w:rFonts w:eastAsia="Calibri"/>
                    <w:szCs w:val="24"/>
                  </w:rPr>
                  <w:t>Nr.</w:t>
                </w:r>
              </w:p>
            </w:tc>
            <w:tc>
              <w:tcPr>
                <w:tcW w:w="5103" w:type="dxa"/>
                <w:shd w:val="clear" w:color="auto" w:fill="auto"/>
              </w:tcPr>
              <w:p>
                <w:pPr>
                  <w:jc w:val="center"/>
                  <w:rPr>
                    <w:rFonts w:eastAsia="Calibri"/>
                    <w:szCs w:val="24"/>
                  </w:rPr>
                </w:pPr>
                <w:r>
                  <w:rPr>
                    <w:rFonts w:eastAsia="Calibri"/>
                    <w:szCs w:val="24"/>
                  </w:rPr>
                  <w:t>Nekilnojamojo turto pavadinimas ir adresas</w:t>
                </w:r>
              </w:p>
            </w:tc>
            <w:tc>
              <w:tcPr>
                <w:tcW w:w="1985" w:type="dxa"/>
              </w:tcPr>
              <w:p>
                <w:pPr>
                  <w:spacing w:line="276" w:lineRule="auto"/>
                  <w:jc w:val="center"/>
                  <w:rPr>
                    <w:rFonts w:eastAsia="Calibri"/>
                    <w:szCs w:val="24"/>
                  </w:rPr>
                </w:pPr>
                <w:r>
                  <w:rPr>
                    <w:rFonts w:eastAsia="Calibri"/>
                    <w:szCs w:val="24"/>
                  </w:rPr>
                  <w:t>Unikalus Nr.</w:t>
                </w:r>
              </w:p>
            </w:tc>
            <w:tc>
              <w:tcPr>
                <w:tcW w:w="2239" w:type="dxa"/>
              </w:tcPr>
              <w:p>
                <w:pPr>
                  <w:spacing w:line="276" w:lineRule="auto"/>
                  <w:jc w:val="center"/>
                  <w:rPr>
                    <w:rFonts w:eastAsia="Calibri"/>
                    <w:szCs w:val="24"/>
                  </w:rPr>
                </w:pPr>
                <w:r>
                  <w:rPr>
                    <w:rFonts w:eastAsia="Calibri"/>
                    <w:szCs w:val="24"/>
                  </w:rPr>
                  <w:t>Bendras plotas / užstatytas plotas, kv. m</w:t>
                </w:r>
              </w:p>
            </w:tc>
            <w:tc>
              <w:tcPr>
                <w:tcW w:w="2155" w:type="dxa"/>
              </w:tcPr>
              <w:p>
                <w:pPr>
                  <w:spacing w:line="276" w:lineRule="auto"/>
                  <w:jc w:val="center"/>
                  <w:rPr>
                    <w:rFonts w:eastAsia="Calibri"/>
                    <w:szCs w:val="24"/>
                  </w:rPr>
                </w:pPr>
                <w:r>
                  <w:rPr>
                    <w:rFonts w:eastAsia="Calibri"/>
                    <w:szCs w:val="24"/>
                  </w:rPr>
                  <w:t>Perduodamas plotas, kv. m</w:t>
                </w:r>
              </w:p>
            </w:tc>
            <w:tc>
              <w:tcPr>
                <w:tcW w:w="1949" w:type="dxa"/>
                <w:shd w:val="clear" w:color="auto" w:fill="auto"/>
              </w:tcPr>
              <w:p>
                <w:pPr>
                  <w:jc w:val="center"/>
                  <w:rPr>
                    <w:rFonts w:eastAsia="Calibri"/>
                    <w:szCs w:val="24"/>
                  </w:rPr>
                </w:pPr>
                <w:r>
                  <w:rPr>
                    <w:rFonts w:eastAsia="Calibri"/>
                    <w:szCs w:val="24"/>
                  </w:rPr>
                  <w:t>Likutinė vertė Eur,</w:t>
                </w:r>
              </w:p>
              <w:p>
                <w:pPr>
                  <w:jc w:val="center"/>
                  <w:rPr>
                    <w:rFonts w:eastAsia="Calibri"/>
                    <w:szCs w:val="24"/>
                    <w:highlight w:val="yellow"/>
                  </w:rPr>
                </w:pPr>
                <w:r>
                  <w:rPr>
                    <w:rFonts w:eastAsia="Calibri"/>
                    <w:szCs w:val="24"/>
                  </w:rPr>
                  <w:t>2019-10-31</w:t>
                </w:r>
              </w:p>
            </w:tc>
          </w:tr>
          <w:tr>
            <w:tc>
              <w:tcPr>
                <w:tcW w:w="562" w:type="dxa"/>
                <w:shd w:val="clear" w:color="auto" w:fill="auto"/>
              </w:tcPr>
              <w:p>
                <w:pPr>
                  <w:jc w:val="center"/>
                  <w:rPr>
                    <w:rFonts w:eastAsia="Calibri"/>
                    <w:szCs w:val="24"/>
                  </w:rPr>
                </w:pPr>
                <w:r>
                  <w:rPr>
                    <w:rFonts w:eastAsia="Calibri"/>
                    <w:szCs w:val="24"/>
                  </w:rPr>
                  <w:t>1.</w:t>
                </w:r>
              </w:p>
            </w:tc>
            <w:tc>
              <w:tcPr>
                <w:tcW w:w="5103" w:type="dxa"/>
                <w:shd w:val="clear" w:color="auto" w:fill="auto"/>
              </w:tcPr>
              <w:p>
                <w:pPr>
                  <w:rPr>
                    <w:rFonts w:eastAsia="Calibri"/>
                    <w:szCs w:val="24"/>
                  </w:rPr>
                </w:pPr>
                <w:r>
                  <w:rPr>
                    <w:rFonts w:eastAsia="Calibri"/>
                    <w:szCs w:val="24"/>
                  </w:rPr>
                  <w:t xml:space="preserve">Pastatas – Mokomasis korpusas  </w:t>
                </w:r>
              </w:p>
              <w:p>
                <w:pPr>
                  <w:rPr>
                    <w:rFonts w:eastAsia="Calibri"/>
                    <w:sz w:val="20"/>
                  </w:rPr>
                </w:pPr>
                <w:r>
                  <w:rPr>
                    <w:rFonts w:eastAsia="Calibri"/>
                    <w:szCs w:val="24"/>
                  </w:rPr>
                  <w:t xml:space="preserve">Vilnius, K. Kalinausko g. 7 </w:t>
                </w:r>
              </w:p>
            </w:tc>
            <w:tc>
              <w:tcPr>
                <w:tcW w:w="1985" w:type="dxa"/>
                <w:shd w:val="clear" w:color="auto" w:fill="auto"/>
              </w:tcPr>
              <w:p>
                <w:pPr>
                  <w:jc w:val="center"/>
                  <w:rPr>
                    <w:rFonts w:eastAsia="Calibri"/>
                    <w:sz w:val="20"/>
                  </w:rPr>
                </w:pPr>
                <w:r>
                  <w:rPr>
                    <w:rFonts w:eastAsia="Calibri"/>
                    <w:szCs w:val="24"/>
                  </w:rPr>
                  <w:t>1094-0379-7017</w:t>
                </w:r>
              </w:p>
            </w:tc>
            <w:tc>
              <w:tcPr>
                <w:tcW w:w="2239" w:type="dxa"/>
                <w:shd w:val="clear" w:color="auto" w:fill="auto"/>
              </w:tcPr>
              <w:p>
                <w:pPr>
                  <w:jc w:val="center"/>
                  <w:rPr>
                    <w:rFonts w:eastAsia="Calibri"/>
                    <w:szCs w:val="24"/>
                  </w:rPr>
                </w:pPr>
                <w:r>
                  <w:rPr>
                    <w:rFonts w:eastAsia="Calibri"/>
                    <w:szCs w:val="24"/>
                  </w:rPr>
                  <w:t xml:space="preserve">4482,57 </w:t>
                </w:r>
              </w:p>
              <w:p>
                <w:pPr>
                  <w:jc w:val="center"/>
                  <w:rPr>
                    <w:rFonts w:eastAsia="Calibri"/>
                    <w:szCs w:val="24"/>
                  </w:rPr>
                </w:pPr>
              </w:p>
            </w:tc>
            <w:tc>
              <w:tcPr>
                <w:tcW w:w="2155" w:type="dxa"/>
                <w:shd w:val="clear" w:color="auto" w:fill="auto"/>
              </w:tcPr>
              <w:p>
                <w:pPr>
                  <w:jc w:val="center"/>
                  <w:rPr>
                    <w:rFonts w:eastAsia="Calibri"/>
                    <w:szCs w:val="24"/>
                  </w:rPr>
                </w:pPr>
                <w:r>
                  <w:rPr>
                    <w:rFonts w:eastAsia="Calibri"/>
                    <w:color w:val="000000"/>
                    <w:szCs w:val="24"/>
                  </w:rPr>
                  <w:t xml:space="preserve">4482,57 </w:t>
                </w:r>
              </w:p>
            </w:tc>
            <w:tc>
              <w:tcPr>
                <w:tcW w:w="1949" w:type="dxa"/>
                <w:shd w:val="clear" w:color="auto" w:fill="auto"/>
              </w:tcPr>
              <w:p>
                <w:pPr>
                  <w:jc w:val="center"/>
                  <w:rPr>
                    <w:rFonts w:eastAsia="Calibri"/>
                    <w:szCs w:val="24"/>
                  </w:rPr>
                </w:pPr>
                <w:r>
                  <w:rPr>
                    <w:rFonts w:eastAsia="Calibri"/>
                    <w:szCs w:val="24"/>
                  </w:rPr>
                  <w:t>81 705,48</w:t>
                </w:r>
              </w:p>
            </w:tc>
          </w:tr>
          <w:tr>
            <w:tc>
              <w:tcPr>
                <w:tcW w:w="562" w:type="dxa"/>
                <w:shd w:val="clear" w:color="auto" w:fill="auto"/>
              </w:tcPr>
              <w:p>
                <w:pPr>
                  <w:jc w:val="center"/>
                  <w:rPr>
                    <w:rFonts w:eastAsia="Calibri"/>
                    <w:szCs w:val="24"/>
                  </w:rPr>
                </w:pPr>
                <w:r>
                  <w:rPr>
                    <w:rFonts w:eastAsia="Calibri"/>
                    <w:szCs w:val="24"/>
                  </w:rPr>
                  <w:t>2.</w:t>
                </w:r>
              </w:p>
            </w:tc>
            <w:tc>
              <w:tcPr>
                <w:tcW w:w="5103" w:type="dxa"/>
                <w:shd w:val="clear" w:color="auto" w:fill="auto"/>
              </w:tcPr>
              <w:p>
                <w:pPr>
                  <w:rPr>
                    <w:rFonts w:eastAsia="Calibri"/>
                    <w:szCs w:val="24"/>
                  </w:rPr>
                </w:pPr>
                <w:r>
                  <w:rPr>
                    <w:rFonts w:eastAsia="Calibri"/>
                    <w:szCs w:val="24"/>
                  </w:rPr>
                  <w:t xml:space="preserve">Pastatas – Mokomasis korpusas </w:t>
                </w:r>
              </w:p>
              <w:p>
                <w:pPr>
                  <w:rPr>
                    <w:rFonts w:eastAsia="Calibri"/>
                    <w:sz w:val="20"/>
                  </w:rPr>
                </w:pPr>
                <w:r>
                  <w:rPr>
                    <w:rFonts w:eastAsia="Calibri"/>
                    <w:szCs w:val="24"/>
                  </w:rPr>
                  <w:t xml:space="preserve">Vilnius, K. Kalinausko g. 7 </w:t>
                </w:r>
              </w:p>
            </w:tc>
            <w:tc>
              <w:tcPr>
                <w:tcW w:w="1985" w:type="dxa"/>
                <w:shd w:val="clear" w:color="auto" w:fill="auto"/>
              </w:tcPr>
              <w:p>
                <w:pPr>
                  <w:jc w:val="center"/>
                  <w:rPr>
                    <w:rFonts w:eastAsia="Calibri"/>
                    <w:sz w:val="20"/>
                  </w:rPr>
                </w:pPr>
                <w:r>
                  <w:rPr>
                    <w:rFonts w:eastAsia="Calibri"/>
                    <w:szCs w:val="24"/>
                  </w:rPr>
                  <w:t>1094-0379-7028</w:t>
                </w:r>
              </w:p>
            </w:tc>
            <w:tc>
              <w:tcPr>
                <w:tcW w:w="2239" w:type="dxa"/>
                <w:shd w:val="clear" w:color="auto" w:fill="auto"/>
              </w:tcPr>
              <w:p>
                <w:pPr>
                  <w:jc w:val="center"/>
                  <w:rPr>
                    <w:rFonts w:eastAsia="Calibri"/>
                    <w:szCs w:val="24"/>
                  </w:rPr>
                </w:pPr>
                <w:r>
                  <w:rPr>
                    <w:rFonts w:eastAsia="Calibri"/>
                    <w:szCs w:val="24"/>
                  </w:rPr>
                  <w:t xml:space="preserve">541,95 </w:t>
                </w:r>
              </w:p>
            </w:tc>
            <w:tc>
              <w:tcPr>
                <w:tcW w:w="2155" w:type="dxa"/>
                <w:shd w:val="clear" w:color="auto" w:fill="auto"/>
              </w:tcPr>
              <w:p>
                <w:pPr>
                  <w:jc w:val="center"/>
                  <w:rPr>
                    <w:rFonts w:eastAsia="Calibri"/>
                    <w:szCs w:val="24"/>
                  </w:rPr>
                </w:pPr>
                <w:r>
                  <w:rPr>
                    <w:rFonts w:eastAsia="Calibri"/>
                    <w:color w:val="000000"/>
                    <w:szCs w:val="24"/>
                  </w:rPr>
                  <w:t xml:space="preserve">541,95 </w:t>
                </w:r>
              </w:p>
            </w:tc>
            <w:tc>
              <w:tcPr>
                <w:tcW w:w="1949" w:type="dxa"/>
                <w:shd w:val="clear" w:color="auto" w:fill="auto"/>
              </w:tcPr>
              <w:p>
                <w:pPr>
                  <w:jc w:val="center"/>
                  <w:rPr>
                    <w:rFonts w:eastAsia="Calibri"/>
                    <w:szCs w:val="24"/>
                  </w:rPr>
                </w:pPr>
                <w:r>
                  <w:rPr>
                    <w:rFonts w:eastAsia="Calibri"/>
                    <w:szCs w:val="24"/>
                  </w:rPr>
                  <w:t>18 275,79</w:t>
                </w:r>
              </w:p>
            </w:tc>
          </w:tr>
          <w:tr>
            <w:tc>
              <w:tcPr>
                <w:tcW w:w="562" w:type="dxa"/>
                <w:shd w:val="clear" w:color="auto" w:fill="auto"/>
              </w:tcPr>
              <w:p>
                <w:pPr>
                  <w:jc w:val="center"/>
                  <w:rPr>
                    <w:rFonts w:eastAsia="Calibri"/>
                    <w:szCs w:val="24"/>
                  </w:rPr>
                </w:pPr>
                <w:r>
                  <w:rPr>
                    <w:rFonts w:eastAsia="Calibri"/>
                    <w:szCs w:val="24"/>
                  </w:rPr>
                  <w:t>3.</w:t>
                </w:r>
              </w:p>
            </w:tc>
            <w:tc>
              <w:tcPr>
                <w:tcW w:w="5103" w:type="dxa"/>
                <w:shd w:val="clear" w:color="auto" w:fill="auto"/>
              </w:tcPr>
              <w:p>
                <w:pPr>
                  <w:rPr>
                    <w:rFonts w:eastAsia="Calibri"/>
                    <w:szCs w:val="24"/>
                  </w:rPr>
                </w:pPr>
                <w:r>
                  <w:rPr>
                    <w:rFonts w:eastAsia="Calibri"/>
                    <w:szCs w:val="24"/>
                  </w:rPr>
                  <w:t xml:space="preserve">Pastatas – Sandėlis </w:t>
                </w:r>
              </w:p>
              <w:p>
                <w:pPr>
                  <w:rPr>
                    <w:rFonts w:eastAsia="Calibri"/>
                    <w:sz w:val="20"/>
                  </w:rPr>
                </w:pPr>
                <w:r>
                  <w:rPr>
                    <w:rFonts w:eastAsia="Calibri"/>
                    <w:szCs w:val="24"/>
                  </w:rPr>
                  <w:t xml:space="preserve">Vilnius, K. Kalinausko g. 7 </w:t>
                </w:r>
              </w:p>
            </w:tc>
            <w:tc>
              <w:tcPr>
                <w:tcW w:w="1985" w:type="dxa"/>
                <w:shd w:val="clear" w:color="auto" w:fill="auto"/>
              </w:tcPr>
              <w:p>
                <w:pPr>
                  <w:jc w:val="center"/>
                  <w:rPr>
                    <w:rFonts w:eastAsia="Calibri"/>
                    <w:sz w:val="20"/>
                  </w:rPr>
                </w:pPr>
                <w:r>
                  <w:rPr>
                    <w:rFonts w:eastAsia="Calibri"/>
                    <w:szCs w:val="24"/>
                  </w:rPr>
                  <w:t>1094-0379-7040</w:t>
                </w:r>
              </w:p>
            </w:tc>
            <w:tc>
              <w:tcPr>
                <w:tcW w:w="2239" w:type="dxa"/>
                <w:shd w:val="clear" w:color="auto" w:fill="auto"/>
              </w:tcPr>
              <w:p>
                <w:pPr>
                  <w:jc w:val="center"/>
                  <w:rPr>
                    <w:rFonts w:eastAsia="Calibri"/>
                    <w:szCs w:val="24"/>
                  </w:rPr>
                </w:pPr>
                <w:r>
                  <w:rPr>
                    <w:rFonts w:eastAsia="Calibri"/>
                    <w:szCs w:val="24"/>
                  </w:rPr>
                  <w:t>78,21</w:t>
                </w:r>
              </w:p>
              <w:p>
                <w:pPr>
                  <w:ind w:firstLine="60"/>
                  <w:jc w:val="center"/>
                  <w:rPr>
                    <w:rFonts w:eastAsia="Calibri"/>
                    <w:szCs w:val="24"/>
                  </w:rPr>
                </w:pPr>
                <w:r>
                  <w:rPr>
                    <w:rFonts w:eastAsia="Calibri"/>
                    <w:szCs w:val="24"/>
                  </w:rPr>
                  <w:t>(užstatytas plotas)</w:t>
                </w:r>
              </w:p>
            </w:tc>
            <w:tc>
              <w:tcPr>
                <w:tcW w:w="2155" w:type="dxa"/>
                <w:shd w:val="clear" w:color="auto" w:fill="auto"/>
              </w:tcPr>
              <w:p>
                <w:pPr>
                  <w:jc w:val="center"/>
                  <w:rPr>
                    <w:rFonts w:eastAsia="Calibri"/>
                    <w:szCs w:val="24"/>
                  </w:rPr>
                </w:pPr>
                <w:r>
                  <w:rPr>
                    <w:rFonts w:eastAsia="Calibri"/>
                    <w:szCs w:val="24"/>
                  </w:rPr>
                  <w:t>78,21</w:t>
                </w:r>
              </w:p>
            </w:tc>
            <w:tc>
              <w:tcPr>
                <w:tcW w:w="1949" w:type="dxa"/>
                <w:shd w:val="clear" w:color="auto" w:fill="auto"/>
              </w:tcPr>
              <w:p>
                <w:pPr>
                  <w:jc w:val="center"/>
                  <w:rPr>
                    <w:rFonts w:eastAsia="Calibri"/>
                    <w:szCs w:val="24"/>
                  </w:rPr>
                </w:pPr>
                <w:r>
                  <w:rPr>
                    <w:rFonts w:eastAsia="Calibri"/>
                    <w:szCs w:val="24"/>
                  </w:rPr>
                  <w:t>0,00</w:t>
                </w:r>
              </w:p>
            </w:tc>
          </w:tr>
          <w:tr>
            <w:tc>
              <w:tcPr>
                <w:tcW w:w="562" w:type="dxa"/>
                <w:shd w:val="clear" w:color="auto" w:fill="auto"/>
              </w:tcPr>
              <w:p>
                <w:pPr>
                  <w:jc w:val="center"/>
                  <w:rPr>
                    <w:rFonts w:eastAsia="Calibri"/>
                    <w:szCs w:val="24"/>
                  </w:rPr>
                </w:pPr>
                <w:r>
                  <w:rPr>
                    <w:rFonts w:eastAsia="Calibri"/>
                    <w:szCs w:val="24"/>
                  </w:rPr>
                  <w:t>4.</w:t>
                </w:r>
              </w:p>
            </w:tc>
            <w:tc>
              <w:tcPr>
                <w:tcW w:w="5103" w:type="dxa"/>
                <w:shd w:val="clear" w:color="auto" w:fill="auto"/>
              </w:tcPr>
              <w:p>
                <w:pPr>
                  <w:rPr>
                    <w:rFonts w:eastAsia="Calibri"/>
                    <w:szCs w:val="24"/>
                  </w:rPr>
                </w:pPr>
                <w:r>
                  <w:rPr>
                    <w:rFonts w:eastAsia="Calibri"/>
                    <w:szCs w:val="24"/>
                  </w:rPr>
                  <w:t>Kiti inžinieriniai statiniai – Kiemo statiniai (tvora)</w:t>
                </w:r>
              </w:p>
              <w:p>
                <w:pPr>
                  <w:rPr>
                    <w:rFonts w:eastAsia="Calibri"/>
                    <w:sz w:val="20"/>
                  </w:rPr>
                </w:pPr>
                <w:r>
                  <w:rPr>
                    <w:rFonts w:eastAsia="Calibri"/>
                    <w:szCs w:val="24"/>
                  </w:rPr>
                  <w:t xml:space="preserve">Vilnius, K. Kalinausko g. 7 </w:t>
                </w:r>
              </w:p>
            </w:tc>
            <w:tc>
              <w:tcPr>
                <w:tcW w:w="1985" w:type="dxa"/>
                <w:shd w:val="clear" w:color="auto" w:fill="auto"/>
              </w:tcPr>
              <w:p>
                <w:pPr>
                  <w:jc w:val="center"/>
                  <w:rPr>
                    <w:rFonts w:eastAsia="Calibri"/>
                    <w:sz w:val="20"/>
                  </w:rPr>
                </w:pPr>
                <w:r>
                  <w:rPr>
                    <w:rFonts w:eastAsia="Calibri"/>
                    <w:szCs w:val="24"/>
                  </w:rPr>
                  <w:t>1094-0379-7052</w:t>
                </w:r>
              </w:p>
            </w:tc>
            <w:tc>
              <w:tcPr>
                <w:tcW w:w="2239" w:type="dxa"/>
                <w:shd w:val="clear" w:color="auto" w:fill="auto"/>
              </w:tcPr>
              <w:p>
                <w:pPr>
                  <w:jc w:val="center"/>
                  <w:rPr>
                    <w:rFonts w:eastAsia="Calibri"/>
                    <w:sz w:val="20"/>
                  </w:rPr>
                </w:pPr>
                <w:r>
                  <w:rPr>
                    <w:rFonts w:eastAsia="Calibri"/>
                    <w:sz w:val="20"/>
                  </w:rPr>
                  <w:t>-</w:t>
                </w:r>
              </w:p>
            </w:tc>
            <w:tc>
              <w:tcPr>
                <w:tcW w:w="2155" w:type="dxa"/>
                <w:shd w:val="clear" w:color="auto" w:fill="auto"/>
              </w:tcPr>
              <w:p>
                <w:pPr>
                  <w:jc w:val="center"/>
                  <w:rPr>
                    <w:rFonts w:eastAsia="Calibri"/>
                    <w:sz w:val="20"/>
                  </w:rPr>
                </w:pPr>
                <w:r>
                  <w:rPr>
                    <w:rFonts w:eastAsia="Calibri"/>
                    <w:sz w:val="20"/>
                  </w:rPr>
                  <w:t>-</w:t>
                </w:r>
              </w:p>
            </w:tc>
            <w:tc>
              <w:tcPr>
                <w:tcW w:w="1949" w:type="dxa"/>
                <w:shd w:val="clear" w:color="auto" w:fill="auto"/>
              </w:tcPr>
              <w:p>
                <w:pPr>
                  <w:jc w:val="center"/>
                  <w:rPr>
                    <w:rFonts w:eastAsia="Calibri"/>
                    <w:szCs w:val="24"/>
                  </w:rPr>
                </w:pPr>
                <w:r>
                  <w:rPr>
                    <w:rFonts w:eastAsia="Calibri"/>
                    <w:szCs w:val="24"/>
                  </w:rPr>
                  <w:t>17 415,55</w:t>
                </w:r>
              </w:p>
            </w:tc>
          </w:tr>
          <w:tr>
            <w:tc>
              <w:tcPr>
                <w:tcW w:w="562" w:type="dxa"/>
                <w:shd w:val="clear" w:color="auto" w:fill="auto"/>
              </w:tcPr>
              <w:p>
                <w:pPr>
                  <w:jc w:val="center"/>
                  <w:rPr>
                    <w:rFonts w:eastAsia="Calibri"/>
                    <w:szCs w:val="24"/>
                  </w:rPr>
                </w:pPr>
                <w:r>
                  <w:rPr>
                    <w:rFonts w:eastAsia="Calibri"/>
                    <w:szCs w:val="24"/>
                  </w:rPr>
                  <w:t>5.</w:t>
                </w:r>
              </w:p>
            </w:tc>
            <w:tc>
              <w:tcPr>
                <w:tcW w:w="5103" w:type="dxa"/>
                <w:shd w:val="clear" w:color="auto" w:fill="auto"/>
              </w:tcPr>
              <w:p>
                <w:pPr>
                  <w:rPr>
                    <w:rFonts w:eastAsia="Calibri"/>
                    <w:szCs w:val="24"/>
                  </w:rPr>
                </w:pPr>
                <w:r>
                  <w:rPr>
                    <w:rFonts w:eastAsia="Calibri"/>
                    <w:szCs w:val="24"/>
                  </w:rPr>
                  <w:t>Kiti inžinieriniai statiniai – Kiemo statiniai (tvora, aikštelė)</w:t>
                </w:r>
              </w:p>
              <w:p>
                <w:pPr>
                  <w:rPr>
                    <w:rFonts w:eastAsia="Calibri"/>
                    <w:sz w:val="20"/>
                  </w:rPr>
                </w:pPr>
                <w:r>
                  <w:rPr>
                    <w:rFonts w:eastAsia="Calibri"/>
                    <w:szCs w:val="24"/>
                  </w:rPr>
                  <w:t>Vilnius, Tauro g. 18</w:t>
                </w:r>
              </w:p>
            </w:tc>
            <w:tc>
              <w:tcPr>
                <w:tcW w:w="1985" w:type="dxa"/>
                <w:shd w:val="clear" w:color="auto" w:fill="auto"/>
              </w:tcPr>
              <w:p>
                <w:pPr>
                  <w:jc w:val="center"/>
                  <w:rPr>
                    <w:rFonts w:eastAsia="Calibri"/>
                    <w:sz w:val="20"/>
                  </w:rPr>
                </w:pPr>
                <w:r>
                  <w:rPr>
                    <w:rFonts w:eastAsia="Calibri"/>
                    <w:szCs w:val="24"/>
                  </w:rPr>
                  <w:t>1096-4014-7071</w:t>
                </w:r>
              </w:p>
            </w:tc>
            <w:tc>
              <w:tcPr>
                <w:tcW w:w="2239" w:type="dxa"/>
                <w:shd w:val="clear" w:color="auto" w:fill="auto"/>
              </w:tcPr>
              <w:p>
                <w:pPr>
                  <w:jc w:val="center"/>
                  <w:rPr>
                    <w:rFonts w:eastAsia="Calibri"/>
                    <w:sz w:val="20"/>
                  </w:rPr>
                </w:pPr>
                <w:r>
                  <w:rPr>
                    <w:rFonts w:eastAsia="Calibri"/>
                    <w:sz w:val="20"/>
                  </w:rPr>
                  <w:t>-</w:t>
                </w:r>
              </w:p>
            </w:tc>
            <w:tc>
              <w:tcPr>
                <w:tcW w:w="2155" w:type="dxa"/>
                <w:shd w:val="clear" w:color="auto" w:fill="auto"/>
              </w:tcPr>
              <w:p>
                <w:pPr>
                  <w:jc w:val="center"/>
                  <w:rPr>
                    <w:rFonts w:eastAsia="Calibri"/>
                    <w:sz w:val="20"/>
                  </w:rPr>
                </w:pPr>
                <w:r>
                  <w:rPr>
                    <w:rFonts w:eastAsia="Calibri"/>
                    <w:sz w:val="20"/>
                  </w:rPr>
                  <w:t>-</w:t>
                </w:r>
              </w:p>
            </w:tc>
            <w:tc>
              <w:tcPr>
                <w:tcW w:w="1949" w:type="dxa"/>
                <w:shd w:val="clear" w:color="auto" w:fill="auto"/>
              </w:tcPr>
              <w:p>
                <w:pPr>
                  <w:jc w:val="center"/>
                  <w:rPr>
                    <w:rFonts w:eastAsia="Calibri"/>
                    <w:szCs w:val="24"/>
                  </w:rPr>
                </w:pPr>
                <w:r>
                  <w:rPr>
                    <w:rFonts w:eastAsia="Calibri"/>
                    <w:szCs w:val="24"/>
                  </w:rPr>
                  <w:t>14 390,18</w:t>
                </w:r>
              </w:p>
            </w:tc>
          </w:tr>
        </w:tbl>
        <w:p>
          <w:pPr>
            <w:spacing w:line="259" w:lineRule="auto"/>
            <w:rPr>
              <w:rFonts w:ascii="Calibri" w:eastAsia="Calibri" w:hAnsi="Calibri"/>
              <w:sz w:val="22"/>
              <w:szCs w:val="22"/>
            </w:rPr>
          </w:pPr>
        </w:p>
        <w:p>
          <w:pPr>
            <w:rPr>
              <w:sz w:val="14"/>
              <w:szCs w:val="14"/>
            </w:rPr>
          </w:pPr>
        </w:p>
        <w:p>
          <w:pPr>
            <w:jc w:val="center"/>
            <w:rPr>
              <w:rFonts w:eastAsia="Calibri"/>
              <w:szCs w:val="24"/>
            </w:rPr>
          </w:pPr>
          <w:r>
            <w:rPr>
              <w:rFonts w:eastAsia="Calibri"/>
              <w:szCs w:val="24"/>
            </w:rPr>
            <w:t>___________________________________</w:t>
          </w:r>
        </w:p>
        <w:p>
          <w:pPr>
            <w:jc w:val="both"/>
            <w:rPr>
              <w:szCs w:val="24"/>
            </w:rPr>
          </w:pPr>
        </w:p>
        <w:p>
          <w:pPr>
            <w:jc w:val="both"/>
            <w:rPr>
              <w:szCs w:val="24"/>
            </w:rPr>
          </w:pPr>
        </w:p>
      </w:sdtContent>
    </w:sdt>
    <w:sectPr>
      <w:pgSz w:w="16840" w:h="11907" w:orient="landscape"/>
      <w:pgMar w:top="1701" w:right="1134" w:bottom="567" w:left="1134" w:header="567" w:footer="567" w:gutter="0"/>
      <w:cols w:space="1296"/>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TimesLT" w:hAnsi="TimesLT"/>
          <w:sz w:val="22"/>
        </w:rPr>
      </w:pPr>
      <w:r>
        <w:rPr>
          <w:rFonts w:ascii="TimesLT" w:hAnsi="TimesLT"/>
          <w:sz w:val="22"/>
        </w:rPr>
        <w:separator/>
      </w:r>
    </w:p>
  </w:endnote>
  <w:endnote w:type="continuationSeparator" w:id="0">
    <w:p>
      <w:pPr>
        <w:rPr>
          <w:rFonts w:ascii="TimesLT" w:hAnsi="TimesLT"/>
          <w:sz w:val="22"/>
        </w:rPr>
      </w:pPr>
      <w:r>
        <w:rPr>
          <w:rFonts w:ascii="TimesLT" w:hAnsi="TimesLT"/>
          <w:sz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TimesLT" w:hAnsi="TimesLT"/>
          <w:sz w:val="22"/>
        </w:rPr>
      </w:pPr>
      <w:r>
        <w:rPr>
          <w:rFonts w:ascii="TimesLT" w:hAnsi="TimesLT"/>
          <w:sz w:val="22"/>
        </w:rPr>
        <w:separator/>
      </w:r>
    </w:p>
  </w:footnote>
  <w:footnote w:type="continuationSeparator" w:id="0">
    <w:p>
      <w:pPr>
        <w:rPr>
          <w:rFonts w:ascii="TimesLT" w:hAnsi="TimesLT"/>
          <w:sz w:val="22"/>
        </w:rPr>
      </w:pPr>
      <w:r>
        <w:rPr>
          <w:rFonts w:ascii="TimesLT" w:hAnsi="TimesLT"/>
          <w:sz w:val="22"/>
        </w:rPr>
        <w:continuationSeparator/>
      </w:r>
    </w:p>
  </w:footnote>
</w:footnote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7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26303575">
      <w:bodyDiv w:val="1"/>
      <w:marLeft w:val="0"/>
      <w:marRight w:val="0"/>
      <w:marTop w:val="0"/>
      <w:marBottom w:val="0"/>
      <w:divBdr>
        <w:top w:val="none" w:sz="0" w:space="0" w:color="auto"/>
        <w:left w:val="none" w:sz="0" w:space="0" w:color="auto"/>
        <w:bottom w:val="none" w:sz="0" w:space="0" w:color="auto"/>
        <w:right w:val="none" w:sz="0" w:space="0" w:color="auto"/>
      </w:divBdr>
    </w:div>
    <w:div w:id="858934295">
      <w:bodyDiv w:val="1"/>
      <w:marLeft w:val="225"/>
      <w:marRight w:val="225"/>
      <w:marTop w:val="0"/>
      <w:marBottom w:val="0"/>
      <w:divBdr>
        <w:top w:val="none" w:sz="0" w:space="0" w:color="auto"/>
        <w:left w:val="none" w:sz="0" w:space="0" w:color="auto"/>
        <w:bottom w:val="none" w:sz="0" w:space="0" w:color="auto"/>
        <w:right w:val="none" w:sz="0" w:space="0" w:color="auto"/>
      </w:divBdr>
      <w:divsChild>
        <w:div w:id="1879471317">
          <w:marLeft w:val="0"/>
          <w:marRight w:val="0"/>
          <w:marTop w:val="0"/>
          <w:marBottom w:val="0"/>
          <w:divBdr>
            <w:top w:val="none" w:sz="0" w:space="0" w:color="auto"/>
            <w:left w:val="none" w:sz="0" w:space="0" w:color="auto"/>
            <w:bottom w:val="none" w:sz="0" w:space="0" w:color="auto"/>
            <w:right w:val="none" w:sz="0" w:space="0" w:color="auto"/>
          </w:divBdr>
        </w:div>
      </w:divsChild>
    </w:div>
    <w:div w:id="1134250827">
      <w:bodyDiv w:val="1"/>
      <w:marLeft w:val="225"/>
      <w:marRight w:val="225"/>
      <w:marTop w:val="0"/>
      <w:marBottom w:val="0"/>
      <w:divBdr>
        <w:top w:val="none" w:sz="0" w:space="0" w:color="auto"/>
        <w:left w:val="none" w:sz="0" w:space="0" w:color="auto"/>
        <w:bottom w:val="none" w:sz="0" w:space="0" w:color="auto"/>
        <w:right w:val="none" w:sz="0" w:space="0" w:color="auto"/>
      </w:divBdr>
      <w:divsChild>
        <w:div w:id="1062097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13"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dff8f8f578bb45b9aa96b5981088da19" PartId="5d3e29a216824dbba076daf4e9748db1">
    <Part Type="preambule" DocPartId="53a413d3a3094a1b84fd177230fe8fb1" PartId="dce1b45935de4a21b7c7e11b3ccecdbb"/>
    <Part Type="punktas" Nr="1" Abbr="1 p." DocPartId="0b8881f0bc5847d4a8f4c68436c5e10b" PartId="b90bdaef70ba4a7eabe44c3a90ada620"/>
    <Part Type="punktas" Nr="2" Abbr="2 p." DocPartId="ed7b30a6bbf64c6ea077714167f66256" PartId="0f7c4f7a9abb46ceba17ee773455a49c"/>
    <Part Type="signatura" DocPartId="5bdb4fc1605a44efb1afee4ed3d60342" PartId="41cbd88200bf40379164a16a77408616"/>
  </Part>
  <Part Type="priedas" Abbr="pr." Title="NEKILNOJAMOJO TURTO, PERDUODAMO VALDYTI, NAUDOTI IR DISPONUOTI JUO PATIKĖJIMO TEISE, SĄRAŠAS" DocPartId="dffa21f69db14a628de0f1b2d3678813" PartId="3b60a9b624cb430c8eccfa9252be9951"/>
</Parts>
</file>

<file path=customXml/itemProps1.xml><?xml version="1.0" encoding="utf-8"?>
<ds:datastoreItem xmlns:ds="http://schemas.openxmlformats.org/officeDocument/2006/customXml" ds:itemID="{2358BC30-F92B-425A-8CD2-E7917781E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675359-8771-467F-B0AE-1AB6C6336B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9E3172-6E49-4662-98C7-684382027D2D}">
  <ds:schemaRefs>
    <ds:schemaRef ds:uri="http://schemas.microsoft.com/sharepoint/v3/contenttype/forms"/>
  </ds:schemaRefs>
</ds:datastoreItem>
</file>

<file path=customXml/itemProps4.xml><?xml version="1.0" encoding="utf-8"?>
<ds:datastoreItem xmlns:ds="http://schemas.openxmlformats.org/officeDocument/2006/customXml" ds:itemID="{51468FEC-F0F1-4FF0-9ACA-66AF3FF3B2D7}">
  <ds:schemaRefs>
    <ds:schemaRef ds:uri="http://schemas.openxmlformats.org/officeDocument/2006/bibliography"/>
  </ds:schemaRefs>
</ds:datastoreItem>
</file>

<file path=customXml/itemProps5.xml><?xml version="1.0" encoding="utf-8"?>
<ds:datastoreItem xmlns:ds="http://schemas.openxmlformats.org/officeDocument/2006/customXml" ds:itemID="{39E5BF36-BCAA-47C3-B3BF-368DB423525A}">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1988</Characters>
  <Application>Microsoft Office Word</Application>
  <DocSecurity>4</DocSecurity>
  <Lines>104</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f3247873-f1d1-426d-8656-d7821ff4a4d4</vt:lpstr>
      <vt:lpstr>LIETUVOS RESPUBLIKOS VYRIAUSYBĖ</vt:lpstr>
    </vt:vector>
  </TitlesOfParts>
  <Company>A&amp;R</Company>
  <LinksUpToDate>false</LinksUpToDate>
  <CharactersWithSpaces>2209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2019-11-15T08:25:00Z</dcterms:created>
  <dc:creator>Unknown</dc:creator>
  <cp:lastModifiedBy>Asseco</cp:lastModifiedBy>
  <cp:lastPrinted>2019-06-18T05:51:00Z</cp:lastPrinted>
  <dcterms:modified xsi:type="dcterms:W3CDTF">2019-11-15T08:25:00Z</dcterms:modified>
  <cp:revision>2</cp:revision>
  <dc:title>65f1f38e-652e-4972-96f8-c28e8ee8b242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