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043" w:rsidRDefault="007106AE" w:rsidP="00384348">
      <w:pPr>
        <w:jc w:val="center"/>
        <w:rPr>
          <w:b/>
          <w:caps/>
        </w:rPr>
      </w:pPr>
      <w:r w:rsidRPr="007106AE">
        <w:rPr>
          <w:rFonts w:eastAsia="Calibri"/>
          <w:b/>
        </w:rPr>
        <w:t>2013 M. GEGUŽĖS 3 D. KOMISIJOS ĮGYVENDINIMO REGLAMENTO</w:t>
      </w:r>
      <w:r w:rsidRPr="007106AE">
        <w:rPr>
          <w:b/>
          <w:bCs/>
        </w:rPr>
        <w:t xml:space="preserve"> (ES) NR. 390/2013, KURIUO NUSTATOMAS ORO NAVIGACIJOS PASLAUGŲ TEIKIMO IR TINKLO FUNKCIJŲ VYKDYMO VEIKLOS REZULTATŲ PLANAS, </w:t>
      </w:r>
      <w:r w:rsidRPr="007106AE">
        <w:rPr>
          <w:b/>
        </w:rPr>
        <w:t>IR</w:t>
      </w:r>
      <w:r>
        <w:rPr>
          <w:b/>
        </w:rPr>
        <w:t xml:space="preserve"> </w:t>
      </w:r>
      <w:r w:rsidR="008B66AC" w:rsidRPr="008B66AC">
        <w:rPr>
          <w:b/>
          <w:caps/>
        </w:rPr>
        <w:t>LIETUVOS RESPUBLIKOS AVIACIJOS ĮSTATYMO</w:t>
      </w:r>
      <w:r w:rsidR="007E6043">
        <w:rPr>
          <w:b/>
          <w:caps/>
        </w:rPr>
        <w:t xml:space="preserve"> </w:t>
      </w:r>
      <w:r w:rsidR="008B66AC" w:rsidRPr="008B66AC">
        <w:rPr>
          <w:b/>
          <w:caps/>
        </w:rPr>
        <w:t xml:space="preserve">NR. VIII-2066 PAKEITIMO </w:t>
      </w:r>
    </w:p>
    <w:p w:rsidR="007C278B" w:rsidRPr="008B66AC" w:rsidRDefault="008B66AC" w:rsidP="00384348">
      <w:pPr>
        <w:jc w:val="center"/>
        <w:rPr>
          <w:b/>
        </w:rPr>
      </w:pPr>
      <w:r w:rsidRPr="008B66AC">
        <w:rPr>
          <w:b/>
          <w:caps/>
        </w:rPr>
        <w:t>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DD6F0E" w:rsidRPr="007106AE" w:rsidRDefault="007106AE" w:rsidP="007106AE">
            <w:pPr>
              <w:rPr>
                <w:b/>
              </w:rPr>
            </w:pPr>
            <w:r w:rsidRPr="007106AE">
              <w:rPr>
                <w:rFonts w:eastAsia="Calibri"/>
                <w:b/>
              </w:rPr>
              <w:t>2013 m. gegužės 3 d. Komisijos įgyvendinimo reglamentas</w:t>
            </w:r>
            <w:r w:rsidRPr="007106AE">
              <w:rPr>
                <w:b/>
                <w:bCs/>
              </w:rPr>
              <w:t xml:space="preserve"> (ES) Nr. 390/2013, kuriuo nustatomas oro navigacijos paslaugų teikimo ir tinklo funkcijų vykdymo veiklos rezultatų planas </w:t>
            </w: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DB0A54" w:rsidRPr="007844F5" w:rsidRDefault="00DB0A54" w:rsidP="00DB0A54">
            <w:pPr>
              <w:pStyle w:val="ti-art2"/>
              <w:shd w:val="clear" w:color="auto" w:fill="FFFFFF"/>
              <w:spacing w:before="0" w:after="0" w:line="240" w:lineRule="auto"/>
              <w:jc w:val="left"/>
            </w:pPr>
            <w:r w:rsidRPr="007844F5">
              <w:t>4 straipsnis</w:t>
            </w:r>
          </w:p>
          <w:p w:rsidR="00DB0A54" w:rsidRPr="007844F5" w:rsidRDefault="00DB0A54" w:rsidP="00DB0A54">
            <w:pPr>
              <w:pStyle w:val="sti-art2"/>
              <w:shd w:val="clear" w:color="auto" w:fill="FFFFFF"/>
              <w:spacing w:before="0" w:after="0" w:line="240" w:lineRule="auto"/>
              <w:jc w:val="left"/>
            </w:pPr>
            <w:r w:rsidRPr="007844F5">
              <w:t>Nacionalinės priežiūros institucijos</w:t>
            </w:r>
          </w:p>
          <w:p w:rsidR="00DB0A54" w:rsidRPr="007844F5" w:rsidRDefault="00DB0A54" w:rsidP="00DB0A54">
            <w:pPr>
              <w:pStyle w:val="normal2"/>
              <w:shd w:val="clear" w:color="auto" w:fill="FFFFFF"/>
              <w:spacing w:before="0" w:line="240" w:lineRule="auto"/>
              <w:jc w:val="left"/>
            </w:pPr>
            <w:r w:rsidRPr="007844F5">
              <w:t>1.   Nacionalinės priežiūros institucijos atsako už veiklos rezultatų planų rengimą, veiklos rezultatų kontrolę, taip pat veiklos rezultatų planų ir tikslinių veiklos rodiklių stebėseną. Vykdydamos šias užduotis jos veikia nešališkai, nepriklausomai ir skaidriai.</w:t>
            </w:r>
          </w:p>
          <w:p w:rsidR="00DB0A54" w:rsidRPr="007844F5" w:rsidRDefault="00DB0A54" w:rsidP="00DB0A54">
            <w:pPr>
              <w:pStyle w:val="normal2"/>
              <w:shd w:val="clear" w:color="auto" w:fill="FFFFFF"/>
              <w:spacing w:before="0" w:line="240" w:lineRule="auto"/>
              <w:jc w:val="left"/>
            </w:pPr>
            <w:r w:rsidRPr="007844F5">
              <w:t>2.   Valstybės narės užtikrina, kad nacionalinės priežiūros institucijos turėtų būtinus išteklius ir pajėgumą visose pagrindinėse veiklos srityse arba galimybę šiais ištekliais ir pajėgumais pasinaudoti, kad galėtų vykdyti šiame reglamente numatytas užduotis, įskaitant tikrinimo įgaliojimus 20 straipsnyje nurodytoms užduotims atlikti.</w:t>
            </w:r>
          </w:p>
          <w:p w:rsidR="004619BC" w:rsidRPr="00E731E9" w:rsidRDefault="004619BC" w:rsidP="004619BC">
            <w:pPr>
              <w:tabs>
                <w:tab w:val="left" w:pos="292"/>
                <w:tab w:val="left" w:pos="434"/>
                <w:tab w:val="left" w:pos="859"/>
              </w:tabs>
              <w:jc w:val="both"/>
            </w:pPr>
            <w:r w:rsidRPr="007844F5">
              <w:t>&lt;...&gt;.</w:t>
            </w:r>
          </w:p>
        </w:tc>
        <w:tc>
          <w:tcPr>
            <w:tcW w:w="3780" w:type="dxa"/>
          </w:tcPr>
          <w:p w:rsidR="004B171A" w:rsidRDefault="004B171A" w:rsidP="004B171A">
            <w:pPr>
              <w:widowControl w:val="0"/>
              <w:jc w:val="both"/>
              <w:rPr>
                <w:b/>
              </w:rPr>
            </w:pPr>
            <w:r>
              <w:rPr>
                <w:b/>
              </w:rPr>
              <w:t>6 straipsnis. Agentūra</w:t>
            </w:r>
            <w:r w:rsidRPr="002745E1">
              <w:rPr>
                <w:b/>
              </w:rPr>
              <w:t xml:space="preserve"> </w:t>
            </w:r>
          </w:p>
          <w:p w:rsidR="009B3546" w:rsidRDefault="00602D5B" w:rsidP="004B171A">
            <w:pPr>
              <w:jc w:val="both"/>
            </w:pPr>
            <w:r>
              <w:t>&lt;...&gt;</w:t>
            </w:r>
          </w:p>
          <w:p w:rsidR="009B3546" w:rsidRPr="000269C0" w:rsidRDefault="009B3546" w:rsidP="009B3546">
            <w:r>
              <w:t>3</w:t>
            </w:r>
            <w:r w:rsidRPr="000269C0">
              <w:t xml:space="preserve">. Agentūra pagal savo kompetenciją: </w:t>
            </w:r>
          </w:p>
          <w:p w:rsidR="00602D5B" w:rsidRDefault="00602D5B" w:rsidP="009B3546">
            <w:r>
              <w:t>&lt;...&gt;</w:t>
            </w:r>
          </w:p>
          <w:p w:rsidR="002E2845" w:rsidRDefault="002E2845" w:rsidP="002E2845">
            <w:r w:rsidRPr="000269C0">
              <w:t xml:space="preserve">3) </w:t>
            </w:r>
            <w:r w:rsidRPr="003C3A7A">
              <w:t xml:space="preserve">vykdo Reglamente (EB) </w:t>
            </w:r>
          </w:p>
          <w:p w:rsidR="002E2845" w:rsidRPr="003C3A7A" w:rsidRDefault="002E2845" w:rsidP="002E2845">
            <w:pPr>
              <w:rPr>
                <w:rStyle w:val="Grietas"/>
              </w:rPr>
            </w:pPr>
            <w:r w:rsidRPr="003C3A7A">
              <w:t xml:space="preserve">Nr. 300/2008 nurodytos atitinkamos institucijos, Reglamente </w:t>
            </w:r>
            <w:r w:rsidRPr="003C3A7A">
              <w:rPr>
                <w:rStyle w:val="Grietas"/>
                <w:b w:val="0"/>
              </w:rPr>
              <w:t>(ES)</w:t>
            </w:r>
            <w:r w:rsidRPr="003C3A7A">
              <w:rPr>
                <w:rStyle w:val="Grietas"/>
              </w:rPr>
              <w:t xml:space="preserve">   </w:t>
            </w:r>
          </w:p>
          <w:p w:rsidR="002E2845" w:rsidRPr="003C3A7A" w:rsidRDefault="002E2845" w:rsidP="002E2845">
            <w:pPr>
              <w:rPr>
                <w:rStyle w:val="Grietas"/>
              </w:rPr>
            </w:pPr>
            <w:r w:rsidRPr="003C3A7A">
              <w:t xml:space="preserve">Nr. 1178/2011, Reglamente </w:t>
            </w:r>
            <w:r w:rsidRPr="003C3A7A">
              <w:rPr>
                <w:rStyle w:val="Grietas"/>
                <w:b w:val="0"/>
              </w:rPr>
              <w:t>(ES)</w:t>
            </w:r>
            <w:r w:rsidRPr="003C3A7A">
              <w:rPr>
                <w:rStyle w:val="Grietas"/>
              </w:rPr>
              <w:t xml:space="preserve"> </w:t>
            </w:r>
          </w:p>
          <w:p w:rsidR="002E2845" w:rsidRPr="003C3A7A" w:rsidRDefault="002E2845" w:rsidP="002E2845">
            <w:pPr>
              <w:rPr>
                <w:rStyle w:val="Grietas"/>
              </w:rPr>
            </w:pPr>
            <w:r w:rsidRPr="003C3A7A">
              <w:t xml:space="preserve">Nr. 748/2012, Reglamente </w:t>
            </w:r>
            <w:r w:rsidRPr="003C3A7A">
              <w:rPr>
                <w:rStyle w:val="Grietas"/>
                <w:b w:val="0"/>
              </w:rPr>
              <w:t>(ES)</w:t>
            </w:r>
            <w:r w:rsidRPr="003C3A7A">
              <w:rPr>
                <w:rStyle w:val="Grietas"/>
              </w:rPr>
              <w:t xml:space="preserve"> </w:t>
            </w:r>
          </w:p>
          <w:p w:rsidR="002E2845" w:rsidRPr="003C3A7A" w:rsidRDefault="002E2845" w:rsidP="002E2845">
            <w:r w:rsidRPr="003C3A7A">
              <w:t xml:space="preserve">Nr. 923/2012, Reglamente (ES)   </w:t>
            </w:r>
          </w:p>
          <w:p w:rsidR="002E2845" w:rsidRPr="003C3A7A" w:rsidRDefault="002E2845" w:rsidP="002E2845">
            <w:pPr>
              <w:rPr>
                <w:rStyle w:val="Grietas"/>
              </w:rPr>
            </w:pPr>
            <w:r w:rsidRPr="003C3A7A">
              <w:t xml:space="preserve">Nr. 965/2012, Reglamente </w:t>
            </w:r>
            <w:r w:rsidRPr="003C3A7A">
              <w:rPr>
                <w:rStyle w:val="Grietas"/>
                <w:b w:val="0"/>
              </w:rPr>
              <w:t>(ES)</w:t>
            </w:r>
            <w:r w:rsidRPr="003C3A7A">
              <w:rPr>
                <w:rStyle w:val="Grietas"/>
              </w:rPr>
              <w:t xml:space="preserve"> </w:t>
            </w:r>
          </w:p>
          <w:p w:rsidR="002E2845" w:rsidRPr="003C3A7A" w:rsidRDefault="002E2845" w:rsidP="002E2845">
            <w:pPr>
              <w:rPr>
                <w:bCs/>
              </w:rPr>
            </w:pPr>
            <w:r w:rsidRPr="003C3A7A">
              <w:t xml:space="preserve">Nr. 139/2014, </w:t>
            </w:r>
            <w:r w:rsidRPr="003C3A7A">
              <w:rPr>
                <w:bCs/>
              </w:rPr>
              <w:t xml:space="preserve">Reglamente (ES) </w:t>
            </w:r>
          </w:p>
          <w:p w:rsidR="002E2845" w:rsidRPr="003C3A7A" w:rsidRDefault="002E2845" w:rsidP="002E2845">
            <w:pPr>
              <w:rPr>
                <w:bCs/>
              </w:rPr>
            </w:pPr>
            <w:r w:rsidRPr="003C3A7A">
              <w:rPr>
                <w:bCs/>
              </w:rPr>
              <w:t xml:space="preserve">Nr. 376/2014, Reglamente (ES) </w:t>
            </w:r>
          </w:p>
          <w:p w:rsidR="002E2845" w:rsidRPr="003C3A7A" w:rsidRDefault="002E2845" w:rsidP="002E2845">
            <w:pPr>
              <w:rPr>
                <w:rStyle w:val="Grietas"/>
              </w:rPr>
            </w:pPr>
            <w:r w:rsidRPr="003C3A7A">
              <w:rPr>
                <w:bCs/>
              </w:rPr>
              <w:t xml:space="preserve">Nr. 598/2014, </w:t>
            </w:r>
            <w:r w:rsidRPr="003C3A7A">
              <w:t xml:space="preserve">Reglamente </w:t>
            </w:r>
            <w:r w:rsidRPr="003C3A7A">
              <w:rPr>
                <w:rStyle w:val="Grietas"/>
                <w:b w:val="0"/>
              </w:rPr>
              <w:t>(ES)</w:t>
            </w:r>
            <w:r w:rsidRPr="003C3A7A">
              <w:rPr>
                <w:rStyle w:val="Grietas"/>
              </w:rPr>
              <w:t xml:space="preserve"> </w:t>
            </w:r>
          </w:p>
          <w:p w:rsidR="002E2845" w:rsidRPr="003C3A7A" w:rsidRDefault="002E2845" w:rsidP="002E2845">
            <w:r w:rsidRPr="003C3A7A">
              <w:t>Nr. 1321/2014, R</w:t>
            </w:r>
            <w:r w:rsidRPr="003C3A7A">
              <w:rPr>
                <w:rStyle w:val="Grietas"/>
                <w:b w:val="0"/>
              </w:rPr>
              <w:t xml:space="preserve">eglamente (ES) 2015/340 ir </w:t>
            </w:r>
            <w:r w:rsidRPr="003C3A7A">
              <w:rPr>
                <w:bCs/>
              </w:rPr>
              <w:t xml:space="preserve">Reglamente (ES) 2018/395 </w:t>
            </w:r>
            <w:r w:rsidRPr="003C3A7A">
              <w:t xml:space="preserve">nurodytos kompetentingos institucijos, Reglamente (ES) 2018/1139 nurodytos nacionalinės kompetentingos institucijos ir Reglamente </w:t>
            </w:r>
            <w:r w:rsidRPr="003C3A7A">
              <w:rPr>
                <w:rFonts w:eastAsia="Calibri"/>
              </w:rPr>
              <w:t xml:space="preserve">(EB) </w:t>
            </w:r>
            <w:r w:rsidRPr="003C3A7A">
              <w:t>Nr. 549/2004,</w:t>
            </w:r>
            <w:r w:rsidRPr="003C3A7A">
              <w:rPr>
                <w:rFonts w:eastAsia="Calibri"/>
              </w:rPr>
              <w:t xml:space="preserve"> Reglamente</w:t>
            </w:r>
            <w:r w:rsidRPr="003C3A7A">
              <w:rPr>
                <w:bCs/>
              </w:rPr>
              <w:t xml:space="preserve"> (ES) Nr. 390/2013 </w:t>
            </w:r>
            <w:r w:rsidRPr="003C3A7A">
              <w:rPr>
                <w:rFonts w:eastAsia="Calibri"/>
              </w:rPr>
              <w:t xml:space="preserve">ir </w:t>
            </w:r>
            <w:r w:rsidRPr="003C3A7A">
              <w:rPr>
                <w:bCs/>
              </w:rPr>
              <w:t xml:space="preserve">Reglamente (ES) Nr. 391/2013 </w:t>
            </w:r>
            <w:r w:rsidRPr="003C3A7A">
              <w:t>nurodytos nacionalinės priežiūros institucijos funkcijas;</w:t>
            </w:r>
          </w:p>
          <w:p w:rsidR="00602D5B" w:rsidRPr="004D7C63" w:rsidRDefault="00602D5B" w:rsidP="009B3546">
            <w:bookmarkStart w:id="0" w:name="_GoBack"/>
            <w:bookmarkEnd w:id="0"/>
            <w:r>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320" w:rsidRDefault="00FD0320" w:rsidP="00044E05">
      <w:r>
        <w:separator/>
      </w:r>
    </w:p>
  </w:endnote>
  <w:endnote w:type="continuationSeparator" w:id="0">
    <w:p w:rsidR="00FD0320" w:rsidRDefault="00FD0320"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320" w:rsidRDefault="00FD0320" w:rsidP="00044E05">
      <w:r>
        <w:separator/>
      </w:r>
    </w:p>
  </w:footnote>
  <w:footnote w:type="continuationSeparator" w:id="0">
    <w:p w:rsidR="00FD0320" w:rsidRDefault="00FD0320"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1F66FD">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279EA"/>
    <w:rsid w:val="00044E05"/>
    <w:rsid w:val="000458A4"/>
    <w:rsid w:val="00086F99"/>
    <w:rsid w:val="000B5E59"/>
    <w:rsid w:val="000F4B6B"/>
    <w:rsid w:val="001114C0"/>
    <w:rsid w:val="0013089A"/>
    <w:rsid w:val="001331C8"/>
    <w:rsid w:val="001358F5"/>
    <w:rsid w:val="00164CD6"/>
    <w:rsid w:val="00175117"/>
    <w:rsid w:val="001758FF"/>
    <w:rsid w:val="00184D1D"/>
    <w:rsid w:val="001A3942"/>
    <w:rsid w:val="001A55E7"/>
    <w:rsid w:val="001B515A"/>
    <w:rsid w:val="001D6CF4"/>
    <w:rsid w:val="001D6D50"/>
    <w:rsid w:val="001F1678"/>
    <w:rsid w:val="001F66FD"/>
    <w:rsid w:val="00203BD9"/>
    <w:rsid w:val="00210654"/>
    <w:rsid w:val="00231FEC"/>
    <w:rsid w:val="002368F2"/>
    <w:rsid w:val="00256EAE"/>
    <w:rsid w:val="00260D29"/>
    <w:rsid w:val="00272BE1"/>
    <w:rsid w:val="00273C3F"/>
    <w:rsid w:val="00280F04"/>
    <w:rsid w:val="0029139F"/>
    <w:rsid w:val="00292677"/>
    <w:rsid w:val="002B022D"/>
    <w:rsid w:val="002B7E4C"/>
    <w:rsid w:val="002C4F81"/>
    <w:rsid w:val="002E2845"/>
    <w:rsid w:val="002F0D8E"/>
    <w:rsid w:val="00333494"/>
    <w:rsid w:val="0034268C"/>
    <w:rsid w:val="00343CE4"/>
    <w:rsid w:val="00344D14"/>
    <w:rsid w:val="00354567"/>
    <w:rsid w:val="00364060"/>
    <w:rsid w:val="003706BB"/>
    <w:rsid w:val="0037512D"/>
    <w:rsid w:val="00376A2C"/>
    <w:rsid w:val="00384348"/>
    <w:rsid w:val="003A113C"/>
    <w:rsid w:val="003A4536"/>
    <w:rsid w:val="003C2C77"/>
    <w:rsid w:val="003C3F3D"/>
    <w:rsid w:val="0042372F"/>
    <w:rsid w:val="00431C66"/>
    <w:rsid w:val="004357F8"/>
    <w:rsid w:val="004564D6"/>
    <w:rsid w:val="004619BC"/>
    <w:rsid w:val="004725FC"/>
    <w:rsid w:val="00480755"/>
    <w:rsid w:val="004816BA"/>
    <w:rsid w:val="00496F2F"/>
    <w:rsid w:val="004B171A"/>
    <w:rsid w:val="004D54A6"/>
    <w:rsid w:val="004D7C63"/>
    <w:rsid w:val="004E3B66"/>
    <w:rsid w:val="004F11A3"/>
    <w:rsid w:val="0053009D"/>
    <w:rsid w:val="00531288"/>
    <w:rsid w:val="0054250A"/>
    <w:rsid w:val="00567968"/>
    <w:rsid w:val="00574994"/>
    <w:rsid w:val="00593410"/>
    <w:rsid w:val="005A1598"/>
    <w:rsid w:val="005B481D"/>
    <w:rsid w:val="005C2E96"/>
    <w:rsid w:val="005C44C3"/>
    <w:rsid w:val="005F229F"/>
    <w:rsid w:val="005F2E1D"/>
    <w:rsid w:val="00602D5B"/>
    <w:rsid w:val="00636AF7"/>
    <w:rsid w:val="00650F24"/>
    <w:rsid w:val="00653548"/>
    <w:rsid w:val="006618C5"/>
    <w:rsid w:val="006C6447"/>
    <w:rsid w:val="006E6EC2"/>
    <w:rsid w:val="006F7E6A"/>
    <w:rsid w:val="00706978"/>
    <w:rsid w:val="007106AE"/>
    <w:rsid w:val="007120FB"/>
    <w:rsid w:val="00736B11"/>
    <w:rsid w:val="00740131"/>
    <w:rsid w:val="007479D8"/>
    <w:rsid w:val="00754B10"/>
    <w:rsid w:val="0076388A"/>
    <w:rsid w:val="00764DA3"/>
    <w:rsid w:val="0077042C"/>
    <w:rsid w:val="007844F5"/>
    <w:rsid w:val="00787DA4"/>
    <w:rsid w:val="007C278B"/>
    <w:rsid w:val="007C5E17"/>
    <w:rsid w:val="007C743C"/>
    <w:rsid w:val="007D443F"/>
    <w:rsid w:val="007E6043"/>
    <w:rsid w:val="00830FAF"/>
    <w:rsid w:val="0083793B"/>
    <w:rsid w:val="00882F29"/>
    <w:rsid w:val="008B66AC"/>
    <w:rsid w:val="008C2C31"/>
    <w:rsid w:val="008C328F"/>
    <w:rsid w:val="008C732B"/>
    <w:rsid w:val="008E48B1"/>
    <w:rsid w:val="009426ED"/>
    <w:rsid w:val="00947358"/>
    <w:rsid w:val="009648F6"/>
    <w:rsid w:val="00970094"/>
    <w:rsid w:val="00983025"/>
    <w:rsid w:val="00992D53"/>
    <w:rsid w:val="009973D3"/>
    <w:rsid w:val="009B3546"/>
    <w:rsid w:val="009C5E5C"/>
    <w:rsid w:val="00A076C9"/>
    <w:rsid w:val="00A12B3D"/>
    <w:rsid w:val="00A247F2"/>
    <w:rsid w:val="00A27BD4"/>
    <w:rsid w:val="00A90D83"/>
    <w:rsid w:val="00A96D93"/>
    <w:rsid w:val="00AA0C68"/>
    <w:rsid w:val="00AB048B"/>
    <w:rsid w:val="00AB3721"/>
    <w:rsid w:val="00AB409A"/>
    <w:rsid w:val="00AE7135"/>
    <w:rsid w:val="00AF3A20"/>
    <w:rsid w:val="00B142DE"/>
    <w:rsid w:val="00B413FD"/>
    <w:rsid w:val="00B414F5"/>
    <w:rsid w:val="00B67422"/>
    <w:rsid w:val="00B8516D"/>
    <w:rsid w:val="00B86618"/>
    <w:rsid w:val="00BB3481"/>
    <w:rsid w:val="00BB5B27"/>
    <w:rsid w:val="00BC0A98"/>
    <w:rsid w:val="00BC4DBE"/>
    <w:rsid w:val="00BD642B"/>
    <w:rsid w:val="00C36034"/>
    <w:rsid w:val="00C431F7"/>
    <w:rsid w:val="00C502A4"/>
    <w:rsid w:val="00C76BF7"/>
    <w:rsid w:val="00C80733"/>
    <w:rsid w:val="00CC6E33"/>
    <w:rsid w:val="00CD1F9A"/>
    <w:rsid w:val="00CE4C2E"/>
    <w:rsid w:val="00CF4CD8"/>
    <w:rsid w:val="00D137C1"/>
    <w:rsid w:val="00D2304D"/>
    <w:rsid w:val="00D250E7"/>
    <w:rsid w:val="00D417CA"/>
    <w:rsid w:val="00D7206D"/>
    <w:rsid w:val="00D90A77"/>
    <w:rsid w:val="00D97AE4"/>
    <w:rsid w:val="00DB0A54"/>
    <w:rsid w:val="00DC15D4"/>
    <w:rsid w:val="00DD6F0E"/>
    <w:rsid w:val="00DF5D8B"/>
    <w:rsid w:val="00DF70D3"/>
    <w:rsid w:val="00E131B0"/>
    <w:rsid w:val="00E137BA"/>
    <w:rsid w:val="00E16876"/>
    <w:rsid w:val="00E32B99"/>
    <w:rsid w:val="00E36716"/>
    <w:rsid w:val="00E37FA3"/>
    <w:rsid w:val="00E44DBF"/>
    <w:rsid w:val="00E458DB"/>
    <w:rsid w:val="00E673D4"/>
    <w:rsid w:val="00E731E9"/>
    <w:rsid w:val="00E814B8"/>
    <w:rsid w:val="00E8172C"/>
    <w:rsid w:val="00E82A60"/>
    <w:rsid w:val="00E93EDD"/>
    <w:rsid w:val="00E94421"/>
    <w:rsid w:val="00EC2242"/>
    <w:rsid w:val="00EC4371"/>
    <w:rsid w:val="00EF29C2"/>
    <w:rsid w:val="00EF6A6F"/>
    <w:rsid w:val="00F00148"/>
    <w:rsid w:val="00F417F3"/>
    <w:rsid w:val="00F46F8A"/>
    <w:rsid w:val="00F65710"/>
    <w:rsid w:val="00F81D54"/>
    <w:rsid w:val="00F95CD3"/>
    <w:rsid w:val="00F97848"/>
    <w:rsid w:val="00FA0A06"/>
    <w:rsid w:val="00FA54E3"/>
    <w:rsid w:val="00FC5648"/>
    <w:rsid w:val="00FC7279"/>
    <w:rsid w:val="00FD0320"/>
    <w:rsid w:val="00FD52B3"/>
    <w:rsid w:val="00FD7225"/>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9D606-DF97-43FC-AAAE-654AC5CA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 w:type="paragraph" w:customStyle="1" w:styleId="normal2">
    <w:name w:val="normal2"/>
    <w:basedOn w:val="prastasis"/>
    <w:rsid w:val="00DB0A54"/>
    <w:pPr>
      <w:spacing w:before="120" w:line="312" w:lineRule="atLeast"/>
      <w:jc w:val="both"/>
    </w:pPr>
  </w:style>
  <w:style w:type="paragraph" w:customStyle="1" w:styleId="sti-art2">
    <w:name w:val="sti-art2"/>
    <w:basedOn w:val="prastasis"/>
    <w:rsid w:val="00DB0A54"/>
    <w:pPr>
      <w:spacing w:before="60" w:after="120" w:line="312" w:lineRule="atLeast"/>
      <w:jc w:val="center"/>
    </w:pPr>
    <w:rPr>
      <w:b/>
      <w:bCs/>
    </w:rPr>
  </w:style>
  <w:style w:type="paragraph" w:customStyle="1" w:styleId="ti-art2">
    <w:name w:val="ti-art2"/>
    <w:basedOn w:val="prastasis"/>
    <w:rsid w:val="00DB0A54"/>
    <w:pPr>
      <w:spacing w:before="360" w:after="120" w:line="312" w:lineRule="atLeast"/>
      <w:jc w:val="center"/>
    </w:pPr>
    <w:rPr>
      <w:i/>
      <w:iCs/>
    </w:rPr>
  </w:style>
  <w:style w:type="paragraph" w:styleId="Komentarotekstas">
    <w:name w:val="annotation text"/>
    <w:basedOn w:val="prastasis"/>
    <w:link w:val="KomentarotekstasDiagrama"/>
    <w:uiPriority w:val="99"/>
    <w:unhideWhenUsed/>
    <w:rsid w:val="009B3546"/>
    <w:rPr>
      <w:sz w:val="20"/>
      <w:szCs w:val="20"/>
    </w:rPr>
  </w:style>
  <w:style w:type="character" w:customStyle="1" w:styleId="KomentarotekstasDiagrama">
    <w:name w:val="Komentaro tekstas Diagrama"/>
    <w:basedOn w:val="Numatytasispastraiposriftas"/>
    <w:link w:val="Komentarotekstas"/>
    <w:uiPriority w:val="99"/>
    <w:rsid w:val="009B3546"/>
  </w:style>
  <w:style w:type="character" w:styleId="Komentaronuoroda">
    <w:name w:val="annotation reference"/>
    <w:uiPriority w:val="99"/>
    <w:rsid w:val="009B35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174152335">
      <w:bodyDiv w:val="1"/>
      <w:marLeft w:val="0"/>
      <w:marRight w:val="0"/>
      <w:marTop w:val="0"/>
      <w:marBottom w:val="0"/>
      <w:divBdr>
        <w:top w:val="none" w:sz="0" w:space="0" w:color="auto"/>
        <w:left w:val="none" w:sz="0" w:space="0" w:color="auto"/>
        <w:bottom w:val="none" w:sz="0" w:space="0" w:color="auto"/>
        <w:right w:val="none" w:sz="0" w:space="0" w:color="auto"/>
      </w:divBdr>
      <w:divsChild>
        <w:div w:id="2013101745">
          <w:marLeft w:val="0"/>
          <w:marRight w:val="0"/>
          <w:marTop w:val="0"/>
          <w:marBottom w:val="0"/>
          <w:divBdr>
            <w:top w:val="none" w:sz="0" w:space="0" w:color="auto"/>
            <w:left w:val="none" w:sz="0" w:space="0" w:color="auto"/>
            <w:bottom w:val="none" w:sz="0" w:space="0" w:color="auto"/>
            <w:right w:val="none" w:sz="0" w:space="0" w:color="auto"/>
          </w:divBdr>
          <w:divsChild>
            <w:div w:id="839542524">
              <w:marLeft w:val="0"/>
              <w:marRight w:val="0"/>
              <w:marTop w:val="0"/>
              <w:marBottom w:val="0"/>
              <w:divBdr>
                <w:top w:val="none" w:sz="0" w:space="0" w:color="auto"/>
                <w:left w:val="none" w:sz="0" w:space="0" w:color="auto"/>
                <w:bottom w:val="none" w:sz="0" w:space="0" w:color="auto"/>
                <w:right w:val="none" w:sz="0" w:space="0" w:color="auto"/>
              </w:divBdr>
              <w:divsChild>
                <w:div w:id="912277313">
                  <w:marLeft w:val="0"/>
                  <w:marRight w:val="0"/>
                  <w:marTop w:val="0"/>
                  <w:marBottom w:val="0"/>
                  <w:divBdr>
                    <w:top w:val="none" w:sz="0" w:space="0" w:color="auto"/>
                    <w:left w:val="none" w:sz="0" w:space="0" w:color="auto"/>
                    <w:bottom w:val="none" w:sz="0" w:space="0" w:color="auto"/>
                    <w:right w:val="none" w:sz="0" w:space="0" w:color="auto"/>
                  </w:divBdr>
                  <w:divsChild>
                    <w:div w:id="989094213">
                      <w:marLeft w:val="-150"/>
                      <w:marRight w:val="-150"/>
                      <w:marTop w:val="0"/>
                      <w:marBottom w:val="0"/>
                      <w:divBdr>
                        <w:top w:val="none" w:sz="0" w:space="0" w:color="auto"/>
                        <w:left w:val="none" w:sz="0" w:space="0" w:color="auto"/>
                        <w:bottom w:val="none" w:sz="0" w:space="0" w:color="auto"/>
                        <w:right w:val="none" w:sz="0" w:space="0" w:color="auto"/>
                      </w:divBdr>
                      <w:divsChild>
                        <w:div w:id="1450590024">
                          <w:marLeft w:val="0"/>
                          <w:marRight w:val="0"/>
                          <w:marTop w:val="0"/>
                          <w:marBottom w:val="0"/>
                          <w:divBdr>
                            <w:top w:val="none" w:sz="0" w:space="0" w:color="auto"/>
                            <w:left w:val="none" w:sz="0" w:space="0" w:color="auto"/>
                            <w:bottom w:val="none" w:sz="0" w:space="0" w:color="auto"/>
                            <w:right w:val="none" w:sz="0" w:space="0" w:color="auto"/>
                          </w:divBdr>
                          <w:divsChild>
                            <w:div w:id="1231037401">
                              <w:marLeft w:val="0"/>
                              <w:marRight w:val="0"/>
                              <w:marTop w:val="0"/>
                              <w:marBottom w:val="0"/>
                              <w:divBdr>
                                <w:top w:val="none" w:sz="0" w:space="0" w:color="auto"/>
                                <w:left w:val="none" w:sz="0" w:space="0" w:color="auto"/>
                                <w:bottom w:val="none" w:sz="0" w:space="0" w:color="auto"/>
                                <w:right w:val="none" w:sz="0" w:space="0" w:color="auto"/>
                              </w:divBdr>
                              <w:divsChild>
                                <w:div w:id="462845505">
                                  <w:marLeft w:val="0"/>
                                  <w:marRight w:val="0"/>
                                  <w:marTop w:val="0"/>
                                  <w:marBottom w:val="300"/>
                                  <w:divBdr>
                                    <w:top w:val="none" w:sz="0" w:space="0" w:color="auto"/>
                                    <w:left w:val="none" w:sz="0" w:space="0" w:color="auto"/>
                                    <w:bottom w:val="none" w:sz="0" w:space="0" w:color="auto"/>
                                    <w:right w:val="none" w:sz="0" w:space="0" w:color="auto"/>
                                  </w:divBdr>
                                  <w:divsChild>
                                    <w:div w:id="272246400">
                                      <w:marLeft w:val="0"/>
                                      <w:marRight w:val="0"/>
                                      <w:marTop w:val="0"/>
                                      <w:marBottom w:val="0"/>
                                      <w:divBdr>
                                        <w:top w:val="none" w:sz="0" w:space="0" w:color="auto"/>
                                        <w:left w:val="none" w:sz="0" w:space="0" w:color="auto"/>
                                        <w:bottom w:val="none" w:sz="0" w:space="0" w:color="auto"/>
                                        <w:right w:val="none" w:sz="0" w:space="0" w:color="auto"/>
                                      </w:divBdr>
                                      <w:divsChild>
                                        <w:div w:id="1466006413">
                                          <w:marLeft w:val="0"/>
                                          <w:marRight w:val="0"/>
                                          <w:marTop w:val="0"/>
                                          <w:marBottom w:val="0"/>
                                          <w:divBdr>
                                            <w:top w:val="none" w:sz="0" w:space="0" w:color="auto"/>
                                            <w:left w:val="none" w:sz="0" w:space="0" w:color="auto"/>
                                            <w:bottom w:val="none" w:sz="0" w:space="0" w:color="auto"/>
                                            <w:right w:val="none" w:sz="0" w:space="0" w:color="auto"/>
                                          </w:divBdr>
                                          <w:divsChild>
                                            <w:div w:id="1812360262">
                                              <w:marLeft w:val="0"/>
                                              <w:marRight w:val="0"/>
                                              <w:marTop w:val="0"/>
                                              <w:marBottom w:val="0"/>
                                              <w:divBdr>
                                                <w:top w:val="none" w:sz="0" w:space="0" w:color="auto"/>
                                                <w:left w:val="none" w:sz="0" w:space="0" w:color="auto"/>
                                                <w:bottom w:val="none" w:sz="0" w:space="0" w:color="auto"/>
                                                <w:right w:val="none" w:sz="0" w:space="0" w:color="auto"/>
                                              </w:divBdr>
                                              <w:divsChild>
                                                <w:div w:id="979961279">
                                                  <w:marLeft w:val="0"/>
                                                  <w:marRight w:val="0"/>
                                                  <w:marTop w:val="0"/>
                                                  <w:marBottom w:val="0"/>
                                                  <w:divBdr>
                                                    <w:top w:val="none" w:sz="0" w:space="0" w:color="auto"/>
                                                    <w:left w:val="none" w:sz="0" w:space="0" w:color="auto"/>
                                                    <w:bottom w:val="none" w:sz="0" w:space="0" w:color="auto"/>
                                                    <w:right w:val="none" w:sz="0" w:space="0" w:color="auto"/>
                                                  </w:divBdr>
                                                  <w:divsChild>
                                                    <w:div w:id="1483961724">
                                                      <w:marLeft w:val="0"/>
                                                      <w:marRight w:val="0"/>
                                                      <w:marTop w:val="0"/>
                                                      <w:marBottom w:val="0"/>
                                                      <w:divBdr>
                                                        <w:top w:val="none" w:sz="0" w:space="0" w:color="auto"/>
                                                        <w:left w:val="none" w:sz="0" w:space="0" w:color="auto"/>
                                                        <w:bottom w:val="none" w:sz="0" w:space="0" w:color="auto"/>
                                                        <w:right w:val="none" w:sz="0" w:space="0" w:color="auto"/>
                                                      </w:divBdr>
                                                      <w:divsChild>
                                                        <w:div w:id="1503004214">
                                                          <w:marLeft w:val="0"/>
                                                          <w:marRight w:val="0"/>
                                                          <w:marTop w:val="0"/>
                                                          <w:marBottom w:val="0"/>
                                                          <w:divBdr>
                                                            <w:top w:val="none" w:sz="0" w:space="0" w:color="auto"/>
                                                            <w:left w:val="none" w:sz="0" w:space="0" w:color="auto"/>
                                                            <w:bottom w:val="none" w:sz="0" w:space="0" w:color="auto"/>
                                                            <w:right w:val="none" w:sz="0" w:space="0" w:color="auto"/>
                                                          </w:divBdr>
                                                          <w:divsChild>
                                                            <w:div w:id="16868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58AC-7673-4AE8-AE96-C199B103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1266</Words>
  <Characters>722</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2018-11-22T07:52:00Z</dcterms:created>
  <dc:creator>SM</dc:creator>
  <cp:lastModifiedBy>Vlada Zeguniene</cp:lastModifiedBy>
  <cp:lastPrinted>2009-05-26T09:45:00Z</cp:lastPrinted>
  <dcterms:modified xsi:type="dcterms:W3CDTF">2018-12-06T11:10:00Z</dcterms:modified>
  <cp:revision>11</cp:revision>
  <dc:title>ES TEISĖS AKTO IR LIETUVOS RESPUBLIKOS</dc:title>
</cp:coreProperties>
</file>