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D63E2" w14:textId="77777777" w:rsidR="005F43FA" w:rsidRPr="006006E7" w:rsidRDefault="003B579F" w:rsidP="005F43FA">
      <w:pPr>
        <w:spacing w:after="0" w:line="240" w:lineRule="auto"/>
        <w:jc w:val="center"/>
        <w:outlineLvl w:val="0"/>
        <w:rPr>
          <w:rFonts w:eastAsia="Calibri" w:cs="Times New Roman"/>
          <w:b/>
          <w:caps/>
          <w:szCs w:val="24"/>
        </w:rPr>
      </w:pPr>
      <w:r w:rsidRPr="006006E7">
        <w:rPr>
          <w:rFonts w:eastAsia="Calibri" w:cs="Times New Roman"/>
          <w:b/>
          <w:caps/>
          <w:szCs w:val="24"/>
        </w:rPr>
        <w:t>Derinimo pažyma</w:t>
      </w:r>
      <w:r w:rsidR="00DC7AFD" w:rsidRPr="006006E7">
        <w:rPr>
          <w:rFonts w:eastAsia="Calibri" w:cs="Times New Roman"/>
          <w:b/>
          <w:caps/>
          <w:szCs w:val="24"/>
        </w:rPr>
        <w:t xml:space="preserve"> </w:t>
      </w:r>
    </w:p>
    <w:p w14:paraId="735D8EF2" w14:textId="5037D71C" w:rsidR="005F43FA" w:rsidRPr="006006E7" w:rsidRDefault="00754A39" w:rsidP="007050A8">
      <w:pPr>
        <w:spacing w:after="0" w:line="240" w:lineRule="auto"/>
        <w:jc w:val="center"/>
        <w:rPr>
          <w:rFonts w:eastAsia="Times New Roman" w:cs="Times New Roman"/>
          <w:b/>
          <w:bCs/>
          <w:color w:val="000000"/>
          <w:szCs w:val="24"/>
          <w:lang w:eastAsia="ru-RU"/>
        </w:rPr>
      </w:pPr>
      <w:r w:rsidRPr="006006E7">
        <w:rPr>
          <w:rFonts w:eastAsia="Times New Roman" w:cs="Times New Roman"/>
          <w:b/>
          <w:bCs/>
          <w:color w:val="000000"/>
          <w:szCs w:val="24"/>
          <w:lang w:eastAsia="ru-RU"/>
        </w:rPr>
        <w:t>DĖL LIETUVOS RESPUBLIKOS BAUDŽIAMOJO KODEKSO 156, 167, 178, 181, 182, 183, 184, 190, 192, 196, 197, 199, 199</w:t>
      </w:r>
      <w:r w:rsidRPr="006006E7">
        <w:rPr>
          <w:rFonts w:eastAsia="Times New Roman" w:cs="Times New Roman"/>
          <w:b/>
          <w:bCs/>
          <w:color w:val="000000"/>
          <w:szCs w:val="24"/>
          <w:vertAlign w:val="superscript"/>
          <w:lang w:eastAsia="ru-RU"/>
        </w:rPr>
        <w:t>1</w:t>
      </w:r>
      <w:r w:rsidRPr="006006E7">
        <w:rPr>
          <w:rFonts w:eastAsia="Times New Roman" w:cs="Times New Roman"/>
          <w:b/>
          <w:bCs/>
          <w:color w:val="000000"/>
          <w:szCs w:val="24"/>
          <w:lang w:eastAsia="ru-RU"/>
        </w:rPr>
        <w:t>, 199</w:t>
      </w:r>
      <w:r w:rsidRPr="006006E7">
        <w:rPr>
          <w:rFonts w:eastAsia="Times New Roman" w:cs="Times New Roman"/>
          <w:b/>
          <w:bCs/>
          <w:color w:val="000000"/>
          <w:szCs w:val="24"/>
          <w:vertAlign w:val="superscript"/>
          <w:lang w:eastAsia="ru-RU"/>
        </w:rPr>
        <w:t>2</w:t>
      </w:r>
      <w:r w:rsidRPr="006006E7">
        <w:rPr>
          <w:rFonts w:eastAsia="Times New Roman" w:cs="Times New Roman"/>
          <w:b/>
          <w:bCs/>
          <w:color w:val="000000"/>
          <w:szCs w:val="24"/>
          <w:lang w:eastAsia="ru-RU"/>
        </w:rPr>
        <w:t>, 200, 203, 204, 206, 208, 209, 212, 219, 220, 221, 224</w:t>
      </w:r>
      <w:r w:rsidRPr="006006E7">
        <w:rPr>
          <w:rFonts w:eastAsia="Times New Roman" w:cs="Times New Roman"/>
          <w:b/>
          <w:bCs/>
          <w:color w:val="000000"/>
          <w:szCs w:val="24"/>
          <w:vertAlign w:val="superscript"/>
          <w:lang w:eastAsia="ru-RU"/>
        </w:rPr>
        <w:t>1</w:t>
      </w:r>
      <w:r w:rsidR="00F4197F" w:rsidRPr="006006E7">
        <w:rPr>
          <w:rFonts w:eastAsia="Times New Roman" w:cs="Times New Roman"/>
          <w:b/>
          <w:bCs/>
          <w:color w:val="000000"/>
          <w:szCs w:val="24"/>
          <w:lang w:eastAsia="ru-RU"/>
        </w:rPr>
        <w:t xml:space="preserve">, 246, 248, 254, 255, 270, 272 </w:t>
      </w:r>
      <w:r w:rsidRPr="006006E7">
        <w:rPr>
          <w:rFonts w:eastAsia="Times New Roman" w:cs="Times New Roman"/>
          <w:b/>
          <w:bCs/>
          <w:color w:val="000000"/>
          <w:szCs w:val="24"/>
          <w:lang w:eastAsia="ru-RU"/>
        </w:rPr>
        <w:t>IR 281 STRAIPSNIŲ PAKEITIMO, KODEKSO PAPILDYMO 282</w:t>
      </w:r>
      <w:r w:rsidRPr="006006E7">
        <w:rPr>
          <w:rFonts w:eastAsia="Times New Roman" w:cs="Times New Roman"/>
          <w:b/>
          <w:bCs/>
          <w:color w:val="000000"/>
          <w:szCs w:val="24"/>
          <w:vertAlign w:val="superscript"/>
          <w:lang w:eastAsia="ru-RU"/>
        </w:rPr>
        <w:t>1</w:t>
      </w:r>
      <w:r w:rsidRPr="006006E7">
        <w:rPr>
          <w:rFonts w:eastAsia="Times New Roman" w:cs="Times New Roman"/>
          <w:b/>
          <w:bCs/>
          <w:color w:val="000000"/>
          <w:szCs w:val="24"/>
          <w:lang w:eastAsia="ru-RU"/>
        </w:rPr>
        <w:t xml:space="preserve"> STRAIPSNIU IR KODEKSO 177, 186 IR 298 STRAIPSNIŲ PRIPAŽINIMO NETEKUSIAIS GALIOS ĮSTATYMO PROJEKTO, LIETUVOS RESPUBLIKOS ADMINISTRACINIŲ NUSIŽENGIMŲ KODEKSO 108, 109, 115, 122, 125, 187, 291, 293 IR 423 STRAIPSNIŲ PAKEITIMO IR KODEKSO PAPILDYMO 83</w:t>
      </w:r>
      <w:r w:rsidRPr="006006E7">
        <w:rPr>
          <w:rFonts w:eastAsia="Times New Roman" w:cs="Times New Roman"/>
          <w:b/>
          <w:bCs/>
          <w:color w:val="000000"/>
          <w:szCs w:val="24"/>
          <w:vertAlign w:val="superscript"/>
          <w:lang w:eastAsia="ru-RU"/>
        </w:rPr>
        <w:t>1</w:t>
      </w:r>
      <w:r w:rsidRPr="006006E7">
        <w:rPr>
          <w:rFonts w:eastAsia="Times New Roman" w:cs="Times New Roman"/>
          <w:b/>
          <w:bCs/>
          <w:color w:val="000000"/>
          <w:szCs w:val="24"/>
          <w:lang w:eastAsia="ru-RU"/>
        </w:rPr>
        <w:t>, 107</w:t>
      </w:r>
      <w:r w:rsidRPr="006006E7">
        <w:rPr>
          <w:rFonts w:eastAsia="Times New Roman" w:cs="Times New Roman"/>
          <w:b/>
          <w:bCs/>
          <w:color w:val="000000"/>
          <w:szCs w:val="24"/>
          <w:vertAlign w:val="superscript"/>
          <w:lang w:eastAsia="ru-RU"/>
        </w:rPr>
        <w:t>1</w:t>
      </w:r>
      <w:r w:rsidRPr="006006E7">
        <w:rPr>
          <w:rFonts w:eastAsia="Times New Roman" w:cs="Times New Roman"/>
          <w:b/>
          <w:bCs/>
          <w:color w:val="000000"/>
          <w:szCs w:val="24"/>
          <w:lang w:eastAsia="ru-RU"/>
        </w:rPr>
        <w:t>, 113</w:t>
      </w:r>
      <w:r w:rsidRPr="006006E7">
        <w:rPr>
          <w:rFonts w:eastAsia="Times New Roman" w:cs="Times New Roman"/>
          <w:b/>
          <w:bCs/>
          <w:color w:val="000000"/>
          <w:szCs w:val="24"/>
          <w:vertAlign w:val="superscript"/>
          <w:lang w:eastAsia="ru-RU"/>
        </w:rPr>
        <w:t xml:space="preserve">1 </w:t>
      </w:r>
      <w:r w:rsidRPr="006006E7">
        <w:rPr>
          <w:rFonts w:eastAsia="Times New Roman" w:cs="Times New Roman"/>
          <w:b/>
          <w:bCs/>
          <w:color w:val="000000"/>
          <w:szCs w:val="24"/>
          <w:lang w:eastAsia="ru-RU"/>
        </w:rPr>
        <w:t>IR 187</w:t>
      </w:r>
      <w:r w:rsidRPr="006006E7">
        <w:rPr>
          <w:rFonts w:eastAsia="Times New Roman" w:cs="Times New Roman"/>
          <w:b/>
          <w:bCs/>
          <w:color w:val="000000"/>
          <w:szCs w:val="24"/>
          <w:vertAlign w:val="superscript"/>
          <w:lang w:eastAsia="ru-RU"/>
        </w:rPr>
        <w:t>1</w:t>
      </w:r>
      <w:r w:rsidRPr="006006E7">
        <w:rPr>
          <w:rFonts w:eastAsia="Times New Roman" w:cs="Times New Roman"/>
          <w:b/>
          <w:bCs/>
          <w:color w:val="000000"/>
          <w:szCs w:val="24"/>
          <w:lang w:eastAsia="ru-RU"/>
        </w:rPr>
        <w:t xml:space="preserve"> STRAIPSNIAIS ĮSTATYMO PROJEKTO, LIETUVOS RESPUBLIKOS BAUDŽIAMOJO PROCESO KODEKSO 122, 167 IR 225 STRAIPSNIŲ PAKEITIMO ĮSTATYMO PROJEKTO IR LIETUVOS RESPUBLIKOS KRIMINALINĖS ŽVALGYBOS ĮSTATYMO NR. XI-2234 8 STRAIPSNIO PAKEITIMO ĮSTATYMO PROJEKTO</w:t>
      </w:r>
    </w:p>
    <w:p w14:paraId="1A219259" w14:textId="77777777" w:rsidR="007050A8" w:rsidRPr="006006E7" w:rsidRDefault="007050A8" w:rsidP="007050A8">
      <w:pPr>
        <w:spacing w:after="0" w:line="240" w:lineRule="auto"/>
        <w:jc w:val="center"/>
        <w:rPr>
          <w:rFonts w:eastAsia="Calibri" w:cs="Times New Roman"/>
          <w:b/>
          <w:bCs/>
          <w:caps/>
          <w:szCs w:val="24"/>
        </w:rPr>
      </w:pPr>
      <w:r w:rsidRPr="006006E7">
        <w:rPr>
          <w:rFonts w:eastAsia="Calibri" w:cs="Times New Roman"/>
          <w:b/>
          <w:bCs/>
          <w:caps/>
          <w:szCs w:val="24"/>
        </w:rPr>
        <w:t>(TAP Nr. 20-285)(TAIS Nr. 19-13578(2))</w:t>
      </w:r>
    </w:p>
    <w:tbl>
      <w:tblPr>
        <w:tblStyle w:val="Lentelstinklelis"/>
        <w:tblW w:w="15593" w:type="dxa"/>
        <w:tblInd w:w="-1139" w:type="dxa"/>
        <w:tblLook w:val="04A0" w:firstRow="1" w:lastRow="0" w:firstColumn="1" w:lastColumn="0" w:noHBand="0" w:noVBand="1"/>
      </w:tblPr>
      <w:tblGrid>
        <w:gridCol w:w="2127"/>
        <w:gridCol w:w="5670"/>
        <w:gridCol w:w="7796"/>
      </w:tblGrid>
      <w:tr w:rsidR="006959FE" w:rsidRPr="006006E7" w14:paraId="4FD247C8" w14:textId="77777777" w:rsidTr="005F43FA">
        <w:tc>
          <w:tcPr>
            <w:tcW w:w="2127" w:type="dxa"/>
            <w:tcBorders>
              <w:top w:val="single" w:sz="4" w:space="0" w:color="auto"/>
              <w:left w:val="single" w:sz="4" w:space="0" w:color="auto"/>
              <w:bottom w:val="single" w:sz="4" w:space="0" w:color="auto"/>
              <w:right w:val="single" w:sz="4" w:space="0" w:color="auto"/>
            </w:tcBorders>
          </w:tcPr>
          <w:p w14:paraId="6741BC71" w14:textId="63E9600B" w:rsidR="005D4147" w:rsidRPr="006006E7" w:rsidRDefault="00502EF6" w:rsidP="007D18E3">
            <w:pPr>
              <w:jc w:val="center"/>
              <w:rPr>
                <w:rFonts w:cs="Times New Roman"/>
                <w:szCs w:val="24"/>
              </w:rPr>
            </w:pPr>
            <w:r w:rsidRPr="006006E7">
              <w:rPr>
                <w:rFonts w:cs="Times New Roman"/>
                <w:szCs w:val="24"/>
              </w:rPr>
              <w:t>Institucija</w:t>
            </w:r>
          </w:p>
        </w:tc>
        <w:tc>
          <w:tcPr>
            <w:tcW w:w="5670" w:type="dxa"/>
            <w:tcBorders>
              <w:top w:val="single" w:sz="4" w:space="0" w:color="auto"/>
              <w:left w:val="single" w:sz="4" w:space="0" w:color="auto"/>
              <w:bottom w:val="single" w:sz="4" w:space="0" w:color="auto"/>
              <w:right w:val="single" w:sz="4" w:space="0" w:color="auto"/>
            </w:tcBorders>
          </w:tcPr>
          <w:p w14:paraId="5FE735DB" w14:textId="77777777" w:rsidR="005D4147" w:rsidRPr="006006E7" w:rsidRDefault="005D4147" w:rsidP="007D18E3">
            <w:pPr>
              <w:pStyle w:val="Preformatted"/>
              <w:tabs>
                <w:tab w:val="clear" w:pos="959"/>
                <w:tab w:val="clear" w:pos="1918"/>
                <w:tab w:val="left" w:pos="1276"/>
              </w:tabs>
              <w:ind w:left="709"/>
              <w:jc w:val="center"/>
              <w:rPr>
                <w:rFonts w:ascii="Times New Roman" w:hAnsi="Times New Roman"/>
                <w:sz w:val="24"/>
                <w:szCs w:val="24"/>
              </w:rPr>
            </w:pPr>
            <w:r w:rsidRPr="006006E7">
              <w:rPr>
                <w:rFonts w:ascii="Times New Roman" w:hAnsi="Times New Roman"/>
                <w:sz w:val="24"/>
                <w:szCs w:val="24"/>
              </w:rPr>
              <w:t>Pastabos</w:t>
            </w:r>
          </w:p>
        </w:tc>
        <w:tc>
          <w:tcPr>
            <w:tcW w:w="7796" w:type="dxa"/>
            <w:tcBorders>
              <w:top w:val="single" w:sz="4" w:space="0" w:color="auto"/>
              <w:left w:val="single" w:sz="4" w:space="0" w:color="auto"/>
              <w:bottom w:val="single" w:sz="4" w:space="0" w:color="auto"/>
              <w:right w:val="single" w:sz="4" w:space="0" w:color="auto"/>
            </w:tcBorders>
          </w:tcPr>
          <w:p w14:paraId="440A0799" w14:textId="77777777" w:rsidR="005D4147" w:rsidRPr="006006E7" w:rsidRDefault="005D4147" w:rsidP="007D18E3">
            <w:pPr>
              <w:jc w:val="center"/>
              <w:rPr>
                <w:rFonts w:cs="Times New Roman"/>
                <w:szCs w:val="24"/>
              </w:rPr>
            </w:pPr>
            <w:r w:rsidRPr="006006E7">
              <w:rPr>
                <w:rFonts w:cs="Times New Roman"/>
                <w:szCs w:val="24"/>
              </w:rPr>
              <w:t>Įvertinimas</w:t>
            </w:r>
          </w:p>
        </w:tc>
      </w:tr>
      <w:tr w:rsidR="00F730E4" w:rsidRPr="006006E7" w14:paraId="2CEE5930" w14:textId="77777777" w:rsidTr="005F43FA">
        <w:tc>
          <w:tcPr>
            <w:tcW w:w="2127" w:type="dxa"/>
            <w:tcBorders>
              <w:top w:val="single" w:sz="4" w:space="0" w:color="auto"/>
              <w:left w:val="single" w:sz="4" w:space="0" w:color="auto"/>
              <w:bottom w:val="single" w:sz="4" w:space="0" w:color="auto"/>
              <w:right w:val="single" w:sz="4" w:space="0" w:color="auto"/>
            </w:tcBorders>
          </w:tcPr>
          <w:p w14:paraId="51189D45" w14:textId="6FEB7CD9" w:rsidR="00F730E4" w:rsidRPr="006006E7" w:rsidRDefault="00754A39" w:rsidP="00A348B6">
            <w:pPr>
              <w:rPr>
                <w:rFonts w:cs="Times New Roman"/>
                <w:szCs w:val="24"/>
              </w:rPr>
            </w:pPr>
            <w:r w:rsidRPr="006006E7">
              <w:rPr>
                <w:rFonts w:cs="Times New Roman"/>
                <w:szCs w:val="24"/>
              </w:rPr>
              <w:t xml:space="preserve">Lietuvos Respublikos Vyriausybės kanceliarijos </w:t>
            </w:r>
            <w:r w:rsidR="00A348B6" w:rsidRPr="006006E7">
              <w:rPr>
                <w:rFonts w:cs="Times New Roman"/>
                <w:szCs w:val="24"/>
              </w:rPr>
              <w:t xml:space="preserve"> </w:t>
            </w:r>
            <w:r w:rsidR="0032091C">
              <w:rPr>
                <w:rFonts w:cs="Times New Roman"/>
                <w:szCs w:val="24"/>
              </w:rPr>
              <w:t>Viešojo valdymo grupė</w:t>
            </w:r>
            <w:r w:rsidRPr="006006E7">
              <w:rPr>
                <w:rFonts w:cs="Times New Roman"/>
                <w:szCs w:val="24"/>
              </w:rPr>
              <w:t xml:space="preserve"> </w:t>
            </w:r>
            <w:r w:rsidR="0032091C">
              <w:rPr>
                <w:rFonts w:cs="Times New Roman"/>
                <w:szCs w:val="24"/>
              </w:rPr>
              <w:t>(</w:t>
            </w:r>
            <w:r w:rsidR="00A348B6" w:rsidRPr="006006E7">
              <w:rPr>
                <w:rFonts w:cs="Times New Roman"/>
                <w:szCs w:val="24"/>
              </w:rPr>
              <w:t xml:space="preserve">2020-03-17 </w:t>
            </w:r>
            <w:r w:rsidRPr="006006E7">
              <w:rPr>
                <w:rFonts w:cs="Times New Roman"/>
                <w:szCs w:val="24"/>
              </w:rPr>
              <w:t>išvada</w:t>
            </w:r>
            <w:r w:rsidR="0032091C">
              <w:rPr>
                <w:rFonts w:cs="Times New Roman"/>
                <w:szCs w:val="24"/>
              </w:rPr>
              <w:t xml:space="preserve"> N</w:t>
            </w:r>
            <w:r w:rsidR="003D39E4" w:rsidRPr="006006E7">
              <w:rPr>
                <w:rFonts w:cs="Times New Roman"/>
                <w:szCs w:val="24"/>
              </w:rPr>
              <w:t>r.</w:t>
            </w:r>
            <w:r w:rsidR="00A348B6" w:rsidRPr="006006E7">
              <w:t xml:space="preserve"> </w:t>
            </w:r>
            <w:r w:rsidR="00A348B6" w:rsidRPr="006006E7">
              <w:rPr>
                <w:rFonts w:cs="Times New Roman"/>
                <w:szCs w:val="24"/>
              </w:rPr>
              <w:t>NV-720)</w:t>
            </w:r>
          </w:p>
        </w:tc>
        <w:tc>
          <w:tcPr>
            <w:tcW w:w="5670" w:type="dxa"/>
            <w:tcBorders>
              <w:top w:val="single" w:sz="4" w:space="0" w:color="auto"/>
              <w:left w:val="single" w:sz="4" w:space="0" w:color="auto"/>
              <w:bottom w:val="single" w:sz="4" w:space="0" w:color="auto"/>
              <w:right w:val="single" w:sz="4" w:space="0" w:color="auto"/>
            </w:tcBorders>
          </w:tcPr>
          <w:p w14:paraId="38564333" w14:textId="77777777" w:rsidR="00F730E4" w:rsidRPr="006006E7" w:rsidRDefault="00164DF1" w:rsidP="00164DF1">
            <w:pPr>
              <w:pStyle w:val="Standard"/>
              <w:tabs>
                <w:tab w:val="left" w:pos="8245"/>
              </w:tabs>
              <w:overflowPunct w:val="0"/>
              <w:autoSpaceDE w:val="0"/>
              <w:jc w:val="both"/>
              <w:rPr>
                <w:rFonts w:ascii="Times New Roman" w:hAnsi="Times New Roman"/>
                <w:sz w:val="24"/>
                <w:szCs w:val="24"/>
              </w:rPr>
            </w:pPr>
            <w:r w:rsidRPr="006006E7">
              <w:rPr>
                <w:rFonts w:ascii="Times New Roman" w:hAnsi="Times New Roman"/>
                <w:sz w:val="24"/>
                <w:szCs w:val="24"/>
              </w:rPr>
              <w:t>1. Keičiamame BK 199 str. 2 d. numatoma nauja švelnesnė atsakomybė už nedidelio kiekio narkotinių medžiagų gabenimą (bauda, areštas arba laisvės atėmimo iki 6 m.). Atkreiptinas dėmesys į tai, kad aiškinamajame rašte pateikiama iš esmės analogiška argumentacija tiek kalbant apie nedidelio kiekio narkotinių medžiagų (pvz. viena suktinė), tiek ir ginklų, sprogmenų (pvz. keletas šovinių, 50 g. parako) gabenimą. Manytina, kad tie patys argumentai galėtų būti pateikti ir kalbant apie gabenimą nedidelio kiekio radioaktyviųjų medžiagų (pvz. keletą senovinių prietaisų ciferblatų, kuriuose naudotos radžio druskos), prekursorių (nedidelis kiekis efedrino) etc. Atsižvelgiant į tai, siūlytina numatyti švelnesnę normą visų 199 str. vardijamų medžiagų atžvilgiu.</w:t>
            </w:r>
          </w:p>
        </w:tc>
        <w:tc>
          <w:tcPr>
            <w:tcW w:w="7796" w:type="dxa"/>
            <w:tcBorders>
              <w:top w:val="single" w:sz="4" w:space="0" w:color="auto"/>
              <w:left w:val="single" w:sz="4" w:space="0" w:color="auto"/>
              <w:bottom w:val="single" w:sz="4" w:space="0" w:color="auto"/>
              <w:right w:val="single" w:sz="4" w:space="0" w:color="auto"/>
            </w:tcBorders>
          </w:tcPr>
          <w:p w14:paraId="605CBAEA" w14:textId="409956F5" w:rsidR="00F730E4" w:rsidRPr="006006E7" w:rsidRDefault="00D27342" w:rsidP="005F43FA">
            <w:pPr>
              <w:jc w:val="both"/>
              <w:rPr>
                <w:rFonts w:cs="Times New Roman"/>
                <w:b/>
                <w:szCs w:val="24"/>
              </w:rPr>
            </w:pPr>
            <w:r w:rsidRPr="006006E7">
              <w:rPr>
                <w:rFonts w:cs="Times New Roman"/>
                <w:b/>
                <w:szCs w:val="24"/>
              </w:rPr>
              <w:t>P</w:t>
            </w:r>
            <w:r w:rsidR="00164DF1" w:rsidRPr="006006E7">
              <w:rPr>
                <w:rFonts w:cs="Times New Roman"/>
                <w:b/>
                <w:szCs w:val="24"/>
              </w:rPr>
              <w:t>ritarti</w:t>
            </w:r>
            <w:r w:rsidRPr="006006E7">
              <w:rPr>
                <w:rFonts w:cs="Times New Roman"/>
                <w:b/>
                <w:szCs w:val="24"/>
              </w:rPr>
              <w:t xml:space="preserve"> iš dalies</w:t>
            </w:r>
            <w:r w:rsidR="00164DF1" w:rsidRPr="006006E7">
              <w:rPr>
                <w:rFonts w:cs="Times New Roman"/>
                <w:b/>
                <w:szCs w:val="24"/>
              </w:rPr>
              <w:t>.</w:t>
            </w:r>
          </w:p>
          <w:p w14:paraId="2700BE44" w14:textId="55E90800" w:rsidR="00D27342" w:rsidRPr="006006E7" w:rsidRDefault="00D27342" w:rsidP="00E008B8">
            <w:pPr>
              <w:jc w:val="both"/>
              <w:rPr>
                <w:rFonts w:cs="Times New Roman"/>
                <w:bCs/>
                <w:szCs w:val="24"/>
              </w:rPr>
            </w:pPr>
            <w:r w:rsidRPr="006006E7">
              <w:rPr>
                <w:rFonts w:cs="Times New Roman"/>
                <w:bCs/>
                <w:szCs w:val="24"/>
              </w:rPr>
              <w:t xml:space="preserve">Pastabos autorių siūlymas pagrįstas ne visai pilnu situacijos išaiškinimu įstatymų projektų aiškinamajame rašte, todėl aiškinamasis raštas </w:t>
            </w:r>
            <w:r w:rsidRPr="006006E7">
              <w:rPr>
                <w:rFonts w:cs="Times New Roman"/>
                <w:bCs/>
                <w:i/>
                <w:szCs w:val="24"/>
              </w:rPr>
              <w:t>bus papildytas</w:t>
            </w:r>
            <w:r w:rsidRPr="006006E7">
              <w:rPr>
                <w:rFonts w:cs="Times New Roman"/>
                <w:bCs/>
                <w:szCs w:val="24"/>
              </w:rPr>
              <w:t xml:space="preserve"> </w:t>
            </w:r>
            <w:r w:rsidR="007F0FA4" w:rsidRPr="006006E7">
              <w:rPr>
                <w:rFonts w:cs="Times New Roman"/>
                <w:bCs/>
                <w:i/>
                <w:szCs w:val="24"/>
              </w:rPr>
              <w:t xml:space="preserve">žemiau nurodytais </w:t>
            </w:r>
            <w:r w:rsidRPr="006006E7">
              <w:rPr>
                <w:rFonts w:cs="Times New Roman"/>
                <w:bCs/>
                <w:i/>
                <w:szCs w:val="24"/>
              </w:rPr>
              <w:t>išsamiais argumentais</w:t>
            </w:r>
            <w:r w:rsidRPr="006006E7">
              <w:rPr>
                <w:rFonts w:cs="Times New Roman"/>
                <w:bCs/>
                <w:szCs w:val="24"/>
              </w:rPr>
              <w:t xml:space="preserve">, </w:t>
            </w:r>
            <w:r w:rsidRPr="006006E7">
              <w:rPr>
                <w:rFonts w:cs="Times New Roman"/>
                <w:bCs/>
                <w:i/>
                <w:szCs w:val="24"/>
              </w:rPr>
              <w:t>kodėl minėtas siūlymas praktiškai neįgyvendinamas</w:t>
            </w:r>
            <w:r w:rsidR="00D850E7" w:rsidRPr="006006E7">
              <w:rPr>
                <w:rFonts w:cs="Times New Roman"/>
                <w:bCs/>
                <w:szCs w:val="24"/>
              </w:rPr>
              <w:t>.</w:t>
            </w:r>
          </w:p>
          <w:p w14:paraId="00487647" w14:textId="4473FE42" w:rsidR="00E008B8" w:rsidRPr="006006E7" w:rsidRDefault="00164DF1" w:rsidP="00E008B8">
            <w:pPr>
              <w:jc w:val="both"/>
              <w:rPr>
                <w:rFonts w:cs="Times New Roman"/>
                <w:bCs/>
                <w:szCs w:val="24"/>
              </w:rPr>
            </w:pPr>
            <w:r w:rsidRPr="006006E7">
              <w:rPr>
                <w:rFonts w:cs="Times New Roman"/>
                <w:bCs/>
                <w:szCs w:val="24"/>
              </w:rPr>
              <w:t>Pažymėtina, kad BK projektu BK 199 straipsnyje siūlomas nuoseklus baudžiamosios atsakomybės už</w:t>
            </w:r>
            <w:r w:rsidRPr="006006E7">
              <w:rPr>
                <w:rFonts w:cs="Times New Roman"/>
                <w:szCs w:val="24"/>
                <w:lang w:val="ru-RU"/>
              </w:rPr>
              <w:t xml:space="preserve"> </w:t>
            </w:r>
            <w:r w:rsidRPr="006006E7">
              <w:rPr>
                <w:rFonts w:cs="Times New Roman"/>
                <w:szCs w:val="24"/>
              </w:rPr>
              <w:t xml:space="preserve">neteisėtą </w:t>
            </w:r>
            <w:r w:rsidR="00E008B8" w:rsidRPr="006006E7">
              <w:rPr>
                <w:rFonts w:cs="Times New Roman"/>
                <w:bCs/>
                <w:szCs w:val="24"/>
              </w:rPr>
              <w:t>draudžiamųjų daiktų ar medžiagų</w:t>
            </w:r>
            <w:r w:rsidRPr="006006E7">
              <w:rPr>
                <w:rFonts w:cs="Times New Roman"/>
                <w:bCs/>
                <w:szCs w:val="24"/>
              </w:rPr>
              <w:t xml:space="preserve"> gabenimą per Lietuvos Respublikos sieną diferencijavimas, </w:t>
            </w:r>
            <w:r w:rsidRPr="006006E7">
              <w:rPr>
                <w:rFonts w:cs="Times New Roman"/>
                <w:bCs/>
                <w:i/>
                <w:szCs w:val="24"/>
              </w:rPr>
              <w:t>atsižvelgiant į BK Specialiosios dalies normose</w:t>
            </w:r>
            <w:r w:rsidRPr="006006E7">
              <w:rPr>
                <w:rFonts w:cs="Times New Roman"/>
                <w:bCs/>
                <w:szCs w:val="24"/>
              </w:rPr>
              <w:t xml:space="preserve"> (BK 253, 256, 259, 260, 266, 267 straipsniai) </w:t>
            </w:r>
            <w:r w:rsidR="00C93585" w:rsidRPr="006006E7">
              <w:rPr>
                <w:rFonts w:cs="Times New Roman"/>
                <w:bCs/>
                <w:i/>
                <w:szCs w:val="24"/>
                <w:u w:val="single"/>
              </w:rPr>
              <w:t>įtvirtintus</w:t>
            </w:r>
            <w:r w:rsidRPr="006006E7">
              <w:rPr>
                <w:rFonts w:cs="Times New Roman"/>
                <w:bCs/>
                <w:i/>
                <w:szCs w:val="24"/>
              </w:rPr>
              <w:t xml:space="preserve"> paminėtų daiktų ir (ar) medžiagų kiekius</w:t>
            </w:r>
            <w:r w:rsidR="00E008B8" w:rsidRPr="006006E7">
              <w:rPr>
                <w:rFonts w:cs="Times New Roman"/>
                <w:bCs/>
                <w:i/>
                <w:szCs w:val="24"/>
              </w:rPr>
              <w:t>.</w:t>
            </w:r>
            <w:r w:rsidRPr="006006E7">
              <w:rPr>
                <w:rFonts w:cs="Times New Roman"/>
                <w:bCs/>
                <w:szCs w:val="24"/>
              </w:rPr>
              <w:t xml:space="preserve"> </w:t>
            </w:r>
            <w:r w:rsidR="00E008B8" w:rsidRPr="006006E7">
              <w:rPr>
                <w:rFonts w:cs="Times New Roman"/>
                <w:bCs/>
                <w:szCs w:val="24"/>
              </w:rPr>
              <w:t>Atitinkamai, BK 199 str</w:t>
            </w:r>
            <w:r w:rsidR="00C93585" w:rsidRPr="006006E7">
              <w:rPr>
                <w:rFonts w:cs="Times New Roman"/>
                <w:bCs/>
                <w:szCs w:val="24"/>
              </w:rPr>
              <w:t>.</w:t>
            </w:r>
            <w:r w:rsidR="00E008B8" w:rsidRPr="006006E7">
              <w:rPr>
                <w:rFonts w:cs="Times New Roman"/>
                <w:bCs/>
                <w:szCs w:val="24"/>
              </w:rPr>
              <w:t xml:space="preserve"> 2</w:t>
            </w:r>
            <w:r w:rsidR="007F0FA4" w:rsidRPr="006006E7">
              <w:rPr>
                <w:rFonts w:cs="Times New Roman"/>
                <w:bCs/>
                <w:szCs w:val="24"/>
              </w:rPr>
              <w:t>, 3</w:t>
            </w:r>
            <w:r w:rsidR="00E008B8" w:rsidRPr="006006E7">
              <w:rPr>
                <w:rFonts w:cs="Times New Roman"/>
                <w:bCs/>
                <w:szCs w:val="24"/>
              </w:rPr>
              <w:t xml:space="preserve"> ir 4 dalys formuojamos, atsižvelgiant į BK Specialiojoje dalyje </w:t>
            </w:r>
            <w:r w:rsidR="00E008B8" w:rsidRPr="006006E7">
              <w:rPr>
                <w:rFonts w:cs="Times New Roman"/>
                <w:bCs/>
                <w:i/>
                <w:szCs w:val="24"/>
                <w:u w:val="single"/>
              </w:rPr>
              <w:t>jau nurodytu</w:t>
            </w:r>
            <w:r w:rsidR="003E39D1" w:rsidRPr="006006E7">
              <w:rPr>
                <w:rFonts w:cs="Times New Roman"/>
                <w:bCs/>
                <w:i/>
                <w:szCs w:val="24"/>
                <w:u w:val="single"/>
              </w:rPr>
              <w:t>s</w:t>
            </w:r>
            <w:r w:rsidR="00E008B8" w:rsidRPr="006006E7">
              <w:rPr>
                <w:rFonts w:cs="Times New Roman"/>
                <w:bCs/>
                <w:szCs w:val="24"/>
              </w:rPr>
              <w:t xml:space="preserve"> nedidelius, „normalius“</w:t>
            </w:r>
            <w:r w:rsidR="003E39D1" w:rsidRPr="006006E7">
              <w:rPr>
                <w:rFonts w:cs="Times New Roman"/>
                <w:bCs/>
                <w:szCs w:val="24"/>
              </w:rPr>
              <w:t>,</w:t>
            </w:r>
            <w:r w:rsidR="00E008B8" w:rsidRPr="006006E7">
              <w:rPr>
                <w:rFonts w:cs="Times New Roman"/>
                <w:bCs/>
                <w:szCs w:val="24"/>
              </w:rPr>
              <w:t xml:space="preserve"> didelius </w:t>
            </w:r>
            <w:r w:rsidR="003E39D1" w:rsidRPr="006006E7">
              <w:rPr>
                <w:rFonts w:cs="Times New Roman"/>
                <w:bCs/>
                <w:szCs w:val="24"/>
              </w:rPr>
              <w:t xml:space="preserve">ar labai didelius </w:t>
            </w:r>
            <w:r w:rsidR="00E008B8" w:rsidRPr="006006E7">
              <w:rPr>
                <w:rFonts w:cs="Times New Roman"/>
                <w:bCs/>
                <w:szCs w:val="24"/>
              </w:rPr>
              <w:t xml:space="preserve">tam tikrų daiktų ar medžiagų kiekius. Atsižvelgiant į tai, BK </w:t>
            </w:r>
            <w:r w:rsidR="005832B3" w:rsidRPr="006006E7">
              <w:rPr>
                <w:rFonts w:cs="Times New Roman"/>
                <w:bCs/>
                <w:szCs w:val="24"/>
              </w:rPr>
              <w:t xml:space="preserve">projektu BK </w:t>
            </w:r>
            <w:r w:rsidR="00E008B8" w:rsidRPr="006006E7">
              <w:rPr>
                <w:rFonts w:cs="Times New Roman"/>
                <w:bCs/>
                <w:szCs w:val="24"/>
              </w:rPr>
              <w:t xml:space="preserve">199 straipsnyje atsakomybė </w:t>
            </w:r>
            <w:r w:rsidR="00E008B8" w:rsidRPr="006006E7">
              <w:rPr>
                <w:rFonts w:cs="Times New Roman"/>
                <w:bCs/>
                <w:i/>
                <w:szCs w:val="24"/>
              </w:rPr>
              <w:t>pagal daiktų kiekius</w:t>
            </w:r>
            <w:r w:rsidR="00E008B8" w:rsidRPr="006006E7">
              <w:rPr>
                <w:rFonts w:cs="Times New Roman"/>
                <w:bCs/>
                <w:szCs w:val="24"/>
              </w:rPr>
              <w:t xml:space="preserve"> diferencijuojama </w:t>
            </w:r>
            <w:r w:rsidR="00E008B8" w:rsidRPr="006006E7">
              <w:rPr>
                <w:rFonts w:cs="Times New Roman"/>
                <w:bCs/>
                <w:i/>
                <w:szCs w:val="24"/>
              </w:rPr>
              <w:t>tik, kiek tas liečia</w:t>
            </w:r>
            <w:r w:rsidR="00E008B8" w:rsidRPr="006006E7">
              <w:rPr>
                <w:rFonts w:cs="Times New Roman"/>
                <w:bCs/>
                <w:szCs w:val="24"/>
              </w:rPr>
              <w:t xml:space="preserve"> šaunamųjų ginklų, šaudmenų, sprogmenų, sprogstamųjų, narkotinių ar psichotropinių medžiagų arba narkotinių ar psichotropinių medžiagų pirmtakų (prekursorių) neteisėtą gabenimą, kadangi </w:t>
            </w:r>
            <w:r w:rsidR="005832B3" w:rsidRPr="006006E7">
              <w:rPr>
                <w:rFonts w:cs="Times New Roman"/>
                <w:bCs/>
                <w:i/>
                <w:szCs w:val="24"/>
                <w:u w:val="single"/>
              </w:rPr>
              <w:t>tik</w:t>
            </w:r>
            <w:r w:rsidR="005832B3" w:rsidRPr="006006E7">
              <w:rPr>
                <w:rFonts w:cs="Times New Roman"/>
                <w:bCs/>
                <w:szCs w:val="24"/>
              </w:rPr>
              <w:t xml:space="preserve"> </w:t>
            </w:r>
            <w:r w:rsidR="003E39D1" w:rsidRPr="006006E7">
              <w:rPr>
                <w:rFonts w:cs="Times New Roman"/>
                <w:bCs/>
                <w:szCs w:val="24"/>
              </w:rPr>
              <w:t xml:space="preserve">šių daiktų ir (ar) medžiagų </w:t>
            </w:r>
            <w:r w:rsidR="005832B3" w:rsidRPr="006006E7">
              <w:rPr>
                <w:rFonts w:cs="Times New Roman"/>
                <w:bCs/>
                <w:szCs w:val="24"/>
              </w:rPr>
              <w:t xml:space="preserve">atitinkami </w:t>
            </w:r>
            <w:r w:rsidR="003E39D1" w:rsidRPr="006006E7">
              <w:rPr>
                <w:rFonts w:cs="Times New Roman"/>
                <w:bCs/>
                <w:szCs w:val="24"/>
              </w:rPr>
              <w:t xml:space="preserve">kiekiai </w:t>
            </w:r>
            <w:r w:rsidR="003E39D1" w:rsidRPr="006006E7">
              <w:rPr>
                <w:rFonts w:cs="Times New Roman"/>
                <w:bCs/>
                <w:i/>
                <w:szCs w:val="24"/>
              </w:rPr>
              <w:t>yra jau numatyti</w:t>
            </w:r>
            <w:r w:rsidR="00C93585" w:rsidRPr="006006E7">
              <w:rPr>
                <w:rFonts w:cs="Times New Roman"/>
                <w:bCs/>
                <w:i/>
                <w:szCs w:val="24"/>
              </w:rPr>
              <w:t xml:space="preserve"> (</w:t>
            </w:r>
            <w:r w:rsidR="003E39D1" w:rsidRPr="006006E7">
              <w:rPr>
                <w:rFonts w:cs="Times New Roman"/>
                <w:bCs/>
                <w:i/>
                <w:szCs w:val="24"/>
              </w:rPr>
              <w:t xml:space="preserve">bei praktikoje </w:t>
            </w:r>
            <w:r w:rsidR="00F20759" w:rsidRPr="006006E7">
              <w:rPr>
                <w:rFonts w:cs="Times New Roman"/>
                <w:bCs/>
                <w:i/>
                <w:szCs w:val="24"/>
              </w:rPr>
              <w:t xml:space="preserve">nustatomi bei </w:t>
            </w:r>
            <w:r w:rsidR="003E39D1" w:rsidRPr="006006E7">
              <w:rPr>
                <w:rFonts w:cs="Times New Roman"/>
                <w:bCs/>
                <w:i/>
                <w:szCs w:val="24"/>
              </w:rPr>
              <w:t>pripažįstami)</w:t>
            </w:r>
            <w:r w:rsidR="003E39D1" w:rsidRPr="006006E7">
              <w:rPr>
                <w:rFonts w:cs="Times New Roman"/>
                <w:bCs/>
                <w:szCs w:val="24"/>
              </w:rPr>
              <w:t xml:space="preserve"> </w:t>
            </w:r>
            <w:r w:rsidR="00E008B8" w:rsidRPr="006006E7">
              <w:rPr>
                <w:rFonts w:cs="Times New Roman"/>
                <w:bCs/>
                <w:i/>
                <w:szCs w:val="24"/>
              </w:rPr>
              <w:t xml:space="preserve">BK </w:t>
            </w:r>
            <w:r w:rsidR="00F20759" w:rsidRPr="006006E7">
              <w:rPr>
                <w:rFonts w:cs="Times New Roman"/>
                <w:bCs/>
                <w:i/>
                <w:szCs w:val="24"/>
              </w:rPr>
              <w:t xml:space="preserve">253, 259, 260, 266 </w:t>
            </w:r>
            <w:r w:rsidR="00E008B8" w:rsidRPr="006006E7">
              <w:rPr>
                <w:rFonts w:cs="Times New Roman"/>
                <w:bCs/>
                <w:i/>
                <w:szCs w:val="24"/>
              </w:rPr>
              <w:t>straipsniuose</w:t>
            </w:r>
            <w:r w:rsidR="00C93585" w:rsidRPr="006006E7">
              <w:rPr>
                <w:rFonts w:cs="Times New Roman"/>
                <w:bCs/>
                <w:szCs w:val="24"/>
              </w:rPr>
              <w:t xml:space="preserve"> ir (ar) kituose specialiuose teisės aktuose (pvz., nurodyti BK 269 straipsnyje).</w:t>
            </w:r>
            <w:r w:rsidR="00F20759" w:rsidRPr="006006E7">
              <w:rPr>
                <w:rFonts w:cs="Times New Roman"/>
                <w:bCs/>
                <w:szCs w:val="24"/>
              </w:rPr>
              <w:t xml:space="preserve"> </w:t>
            </w:r>
            <w:r w:rsidR="00C93585" w:rsidRPr="006006E7">
              <w:rPr>
                <w:rFonts w:cs="Times New Roman"/>
                <w:bCs/>
                <w:szCs w:val="24"/>
              </w:rPr>
              <w:t xml:space="preserve">Atitinkamai, šie nusikaltimų sudėčių požymiai </w:t>
            </w:r>
            <w:r w:rsidR="00C93585" w:rsidRPr="006006E7">
              <w:rPr>
                <w:rFonts w:cs="Times New Roman"/>
                <w:bCs/>
                <w:i/>
                <w:szCs w:val="24"/>
              </w:rPr>
              <w:t>nėra vertinamieji ir jų turinys</w:t>
            </w:r>
            <w:r w:rsidR="00B933AF" w:rsidRPr="006006E7">
              <w:rPr>
                <w:rFonts w:cs="Times New Roman"/>
                <w:bCs/>
                <w:i/>
                <w:szCs w:val="24"/>
              </w:rPr>
              <w:t xml:space="preserve"> (daiktų/medžiagų kiekis)</w:t>
            </w:r>
            <w:r w:rsidR="00C93585" w:rsidRPr="006006E7">
              <w:rPr>
                <w:rFonts w:cs="Times New Roman"/>
                <w:bCs/>
                <w:i/>
                <w:szCs w:val="24"/>
              </w:rPr>
              <w:t xml:space="preserve"> lengvai </w:t>
            </w:r>
            <w:r w:rsidR="005832B3" w:rsidRPr="006006E7">
              <w:rPr>
                <w:rFonts w:cs="Times New Roman"/>
                <w:bCs/>
                <w:i/>
                <w:szCs w:val="24"/>
              </w:rPr>
              <w:t xml:space="preserve">ir aiškiai </w:t>
            </w:r>
            <w:r w:rsidR="00C93585" w:rsidRPr="006006E7">
              <w:rPr>
                <w:rFonts w:cs="Times New Roman"/>
                <w:bCs/>
                <w:i/>
                <w:szCs w:val="24"/>
              </w:rPr>
              <w:t>nustatomas.</w:t>
            </w:r>
            <w:r w:rsidR="002C7528">
              <w:rPr>
                <w:rFonts w:cs="Times New Roman"/>
                <w:bCs/>
                <w:i/>
                <w:szCs w:val="24"/>
              </w:rPr>
              <w:t xml:space="preserve"> </w:t>
            </w:r>
            <w:r w:rsidR="00F20759" w:rsidRPr="006006E7">
              <w:rPr>
                <w:rFonts w:cs="Times New Roman"/>
                <w:bCs/>
                <w:szCs w:val="24"/>
              </w:rPr>
              <w:t xml:space="preserve">Atitinkamai, BK 199 straipsnyje </w:t>
            </w:r>
            <w:r w:rsidR="00F20759" w:rsidRPr="006006E7">
              <w:rPr>
                <w:rFonts w:cs="Times New Roman"/>
                <w:bCs/>
                <w:i/>
                <w:szCs w:val="24"/>
              </w:rPr>
              <w:t>nėra galimybės atsakomybės diferencijuoti</w:t>
            </w:r>
            <w:r w:rsidR="00F20759" w:rsidRPr="006006E7">
              <w:rPr>
                <w:rFonts w:cs="Times New Roman"/>
                <w:bCs/>
                <w:szCs w:val="24"/>
              </w:rPr>
              <w:t xml:space="preserve"> ir numatyti skirtingą atsakomybę už, pvz., nedidelio</w:t>
            </w:r>
            <w:r w:rsidR="005832B3" w:rsidRPr="006006E7">
              <w:rPr>
                <w:rFonts w:cs="Times New Roman"/>
                <w:bCs/>
                <w:szCs w:val="24"/>
              </w:rPr>
              <w:t>,</w:t>
            </w:r>
            <w:r w:rsidR="00F20759" w:rsidRPr="006006E7">
              <w:rPr>
                <w:rFonts w:cs="Times New Roman"/>
                <w:bCs/>
                <w:szCs w:val="24"/>
              </w:rPr>
              <w:t xml:space="preserve"> didelio</w:t>
            </w:r>
            <w:r w:rsidR="005832B3" w:rsidRPr="006006E7">
              <w:rPr>
                <w:rFonts w:cs="Times New Roman"/>
                <w:bCs/>
                <w:szCs w:val="24"/>
              </w:rPr>
              <w:t xml:space="preserve"> ar labai didelio </w:t>
            </w:r>
            <w:r w:rsidR="00F20759" w:rsidRPr="006006E7">
              <w:rPr>
                <w:rFonts w:cs="Times New Roman"/>
                <w:bCs/>
                <w:szCs w:val="24"/>
              </w:rPr>
              <w:t xml:space="preserve"> kiekio radioaktyviųjų, nuodingųjų ar stipriai veikiančių medžiagų</w:t>
            </w:r>
            <w:r w:rsidR="00B933AF" w:rsidRPr="006006E7">
              <w:rPr>
                <w:rFonts w:cs="Times New Roman"/>
                <w:bCs/>
                <w:szCs w:val="24"/>
              </w:rPr>
              <w:t>, strateginių prekių ir pan.</w:t>
            </w:r>
            <w:r w:rsidR="005832B3" w:rsidRPr="006006E7">
              <w:rPr>
                <w:rFonts w:cs="Times New Roman"/>
                <w:bCs/>
                <w:szCs w:val="24"/>
              </w:rPr>
              <w:t>, kaip ir</w:t>
            </w:r>
            <w:r w:rsidR="00F20759" w:rsidRPr="006006E7">
              <w:rPr>
                <w:rFonts w:cs="Times New Roman"/>
                <w:bCs/>
                <w:szCs w:val="24"/>
              </w:rPr>
              <w:t xml:space="preserve"> už nedidelio kiekio prekursorių neteisėtą gabenimą, kadangi </w:t>
            </w:r>
            <w:r w:rsidR="00F20759" w:rsidRPr="006006E7">
              <w:rPr>
                <w:rFonts w:cs="Times New Roman"/>
                <w:bCs/>
                <w:i/>
                <w:szCs w:val="24"/>
              </w:rPr>
              <w:t xml:space="preserve">tokie kiekiai tiesiog </w:t>
            </w:r>
            <w:r w:rsidR="00F20759" w:rsidRPr="006006E7">
              <w:rPr>
                <w:rFonts w:cs="Times New Roman"/>
                <w:bCs/>
                <w:i/>
                <w:szCs w:val="24"/>
                <w:u w:val="single"/>
              </w:rPr>
              <w:t>nėra numatyti</w:t>
            </w:r>
            <w:r w:rsidR="00F20759" w:rsidRPr="006006E7">
              <w:rPr>
                <w:rFonts w:cs="Times New Roman"/>
                <w:bCs/>
                <w:szCs w:val="24"/>
              </w:rPr>
              <w:t xml:space="preserve"> BK Specialioje dalyje (BK 256, 266 ir 267 </w:t>
            </w:r>
            <w:r w:rsidR="00F20759" w:rsidRPr="006006E7">
              <w:rPr>
                <w:rFonts w:cs="Times New Roman"/>
                <w:bCs/>
                <w:szCs w:val="24"/>
              </w:rPr>
              <w:lastRenderedPageBreak/>
              <w:t>straipsni</w:t>
            </w:r>
            <w:r w:rsidR="00472A66" w:rsidRPr="006006E7">
              <w:rPr>
                <w:rFonts w:cs="Times New Roman"/>
                <w:bCs/>
                <w:szCs w:val="24"/>
              </w:rPr>
              <w:t>uose)</w:t>
            </w:r>
            <w:r w:rsidR="00B933AF" w:rsidRPr="006006E7">
              <w:rPr>
                <w:rFonts w:cs="Times New Roman"/>
                <w:bCs/>
                <w:szCs w:val="24"/>
              </w:rPr>
              <w:t xml:space="preserve"> ar kituose specialiuose teisės aktuose</w:t>
            </w:r>
            <w:r w:rsidR="00472A66" w:rsidRPr="006006E7">
              <w:rPr>
                <w:rFonts w:cs="Times New Roman"/>
                <w:bCs/>
                <w:szCs w:val="24"/>
              </w:rPr>
              <w:t xml:space="preserve"> </w:t>
            </w:r>
            <w:r w:rsidR="00472A66" w:rsidRPr="006006E7">
              <w:rPr>
                <w:rFonts w:cs="Times New Roman"/>
                <w:bCs/>
                <w:i/>
                <w:szCs w:val="24"/>
              </w:rPr>
              <w:t>bei prakti</w:t>
            </w:r>
            <w:r w:rsidR="00B933AF" w:rsidRPr="006006E7">
              <w:rPr>
                <w:rFonts w:cs="Times New Roman"/>
                <w:bCs/>
                <w:i/>
                <w:szCs w:val="24"/>
              </w:rPr>
              <w:t xml:space="preserve">koje tiesiog nėra nustatinėjami </w:t>
            </w:r>
            <w:r w:rsidR="00B933AF" w:rsidRPr="006006E7">
              <w:rPr>
                <w:rFonts w:cs="Times New Roman"/>
                <w:bCs/>
                <w:szCs w:val="24"/>
              </w:rPr>
              <w:t>(a</w:t>
            </w:r>
            <w:r w:rsidR="00472A66" w:rsidRPr="006006E7">
              <w:rPr>
                <w:rFonts w:cs="Times New Roman"/>
                <w:bCs/>
                <w:szCs w:val="24"/>
              </w:rPr>
              <w:t xml:space="preserve">nalogiška situacija ir </w:t>
            </w:r>
            <w:r w:rsidR="00472A66" w:rsidRPr="006006E7">
              <w:rPr>
                <w:rFonts w:cs="Times New Roman"/>
                <w:bCs/>
                <w:i/>
                <w:szCs w:val="24"/>
              </w:rPr>
              <w:t>dėl dopingo medžiagų</w:t>
            </w:r>
            <w:r w:rsidR="00472A66" w:rsidRPr="006006E7">
              <w:rPr>
                <w:rFonts w:cs="Times New Roman"/>
                <w:bCs/>
                <w:szCs w:val="24"/>
              </w:rPr>
              <w:t xml:space="preserve">, kurios nei </w:t>
            </w:r>
            <w:r w:rsidR="00B933AF" w:rsidRPr="006006E7">
              <w:rPr>
                <w:rFonts w:cs="Times New Roman"/>
                <w:bCs/>
                <w:szCs w:val="24"/>
              </w:rPr>
              <w:t xml:space="preserve">galiojančioje </w:t>
            </w:r>
            <w:r w:rsidR="00472A66" w:rsidRPr="006006E7">
              <w:rPr>
                <w:rFonts w:cs="Times New Roman"/>
                <w:bCs/>
                <w:szCs w:val="24"/>
              </w:rPr>
              <w:t>BK 199 str</w:t>
            </w:r>
            <w:r w:rsidR="00B933AF" w:rsidRPr="006006E7">
              <w:rPr>
                <w:rFonts w:cs="Times New Roman"/>
                <w:bCs/>
                <w:szCs w:val="24"/>
              </w:rPr>
              <w:t>.</w:t>
            </w:r>
            <w:r w:rsidR="00472A66" w:rsidRPr="006006E7">
              <w:rPr>
                <w:rFonts w:cs="Times New Roman"/>
                <w:bCs/>
                <w:szCs w:val="24"/>
              </w:rPr>
              <w:t xml:space="preserve"> 2 d</w:t>
            </w:r>
            <w:r w:rsidR="00B933AF" w:rsidRPr="006006E7">
              <w:rPr>
                <w:rFonts w:cs="Times New Roman"/>
                <w:bCs/>
                <w:szCs w:val="24"/>
              </w:rPr>
              <w:t>.</w:t>
            </w:r>
            <w:r w:rsidR="00472A66" w:rsidRPr="006006E7">
              <w:rPr>
                <w:rFonts w:cs="Times New Roman"/>
                <w:bCs/>
                <w:szCs w:val="24"/>
              </w:rPr>
              <w:t>, nei BK 276</w:t>
            </w:r>
            <w:r w:rsidR="00472A66" w:rsidRPr="006006E7">
              <w:rPr>
                <w:rFonts w:cs="Times New Roman"/>
                <w:bCs/>
                <w:szCs w:val="24"/>
                <w:vertAlign w:val="superscript"/>
              </w:rPr>
              <w:t>1</w:t>
            </w:r>
            <w:r w:rsidR="00472A66" w:rsidRPr="006006E7">
              <w:rPr>
                <w:rFonts w:cs="Times New Roman"/>
                <w:bCs/>
                <w:szCs w:val="24"/>
              </w:rPr>
              <w:t xml:space="preserve"> straipsnyje </w:t>
            </w:r>
            <w:r w:rsidR="00472A66" w:rsidRPr="006006E7">
              <w:rPr>
                <w:rFonts w:cs="Times New Roman"/>
                <w:bCs/>
                <w:i/>
                <w:szCs w:val="24"/>
              </w:rPr>
              <w:t>nėra grupuojamos</w:t>
            </w:r>
            <w:r w:rsidR="00472A66" w:rsidRPr="006006E7">
              <w:rPr>
                <w:rFonts w:cs="Times New Roman"/>
                <w:bCs/>
                <w:szCs w:val="24"/>
              </w:rPr>
              <w:t xml:space="preserve"> pagal medžiagų kiekius</w:t>
            </w:r>
            <w:r w:rsidR="00B933AF" w:rsidRPr="006006E7">
              <w:rPr>
                <w:rFonts w:cs="Times New Roman"/>
                <w:bCs/>
                <w:szCs w:val="24"/>
              </w:rPr>
              <w:t>)</w:t>
            </w:r>
            <w:r w:rsidR="00472A66" w:rsidRPr="006006E7">
              <w:rPr>
                <w:rFonts w:cs="Times New Roman"/>
                <w:bCs/>
                <w:szCs w:val="24"/>
              </w:rPr>
              <w:t xml:space="preserve">. </w:t>
            </w:r>
            <w:r w:rsidR="00B933AF" w:rsidRPr="006006E7">
              <w:rPr>
                <w:rFonts w:cs="Times New Roman"/>
                <w:bCs/>
                <w:szCs w:val="24"/>
              </w:rPr>
              <w:t>Todėl</w:t>
            </w:r>
            <w:r w:rsidR="00472A66" w:rsidRPr="006006E7">
              <w:rPr>
                <w:rFonts w:cs="Times New Roman"/>
                <w:bCs/>
                <w:szCs w:val="24"/>
              </w:rPr>
              <w:t xml:space="preserve"> BK 199 straipsnyje diferencijavus baudžiamąją atsakomybę pagal nurodytų medžiagų kiekius, kurie praktikoje nėra nustatomi ir (ar) pripažįstami bei kartu </w:t>
            </w:r>
            <w:r w:rsidR="0045256B" w:rsidRPr="006006E7">
              <w:rPr>
                <w:rFonts w:cs="Times New Roman"/>
                <w:bCs/>
                <w:szCs w:val="24"/>
              </w:rPr>
              <w:t xml:space="preserve">apskritai </w:t>
            </w:r>
            <w:r w:rsidR="00472A66" w:rsidRPr="006006E7">
              <w:rPr>
                <w:rFonts w:cs="Times New Roman"/>
                <w:bCs/>
                <w:szCs w:val="24"/>
              </w:rPr>
              <w:t xml:space="preserve">nėra nurodyti BK Specialiojoje dalyje, </w:t>
            </w:r>
            <w:r w:rsidR="007D60BA" w:rsidRPr="006006E7">
              <w:rPr>
                <w:rFonts w:cs="Times New Roman"/>
                <w:bCs/>
                <w:szCs w:val="24"/>
              </w:rPr>
              <w:t xml:space="preserve">būtų </w:t>
            </w:r>
            <w:r w:rsidR="007207DD" w:rsidRPr="006006E7">
              <w:rPr>
                <w:rFonts w:cs="Times New Roman"/>
                <w:bCs/>
                <w:i/>
                <w:szCs w:val="24"/>
              </w:rPr>
              <w:t>sukurt</w:t>
            </w:r>
            <w:r w:rsidR="007D60BA" w:rsidRPr="006006E7">
              <w:rPr>
                <w:rFonts w:cs="Times New Roman"/>
                <w:bCs/>
                <w:i/>
                <w:szCs w:val="24"/>
              </w:rPr>
              <w:t>a</w:t>
            </w:r>
            <w:r w:rsidR="007207DD" w:rsidRPr="006006E7">
              <w:rPr>
                <w:rFonts w:cs="Times New Roman"/>
                <w:bCs/>
                <w:i/>
                <w:szCs w:val="24"/>
              </w:rPr>
              <w:t xml:space="preserve"> daugyb</w:t>
            </w:r>
            <w:r w:rsidR="007D60BA" w:rsidRPr="006006E7">
              <w:rPr>
                <w:rFonts w:cs="Times New Roman"/>
                <w:bCs/>
                <w:i/>
                <w:szCs w:val="24"/>
              </w:rPr>
              <w:t>ė</w:t>
            </w:r>
            <w:r w:rsidR="007207DD" w:rsidRPr="006006E7">
              <w:rPr>
                <w:rFonts w:cs="Times New Roman"/>
                <w:bCs/>
                <w:i/>
                <w:szCs w:val="24"/>
              </w:rPr>
              <w:t xml:space="preserve"> neapibrėžtų vertinamųjų požymių</w:t>
            </w:r>
            <w:r w:rsidR="007207DD" w:rsidRPr="006006E7">
              <w:rPr>
                <w:rFonts w:cs="Times New Roman"/>
                <w:bCs/>
                <w:szCs w:val="24"/>
              </w:rPr>
              <w:t xml:space="preserve">, kas </w:t>
            </w:r>
            <w:r w:rsidR="00472A66" w:rsidRPr="006006E7">
              <w:rPr>
                <w:rFonts w:cs="Times New Roman"/>
                <w:bCs/>
                <w:i/>
                <w:szCs w:val="24"/>
              </w:rPr>
              <w:t>neigiamai paveiktų</w:t>
            </w:r>
            <w:r w:rsidR="00472A66" w:rsidRPr="006006E7">
              <w:rPr>
                <w:rFonts w:cs="Times New Roman"/>
                <w:bCs/>
                <w:szCs w:val="24"/>
              </w:rPr>
              <w:t xml:space="preserve"> naujojo BK 199 straipsnio nuostatų taikymą bei </w:t>
            </w:r>
            <w:r w:rsidR="00472A66" w:rsidRPr="006006E7">
              <w:rPr>
                <w:rFonts w:cs="Times New Roman"/>
                <w:bCs/>
                <w:i/>
                <w:szCs w:val="24"/>
              </w:rPr>
              <w:t>keltų dideles problemas</w:t>
            </w:r>
            <w:r w:rsidR="00472A66" w:rsidRPr="006006E7">
              <w:rPr>
                <w:rFonts w:cs="Times New Roman"/>
                <w:bCs/>
                <w:szCs w:val="24"/>
              </w:rPr>
              <w:t xml:space="preserve"> dėl šių </w:t>
            </w:r>
            <w:r w:rsidR="005832B3" w:rsidRPr="006006E7">
              <w:rPr>
                <w:rFonts w:cs="Times New Roman"/>
                <w:bCs/>
                <w:szCs w:val="24"/>
              </w:rPr>
              <w:t>požymių interpretavimo ir jų turinio nustatymo</w:t>
            </w:r>
            <w:r w:rsidR="00472A66" w:rsidRPr="006006E7">
              <w:rPr>
                <w:rFonts w:cs="Times New Roman"/>
                <w:bCs/>
                <w:szCs w:val="24"/>
              </w:rPr>
              <w:t>.</w:t>
            </w:r>
          </w:p>
          <w:p w14:paraId="76EE3EDB" w14:textId="33B6945E" w:rsidR="00AF4FF3" w:rsidRPr="006006E7" w:rsidRDefault="00D23BE6" w:rsidP="002D35D0">
            <w:pPr>
              <w:jc w:val="both"/>
              <w:rPr>
                <w:rFonts w:cs="Times New Roman"/>
                <w:bCs/>
                <w:szCs w:val="24"/>
              </w:rPr>
            </w:pPr>
            <w:r w:rsidRPr="006006E7">
              <w:rPr>
                <w:rFonts w:cs="Times New Roman"/>
                <w:bCs/>
                <w:szCs w:val="24"/>
              </w:rPr>
              <w:t>Kartu pažymėtina, kad BK 199 str</w:t>
            </w:r>
            <w:r w:rsidR="007207DD" w:rsidRPr="006006E7">
              <w:rPr>
                <w:rFonts w:cs="Times New Roman"/>
                <w:bCs/>
                <w:szCs w:val="24"/>
              </w:rPr>
              <w:t>.</w:t>
            </w:r>
            <w:r w:rsidRPr="006006E7">
              <w:rPr>
                <w:rFonts w:cs="Times New Roman"/>
                <w:bCs/>
                <w:szCs w:val="24"/>
              </w:rPr>
              <w:t xml:space="preserve"> naujoji 3 d</w:t>
            </w:r>
            <w:r w:rsidR="007207DD" w:rsidRPr="006006E7">
              <w:rPr>
                <w:rFonts w:cs="Times New Roman"/>
                <w:bCs/>
                <w:szCs w:val="24"/>
              </w:rPr>
              <w:t>.</w:t>
            </w:r>
            <w:r w:rsidRPr="006006E7">
              <w:rPr>
                <w:rFonts w:cs="Times New Roman"/>
                <w:bCs/>
                <w:szCs w:val="24"/>
              </w:rPr>
              <w:t xml:space="preserve"> </w:t>
            </w:r>
            <w:r w:rsidR="00D850E7" w:rsidRPr="006006E7">
              <w:rPr>
                <w:rFonts w:cs="Times New Roman"/>
                <w:bCs/>
                <w:szCs w:val="24"/>
              </w:rPr>
              <w:t xml:space="preserve">(kurioje BK projekte ir numatyta baudžiamoji atsakomybė už radioaktyviųjų, nuodingųjų ar stipriai veikiančių medžiagų arba strateginių prekių neteisėtą gabenimą) </w:t>
            </w:r>
            <w:r w:rsidR="002D35D0" w:rsidRPr="006006E7">
              <w:rPr>
                <w:rFonts w:cs="Times New Roman"/>
                <w:bCs/>
                <w:szCs w:val="24"/>
              </w:rPr>
              <w:t>jau</w:t>
            </w:r>
            <w:r w:rsidR="005832B3" w:rsidRPr="006006E7">
              <w:rPr>
                <w:rFonts w:cs="Times New Roman"/>
                <w:bCs/>
                <w:szCs w:val="24"/>
              </w:rPr>
              <w:t xml:space="preserve"> </w:t>
            </w:r>
            <w:r w:rsidR="007207DD" w:rsidRPr="006006E7">
              <w:rPr>
                <w:rFonts w:cs="Times New Roman"/>
                <w:bCs/>
                <w:i/>
                <w:szCs w:val="24"/>
              </w:rPr>
              <w:t>numato tinkamas galimybes</w:t>
            </w:r>
            <w:r w:rsidRPr="006006E7">
              <w:rPr>
                <w:rFonts w:cs="Times New Roman"/>
                <w:bCs/>
                <w:i/>
                <w:szCs w:val="24"/>
              </w:rPr>
              <w:t xml:space="preserve"> individualizuoti bausmę</w:t>
            </w:r>
            <w:r w:rsidRPr="006006E7">
              <w:rPr>
                <w:rFonts w:cs="Times New Roman"/>
                <w:bCs/>
                <w:szCs w:val="24"/>
              </w:rPr>
              <w:t xml:space="preserve"> ir radioaktyviųjų, nuodingųjų ar stipriai veikiančių medžiagų</w:t>
            </w:r>
            <w:r w:rsidR="007207DD" w:rsidRPr="006006E7">
              <w:rPr>
                <w:rFonts w:cs="Times New Roman"/>
                <w:bCs/>
                <w:szCs w:val="24"/>
              </w:rPr>
              <w:t>, strateginių prekių ar pan.</w:t>
            </w:r>
            <w:r w:rsidRPr="006006E7">
              <w:rPr>
                <w:rFonts w:cs="Times New Roman"/>
                <w:bCs/>
                <w:szCs w:val="24"/>
              </w:rPr>
              <w:t xml:space="preserve"> (kuri</w:t>
            </w:r>
            <w:r w:rsidR="007D60BA" w:rsidRPr="006006E7">
              <w:rPr>
                <w:rFonts w:cs="Times New Roman"/>
                <w:bCs/>
                <w:szCs w:val="24"/>
              </w:rPr>
              <w:t>ų</w:t>
            </w:r>
            <w:r w:rsidRPr="006006E7">
              <w:rPr>
                <w:rFonts w:cs="Times New Roman"/>
                <w:bCs/>
                <w:szCs w:val="24"/>
              </w:rPr>
              <w:t xml:space="preserve"> neįmanoma skirstyti pagal kiekius) atžvilgiu, kadangi teismas, kiekvienu atveju</w:t>
            </w:r>
            <w:r w:rsidRPr="006006E7">
              <w:rPr>
                <w:rFonts w:cs="Times New Roman"/>
                <w:bCs/>
                <w:i/>
                <w:szCs w:val="24"/>
              </w:rPr>
              <w:t xml:space="preserve"> </w:t>
            </w:r>
            <w:r w:rsidR="00D850E7" w:rsidRPr="006006E7">
              <w:rPr>
                <w:rFonts w:cs="Times New Roman"/>
                <w:bCs/>
                <w:i/>
                <w:szCs w:val="24"/>
              </w:rPr>
              <w:t xml:space="preserve">(taip pat </w:t>
            </w:r>
            <w:r w:rsidRPr="006006E7">
              <w:rPr>
                <w:rFonts w:cs="Times New Roman"/>
                <w:bCs/>
                <w:i/>
                <w:szCs w:val="24"/>
              </w:rPr>
              <w:t>priklausomai nuo gabenamo šių medžiagų kiekio</w:t>
            </w:r>
            <w:r w:rsidR="00D850E7" w:rsidRPr="006006E7">
              <w:rPr>
                <w:rFonts w:cs="Times New Roman"/>
                <w:bCs/>
                <w:szCs w:val="24"/>
              </w:rPr>
              <w:t>)</w:t>
            </w:r>
            <w:r w:rsidRPr="006006E7">
              <w:rPr>
                <w:rFonts w:cs="Times New Roman"/>
                <w:bCs/>
                <w:szCs w:val="24"/>
              </w:rPr>
              <w:t xml:space="preserve"> galėtų paskirti švelnesnę laisvės atėmimo bausm</w:t>
            </w:r>
            <w:r w:rsidR="00D850E7" w:rsidRPr="006006E7">
              <w:rPr>
                <w:rFonts w:cs="Times New Roman"/>
                <w:bCs/>
                <w:szCs w:val="24"/>
              </w:rPr>
              <w:t>ę</w:t>
            </w:r>
            <w:r w:rsidRPr="006006E7">
              <w:rPr>
                <w:rFonts w:cs="Times New Roman"/>
                <w:bCs/>
                <w:szCs w:val="24"/>
              </w:rPr>
              <w:t xml:space="preserve"> </w:t>
            </w:r>
            <w:r w:rsidRPr="006006E7">
              <w:rPr>
                <w:rFonts w:cs="Times New Roman"/>
                <w:bCs/>
                <w:i/>
                <w:szCs w:val="24"/>
              </w:rPr>
              <w:t>arba netgi baudą</w:t>
            </w:r>
            <w:r w:rsidRPr="006006E7">
              <w:rPr>
                <w:rFonts w:cs="Times New Roman"/>
                <w:bCs/>
                <w:szCs w:val="24"/>
              </w:rPr>
              <w:t xml:space="preserve"> (pvz., jeigu buvo gabenama</w:t>
            </w:r>
            <w:r w:rsidR="007F0FA4" w:rsidRPr="006006E7">
              <w:rPr>
                <w:rFonts w:cs="Times New Roman"/>
                <w:bCs/>
                <w:szCs w:val="24"/>
              </w:rPr>
              <w:t>s</w:t>
            </w:r>
            <w:r w:rsidRPr="006006E7">
              <w:rPr>
                <w:rFonts w:cs="Times New Roman"/>
                <w:bCs/>
                <w:szCs w:val="24"/>
              </w:rPr>
              <w:t xml:space="preserve"> nedidelis </w:t>
            </w:r>
            <w:r w:rsidR="005832B3" w:rsidRPr="006006E7">
              <w:rPr>
                <w:rFonts w:cs="Times New Roman"/>
                <w:bCs/>
                <w:szCs w:val="24"/>
              </w:rPr>
              <w:t xml:space="preserve">tokių </w:t>
            </w:r>
            <w:r w:rsidRPr="006006E7">
              <w:rPr>
                <w:rFonts w:cs="Times New Roman"/>
                <w:bCs/>
                <w:szCs w:val="24"/>
              </w:rPr>
              <w:t>medžiagų kiekis)</w:t>
            </w:r>
            <w:r w:rsidR="00DC22F7" w:rsidRPr="006006E7">
              <w:rPr>
                <w:rFonts w:cs="Times New Roman"/>
                <w:bCs/>
                <w:szCs w:val="24"/>
              </w:rPr>
              <w:t>.</w:t>
            </w:r>
            <w:r w:rsidRPr="006006E7">
              <w:rPr>
                <w:rFonts w:cs="Times New Roman"/>
                <w:bCs/>
                <w:szCs w:val="24"/>
              </w:rPr>
              <w:t xml:space="preserve"> </w:t>
            </w:r>
            <w:r w:rsidR="00DC22F7" w:rsidRPr="006006E7">
              <w:rPr>
                <w:rFonts w:cs="Times New Roman"/>
                <w:bCs/>
                <w:szCs w:val="24"/>
              </w:rPr>
              <w:t>T</w:t>
            </w:r>
            <w:r w:rsidRPr="006006E7">
              <w:rPr>
                <w:rFonts w:cs="Times New Roman"/>
                <w:bCs/>
                <w:szCs w:val="24"/>
              </w:rPr>
              <w:t xml:space="preserve">okios galimybės </w:t>
            </w:r>
            <w:r w:rsidRPr="006006E7">
              <w:rPr>
                <w:rFonts w:cs="Times New Roman"/>
                <w:bCs/>
                <w:i/>
                <w:szCs w:val="24"/>
              </w:rPr>
              <w:t>nesuteik</w:t>
            </w:r>
            <w:r w:rsidR="00DC22F7" w:rsidRPr="006006E7">
              <w:rPr>
                <w:rFonts w:cs="Times New Roman"/>
                <w:bCs/>
                <w:i/>
                <w:szCs w:val="24"/>
              </w:rPr>
              <w:t>ia</w:t>
            </w:r>
            <w:r w:rsidRPr="006006E7">
              <w:rPr>
                <w:rFonts w:cs="Times New Roman"/>
                <w:bCs/>
                <w:szCs w:val="24"/>
              </w:rPr>
              <w:t xml:space="preserve"> </w:t>
            </w:r>
            <w:r w:rsidR="007207DD" w:rsidRPr="006006E7">
              <w:rPr>
                <w:rFonts w:cs="Times New Roman"/>
                <w:bCs/>
                <w:szCs w:val="24"/>
              </w:rPr>
              <w:t xml:space="preserve">galiojanti </w:t>
            </w:r>
            <w:r w:rsidRPr="006006E7">
              <w:rPr>
                <w:rFonts w:cs="Times New Roman"/>
                <w:bCs/>
                <w:szCs w:val="24"/>
              </w:rPr>
              <w:t>BK 199 str</w:t>
            </w:r>
            <w:r w:rsidR="007207DD" w:rsidRPr="006006E7">
              <w:rPr>
                <w:rFonts w:cs="Times New Roman"/>
                <w:bCs/>
                <w:szCs w:val="24"/>
              </w:rPr>
              <w:t>.</w:t>
            </w:r>
            <w:r w:rsidRPr="006006E7">
              <w:rPr>
                <w:rFonts w:cs="Times New Roman"/>
                <w:bCs/>
                <w:szCs w:val="24"/>
              </w:rPr>
              <w:t xml:space="preserve"> 4 d</w:t>
            </w:r>
            <w:r w:rsidR="007207DD" w:rsidRPr="006006E7">
              <w:rPr>
                <w:rFonts w:cs="Times New Roman"/>
                <w:bCs/>
                <w:szCs w:val="24"/>
              </w:rPr>
              <w:t>.</w:t>
            </w:r>
            <w:r w:rsidR="00DC22F7" w:rsidRPr="006006E7">
              <w:rPr>
                <w:rFonts w:cs="Times New Roman"/>
                <w:bCs/>
                <w:szCs w:val="24"/>
              </w:rPr>
              <w:t>,</w:t>
            </w:r>
            <w:r w:rsidRPr="006006E7">
              <w:rPr>
                <w:rFonts w:cs="Times New Roman"/>
                <w:bCs/>
                <w:szCs w:val="24"/>
              </w:rPr>
              <w:t xml:space="preserve"> visais be išimties atvejais numatydama </w:t>
            </w:r>
            <w:r w:rsidR="00D850E7" w:rsidRPr="006006E7">
              <w:rPr>
                <w:rFonts w:cs="Times New Roman"/>
                <w:bCs/>
                <w:szCs w:val="24"/>
              </w:rPr>
              <w:t xml:space="preserve">tik itin griežtą </w:t>
            </w:r>
            <w:r w:rsidRPr="006006E7">
              <w:rPr>
                <w:rFonts w:cs="Times New Roman"/>
                <w:bCs/>
                <w:szCs w:val="24"/>
              </w:rPr>
              <w:t>nuo 3 iki 10 m. laisvės atėmimo bausmę.</w:t>
            </w:r>
          </w:p>
        </w:tc>
      </w:tr>
      <w:tr w:rsidR="00754A39" w:rsidRPr="006006E7" w14:paraId="44BB7CAC" w14:textId="77777777" w:rsidTr="005F43FA">
        <w:tc>
          <w:tcPr>
            <w:tcW w:w="2127" w:type="dxa"/>
            <w:tcBorders>
              <w:top w:val="single" w:sz="4" w:space="0" w:color="auto"/>
              <w:left w:val="single" w:sz="4" w:space="0" w:color="auto"/>
              <w:bottom w:val="single" w:sz="4" w:space="0" w:color="auto"/>
              <w:right w:val="single" w:sz="4" w:space="0" w:color="auto"/>
            </w:tcBorders>
          </w:tcPr>
          <w:p w14:paraId="4EE05171" w14:textId="628FFB43" w:rsidR="00754A39" w:rsidRPr="006006E7" w:rsidRDefault="00754A39" w:rsidP="00754A39">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5897A944" w14:textId="3F6AF1BB" w:rsidR="000F434D" w:rsidRPr="006006E7" w:rsidRDefault="000F434D" w:rsidP="000F434D">
            <w:pPr>
              <w:shd w:val="clear" w:color="auto" w:fill="FFFFFF"/>
              <w:contextualSpacing/>
              <w:jc w:val="both"/>
              <w:rPr>
                <w:rFonts w:eastAsia="Times New Roman" w:cs="Times New Roman"/>
                <w:szCs w:val="20"/>
                <w:lang w:eastAsia="ru-RU"/>
              </w:rPr>
            </w:pPr>
            <w:r w:rsidRPr="006006E7">
              <w:rPr>
                <w:rFonts w:eastAsia="Times New Roman" w:cs="Times New Roman"/>
                <w:bCs/>
                <w:szCs w:val="24"/>
                <w:lang w:eastAsia="ru-RU"/>
              </w:rPr>
              <w:t xml:space="preserve">2. Atkreiptinas dėmesys į tai, kad 2018 m. gruodžio 13 d. Seimo nutarimu patvirtintoje Valstybinėje narkotikų, tabako ir alkoholio kontrolės ir vartojimo prevencijos 2018–2028 metų programoje Vyriausybė (rengusi ir teikusi šios programos projektą) bei Seimas įsipareigojo </w:t>
            </w:r>
            <w:r w:rsidRPr="006006E7">
              <w:rPr>
                <w:rFonts w:eastAsia="Times New Roman" w:cs="Times New Roman"/>
                <w:szCs w:val="20"/>
                <w:lang w:eastAsia="ru-RU"/>
              </w:rPr>
              <w:t xml:space="preserve">dekriminalizuoti mažiau pavojingas su narkotikų vartojimu susijusias veikas, už jas numatant administracinę atsakomybę, užtikrinant individualaus vertinimo pagrindu taikomas švietimo, socialines, sveikatos priežiūros sistemų intervencijos priemones vietoj baudžiamųjų (97.1 p.). Atkreiptinas dėmesys, kad šis įsipareigojimas įtvirtintas </w:t>
            </w:r>
            <w:r w:rsidRPr="006006E7">
              <w:rPr>
                <w:rFonts w:eastAsia="Times New Roman" w:cs="Times New Roman"/>
                <w:bCs/>
                <w:szCs w:val="24"/>
                <w:lang w:eastAsia="ru-RU"/>
              </w:rPr>
              <w:t xml:space="preserve">atsižvelgiant į užsienio šalių gerąją patirtį, kai nedidelio kiekio narkotinių medžiagų turėjimo asmeninėms reikmėms dekriminalizavimas leidžia </w:t>
            </w:r>
            <w:proofErr w:type="spellStart"/>
            <w:r w:rsidRPr="006006E7">
              <w:rPr>
                <w:rFonts w:eastAsia="Times New Roman" w:cs="Times New Roman"/>
                <w:bCs/>
                <w:i/>
                <w:iCs/>
                <w:szCs w:val="24"/>
                <w:lang w:eastAsia="ru-RU"/>
              </w:rPr>
              <w:t>inter</w:t>
            </w:r>
            <w:proofErr w:type="spellEnd"/>
            <w:r w:rsidRPr="006006E7">
              <w:rPr>
                <w:rFonts w:eastAsia="Times New Roman" w:cs="Times New Roman"/>
                <w:bCs/>
                <w:i/>
                <w:iCs/>
                <w:szCs w:val="24"/>
                <w:lang w:eastAsia="ru-RU"/>
              </w:rPr>
              <w:t xml:space="preserve"> alia</w:t>
            </w:r>
            <w:r w:rsidRPr="006006E7">
              <w:rPr>
                <w:rFonts w:eastAsia="Times New Roman" w:cs="Times New Roman"/>
                <w:bCs/>
                <w:szCs w:val="24"/>
                <w:lang w:eastAsia="ru-RU"/>
              </w:rPr>
              <w:t xml:space="preserve"> destigmatizuoti narkotines medžiagas vartojančius asmenis ir efektyviau taikant žalos </w:t>
            </w:r>
            <w:r w:rsidRPr="006006E7">
              <w:rPr>
                <w:rFonts w:eastAsia="Times New Roman" w:cs="Times New Roman"/>
                <w:bCs/>
                <w:szCs w:val="24"/>
                <w:lang w:eastAsia="ru-RU"/>
              </w:rPr>
              <w:lastRenderedPageBreak/>
              <w:t>mažinimo priemones geriau kovoti su šia visuomenine yda.</w:t>
            </w:r>
            <w:r w:rsidR="002C7528">
              <w:rPr>
                <w:rFonts w:eastAsia="Times New Roman" w:cs="Times New Roman"/>
                <w:bCs/>
                <w:szCs w:val="24"/>
                <w:lang w:eastAsia="ru-RU"/>
              </w:rPr>
              <w:t xml:space="preserve"> </w:t>
            </w:r>
            <w:r w:rsidRPr="006006E7">
              <w:rPr>
                <w:rFonts w:eastAsia="Times New Roman" w:cs="Times New Roman"/>
                <w:szCs w:val="20"/>
                <w:lang w:eastAsia="ru-RU"/>
              </w:rPr>
              <w:t xml:space="preserve">Manytina, kad minėtoje Programoje įtvirtintas dekriminalizavimo siekis yra tiesiogiai susijęs su šiam projektui keliamu tikslu išgryninti baudžiamąją atsakomybę kaip </w:t>
            </w:r>
            <w:r w:rsidRPr="006006E7">
              <w:rPr>
                <w:rFonts w:eastAsia="Times New Roman" w:cs="Times New Roman"/>
                <w:i/>
                <w:iCs/>
                <w:szCs w:val="20"/>
                <w:lang w:eastAsia="ru-RU"/>
              </w:rPr>
              <w:t>ultima ratio</w:t>
            </w:r>
            <w:r w:rsidRPr="006006E7">
              <w:rPr>
                <w:rFonts w:eastAsia="Times New Roman" w:cs="Times New Roman"/>
                <w:szCs w:val="20"/>
                <w:lang w:eastAsia="ru-RU"/>
              </w:rPr>
              <w:t xml:space="preserve"> priemonę. Šios problemos praktinį aktualumą akcentuoja taip pat ir nuolatiniai žiniasklaidos pranešimai apie atvejus, kai dėl nykstamai mažų pas asmenį rastų kanapių pėdsakų ar pasidalinimo rūkoma suktine asmenims kyla neproporcinga baudžiamoji atsakomybė ir jiems yra skiriamos bausmės net griežtesnės nei už veikas kuriomis yra sutrikdoma kito žmogaus sveikata.</w:t>
            </w:r>
          </w:p>
          <w:p w14:paraId="4D458CD7" w14:textId="77777777" w:rsidR="00754A39" w:rsidRPr="006006E7" w:rsidRDefault="000F434D" w:rsidP="000F434D">
            <w:pPr>
              <w:shd w:val="clear" w:color="auto" w:fill="FFFFFF"/>
              <w:contextualSpacing/>
              <w:jc w:val="both"/>
              <w:rPr>
                <w:rFonts w:eastAsia="Times New Roman" w:cs="Times New Roman"/>
                <w:szCs w:val="20"/>
                <w:lang w:eastAsia="ru-RU"/>
              </w:rPr>
            </w:pPr>
            <w:r w:rsidRPr="006006E7">
              <w:rPr>
                <w:rFonts w:eastAsia="Times New Roman" w:cs="Times New Roman"/>
                <w:szCs w:val="20"/>
                <w:lang w:eastAsia="ru-RU"/>
              </w:rPr>
              <w:t>Atsižvelgiant į tai, siūlytina peržiūrėti galiojančio BK 259-261 str. ir papildyti teikiamus projektus atitinkamais BK bei ANK pakeitimais.</w:t>
            </w:r>
          </w:p>
        </w:tc>
        <w:tc>
          <w:tcPr>
            <w:tcW w:w="7796" w:type="dxa"/>
            <w:tcBorders>
              <w:top w:val="single" w:sz="4" w:space="0" w:color="auto"/>
              <w:left w:val="single" w:sz="4" w:space="0" w:color="auto"/>
              <w:bottom w:val="single" w:sz="4" w:space="0" w:color="auto"/>
              <w:right w:val="single" w:sz="4" w:space="0" w:color="auto"/>
            </w:tcBorders>
          </w:tcPr>
          <w:p w14:paraId="1E105500" w14:textId="77777777" w:rsidR="0008785D" w:rsidRPr="006006E7" w:rsidRDefault="0008785D" w:rsidP="0008785D">
            <w:pPr>
              <w:jc w:val="both"/>
              <w:rPr>
                <w:rFonts w:cs="Times New Roman"/>
                <w:b/>
                <w:szCs w:val="24"/>
              </w:rPr>
            </w:pPr>
            <w:r w:rsidRPr="006006E7">
              <w:rPr>
                <w:rFonts w:cs="Times New Roman"/>
                <w:b/>
                <w:szCs w:val="24"/>
              </w:rPr>
              <w:lastRenderedPageBreak/>
              <w:t>Nepritarti.</w:t>
            </w:r>
          </w:p>
          <w:p w14:paraId="0AF3C439" w14:textId="04C86E33" w:rsidR="00EE0FF0" w:rsidRPr="006006E7" w:rsidRDefault="0008785D" w:rsidP="002C7528">
            <w:pPr>
              <w:jc w:val="both"/>
              <w:rPr>
                <w:rFonts w:cs="Times New Roman"/>
                <w:szCs w:val="24"/>
              </w:rPr>
            </w:pPr>
            <w:r w:rsidRPr="002C7528">
              <w:rPr>
                <w:u w:val="single"/>
              </w:rPr>
              <w:t>Pirma</w:t>
            </w:r>
            <w:r w:rsidRPr="006006E7">
              <w:t xml:space="preserve">,  pažymėtina, kad 2018 m. gruodžio 13 d. Seimo nutarimu patvirtintoje Valstybinėje narkotikų, tabako ir alkoholio kontrolės ir vartojimo prevencijos 2018–2028 metų programoje (toliau – Programa) vienas iš keliamų uždavinių – peržiūrėti baudžiamąją politiką, taikomą narkotikų vartotojams, siekiant subalansuotos narkotikų kontrolės politikos Lietuvoje. Mažiau pavojingų su narkotikų vartojimu susijusių veikų dekriminalizavimas numatyta tik kaip viena iš šio uždavinio įgyvendinimo krypčių. Tarp galimų kitų minėto uždavinio įgyvendinimo krypčių taip pat nurodyta baudžiamuosiuose teisės aktuose numatytų sankcijų ir depenalizavimo galimybių peržiūrėjimas ir kt. Šiuo aspektu atkreiptinas dėmesys į tai, kad vieni paskutinių BK pakeitimų yra susiję būtent su baudos bausmės griežtinimu, dalinio bausmės (pvz., arešto) vykdymo instituto atidėjimo įteisinimu ir pan., kurie, neabejotinai, turės įtakos ir proporcingos atsakomybės už mažiau pavojingas su narkotikų vartojimu susijusias nusikalstamas veikas taikymui (t. y. baudžiamoji atsakomybė orientuojama į alternatyvias, su laisvės atėmimu nesusijusias bausmes). Todėl </w:t>
            </w:r>
            <w:r w:rsidRPr="006006E7">
              <w:lastRenderedPageBreak/>
              <w:t xml:space="preserve">dekriminalizavimo procesas negali būti traktuojamas kaip vienintelė priemonė, kuria galima spręsti su atsakomybės už narkotikų vartojimą, disponavimą ir kt. susijusias problemas. </w:t>
            </w:r>
            <w:r w:rsidRPr="002C7528">
              <w:rPr>
                <w:u w:val="single"/>
              </w:rPr>
              <w:t>Antra</w:t>
            </w:r>
            <w:r w:rsidRPr="006006E7">
              <w:t xml:space="preserve">, pažymėtina ir tai, kad minėtoje Programoje numatyta dekriminalizavimo priemonė iš esmės susijusi tik su BK 259 straipsnio 2 dalyje įtvirtinta neteisėto disponavimo nedideliu narkotinių ir psichotropinių medžiagų, be tikslo jas parduoti ar kitaip platinti, sudėtimi. Atsižvelgiant į tai, siūlymas peržiūrėti galiojančio BK 259 – 261 straipsnių nuostatas, kuriais, be kita ko, reglamentuojama ir baudžiamoji atsakomybė, pvz., ir už neteisėtą disponavimą narkotinėmis ar psichotropinėmis medžiagomis, turint tikslą jas platinti arba neteisėtą disponavimą labai dideliu narkotinių ar psichotropinių medžiagų kiekiu, yra nepagrįstas ir neatitinka minėtoje Programoje įtvirtintų nuostatų. Be to, įvertinus tai, kad BK 259 straipsnio 2 dalyje įtvirtinta baudžiamojo nusižengimo sudėtis, kuri nėra susijusi su laisvės atėmimo bausmės taikymu ir neužtraukia teistumo, taip pat atsižvelgiant į tai, kad BK 259 straipsnio 3 dalyje įtvirtinta baudžiamąją atsakomybę šalinanti aplinkybė, kuri yra susieta su asmens kreipimusi į sveikatos priežiūros įstaigą dėl medicinos pagalbos, susijusios su narkotikų vartojimu, manytina, kad baudžiamajame įstatyme įtvirtinta atsakomybė už disponavimą nedideliu kiekiu narkotinių medžiagų šiuo metu yra subalansuota, adekvati ir atitinka šios nusikalstamos veikos pavojingumo pobūdį ir laipsnį. </w:t>
            </w:r>
            <w:r w:rsidRPr="002C7528">
              <w:rPr>
                <w:u w:val="single"/>
              </w:rPr>
              <w:t>Trečia</w:t>
            </w:r>
            <w:r w:rsidRPr="006006E7">
              <w:t xml:space="preserve">, atkreiptinas dėmesys ir į tai, kad galiojančios BK nuostatos, numatančios baudžiamąją atsakomybę už neteisėtą disponavimą narkotinėmis ar psichotropinėmis medžiagomis yra suderintos su Europos Sąjungos ir kituose tarptautinės teisės aktuose (2004 m. spalio 25 d. Tarybos pagrindų sprendimas 2004/757/TVR, nustatantis būtiniausias nuostatas dėl nusikalstamų veikų sudėties požymių ir bausmių neteisėtos prekybos narkotikais srityje, 1961 m. Jungtinių Tautų Organizacijos Bendroji narkotinių medžiagų konvencija, 1971 m. Psichotropinių medžiagų konvencija, 1988 m. Konvencija dėl kovos su neteisėta narkotinių ir psichotropinių medžiagų apyvarta ir kt.) įtvirtintais reikalavimais, o už šių pavojingų nusikaltimų padarymą numatytos baudžiamosios sankcijos  laikytinos proporcingomis šių visuotinai pavojingų nusikaltimų pavojingumo pobūdžiui ir laipsniui (ypač, kiek tai susiję su dideliais narkotinių ar psichotropinių medžiagų kiekiais (ir jų platinimu) bei šių medžiagų platinimu nepilnamečiams). Atsižvelgiant į tai, </w:t>
            </w:r>
            <w:r w:rsidRPr="002C7528">
              <w:rPr>
                <w:i/>
              </w:rPr>
              <w:t>nėra tikslinga keisti</w:t>
            </w:r>
            <w:r w:rsidRPr="006006E7">
              <w:t xml:space="preserve"> šiuo metu įtvirtinus ir tarptautinius reikalavimus atitinkančius  nusikalstamų veikų sudėties požymius ir/ar koreguoti baudžiamajame įstatyme numatytas </w:t>
            </w:r>
            <w:r w:rsidRPr="006006E7">
              <w:lastRenderedPageBreak/>
              <w:t xml:space="preserve">sankcijas. </w:t>
            </w:r>
            <w:r w:rsidRPr="002C7528">
              <w:rPr>
                <w:bCs/>
                <w:u w:val="single"/>
              </w:rPr>
              <w:t>Ketvirta</w:t>
            </w:r>
            <w:r w:rsidRPr="006006E7">
              <w:rPr>
                <w:bCs/>
              </w:rPr>
              <w:t>, pastarųjų metų statistiniais duomenys rodo, kad disponavimas narkotikais yra viena dažniausiai registruojamų nusikalstamų veikų (2018 m. – 5%, o 2019 m. – 6% nuo visų užregistruotų nusikalstamų veikų). Šios veikos plitimo tendencijos rodo, kad pagrindo švelninti baudžiamąją atsakomybę už su narkotikų vartojimu, disponavimu ir pan. susijusias veikas šiuo metu nėra pagrindo.</w:t>
            </w:r>
          </w:p>
        </w:tc>
      </w:tr>
      <w:tr w:rsidR="00EE0FF0" w:rsidRPr="006006E7" w14:paraId="44AB7476" w14:textId="77777777" w:rsidTr="005F43FA">
        <w:tc>
          <w:tcPr>
            <w:tcW w:w="2127" w:type="dxa"/>
            <w:tcBorders>
              <w:top w:val="single" w:sz="4" w:space="0" w:color="auto"/>
              <w:left w:val="single" w:sz="4" w:space="0" w:color="auto"/>
              <w:bottom w:val="single" w:sz="4" w:space="0" w:color="auto"/>
              <w:right w:val="single" w:sz="4" w:space="0" w:color="auto"/>
            </w:tcBorders>
          </w:tcPr>
          <w:p w14:paraId="67AAB4A3" w14:textId="64E13F8C" w:rsidR="00EE0FF0" w:rsidRPr="006006E7" w:rsidRDefault="00EE0FF0" w:rsidP="00754A39">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1AE0CF79" w14:textId="77777777" w:rsidR="00EE0FF0" w:rsidRPr="006006E7" w:rsidRDefault="00EE0FF0" w:rsidP="00EE0FF0">
            <w:pPr>
              <w:shd w:val="clear" w:color="auto" w:fill="FFFFFF"/>
              <w:contextualSpacing/>
              <w:jc w:val="both"/>
              <w:rPr>
                <w:rFonts w:eastAsia="Times New Roman" w:cs="Times New Roman"/>
                <w:szCs w:val="20"/>
                <w:lang w:eastAsia="ru-RU"/>
              </w:rPr>
            </w:pPr>
            <w:r w:rsidRPr="006006E7">
              <w:rPr>
                <w:rFonts w:eastAsia="Times New Roman" w:cs="Times New Roman"/>
                <w:szCs w:val="20"/>
                <w:lang w:eastAsia="ru-RU"/>
              </w:rPr>
              <w:t xml:space="preserve">3. Siekiant baudžiamosios atsakomybės kaip </w:t>
            </w:r>
            <w:r w:rsidRPr="006006E7">
              <w:rPr>
                <w:rFonts w:eastAsia="Times New Roman" w:cs="Times New Roman"/>
                <w:i/>
                <w:iCs/>
                <w:szCs w:val="20"/>
                <w:lang w:eastAsia="ru-RU"/>
              </w:rPr>
              <w:t>ultima ratio</w:t>
            </w:r>
            <w:r w:rsidRPr="006006E7">
              <w:rPr>
                <w:rFonts w:eastAsia="Times New Roman" w:cs="Times New Roman"/>
                <w:szCs w:val="20"/>
                <w:lang w:eastAsia="ru-RU"/>
              </w:rPr>
              <w:t xml:space="preserve"> principo išgryninimo taip pat siūlome apsvarstyti:</w:t>
            </w:r>
          </w:p>
          <w:p w14:paraId="3D840AE8" w14:textId="77777777" w:rsidR="00EE0FF0" w:rsidRPr="006006E7" w:rsidRDefault="00EE0FF0" w:rsidP="000F434D">
            <w:pPr>
              <w:shd w:val="clear" w:color="auto" w:fill="FFFFFF"/>
              <w:contextualSpacing/>
              <w:jc w:val="both"/>
              <w:rPr>
                <w:rFonts w:eastAsia="Times New Roman" w:cs="Times New Roman"/>
                <w:szCs w:val="20"/>
                <w:lang w:eastAsia="ru-RU"/>
              </w:rPr>
            </w:pPr>
            <w:r w:rsidRPr="006006E7">
              <w:rPr>
                <w:rFonts w:eastAsia="Times New Roman" w:cs="Times New Roman"/>
                <w:szCs w:val="20"/>
                <w:lang w:eastAsia="ru-RU"/>
              </w:rPr>
              <w:t xml:space="preserve">3.1. Atsisakyti arba reikšmingai siaurinti ir gryninti BK 127 str. normos sudėtį atsižvelgiant į tai, kad tarptautinėje praktikoje vėliavos (įskaitant savo valstybės) deginimas, trypimas ar kiti veiksmai vertinami kaip politinio protesto, t. y. tarptautinių konvencijų bei Lietuvos Respublikos Konstitucijos garantuojamos žodžio laisvės neatsiejama ir būtina dalis. </w:t>
            </w:r>
          </w:p>
        </w:tc>
        <w:tc>
          <w:tcPr>
            <w:tcW w:w="7796" w:type="dxa"/>
            <w:tcBorders>
              <w:top w:val="single" w:sz="4" w:space="0" w:color="auto"/>
              <w:left w:val="single" w:sz="4" w:space="0" w:color="auto"/>
              <w:bottom w:val="single" w:sz="4" w:space="0" w:color="auto"/>
              <w:right w:val="single" w:sz="4" w:space="0" w:color="auto"/>
            </w:tcBorders>
          </w:tcPr>
          <w:p w14:paraId="0DA337BB" w14:textId="77777777" w:rsidR="00146C5E" w:rsidRPr="006006E7" w:rsidRDefault="00146C5E" w:rsidP="00146C5E">
            <w:pPr>
              <w:jc w:val="both"/>
              <w:rPr>
                <w:rFonts w:cs="Times New Roman"/>
                <w:b/>
                <w:szCs w:val="24"/>
              </w:rPr>
            </w:pPr>
            <w:r w:rsidRPr="006006E7">
              <w:rPr>
                <w:rFonts w:cs="Times New Roman"/>
                <w:b/>
                <w:szCs w:val="24"/>
              </w:rPr>
              <w:t>Nepritarti</w:t>
            </w:r>
            <w:r w:rsidRPr="006006E7">
              <w:rPr>
                <w:rFonts w:cs="Times New Roman"/>
                <w:szCs w:val="24"/>
              </w:rPr>
              <w:t>.</w:t>
            </w:r>
          </w:p>
          <w:p w14:paraId="499DC56B" w14:textId="745F9AFC" w:rsidR="00EE0FF0" w:rsidRPr="006006E7" w:rsidRDefault="00146C5E" w:rsidP="002E259D">
            <w:pPr>
              <w:jc w:val="both"/>
              <w:rPr>
                <w:rFonts w:cs="Times New Roman"/>
                <w:b/>
                <w:szCs w:val="24"/>
              </w:rPr>
            </w:pPr>
            <w:r w:rsidRPr="006006E7">
              <w:t xml:space="preserve">Lietuvos valstybės vėliava, herbas ir himnas yra </w:t>
            </w:r>
            <w:r w:rsidRPr="006006E7">
              <w:rPr>
                <w:i/>
              </w:rPr>
              <w:t>Konstitucijoje įtvirtintos</w:t>
            </w:r>
            <w:r w:rsidRPr="006006E7">
              <w:t xml:space="preserve"> </w:t>
            </w:r>
            <w:r w:rsidRPr="006006E7">
              <w:rPr>
                <w:i/>
              </w:rPr>
              <w:t>vienos svarbiausių</w:t>
            </w:r>
            <w:r w:rsidRPr="006006E7">
              <w:t xml:space="preserve"> Lietuvos valstybės pamatinių vertybių, o pasikėsinimas į šiuos valstybės simbolius yra nusikalstama veika, už kurią </w:t>
            </w:r>
            <w:r w:rsidR="002E259D" w:rsidRPr="006006E7">
              <w:t>baudžiamoji atsakomybė numatyta BK</w:t>
            </w:r>
            <w:r w:rsidRPr="006006E7">
              <w:t xml:space="preserve"> XVI skyriuje „Nusikaltimai Lietuvos valstybės nepriklausomybei, teritorijos vientisumui ir konstitucinei santvarkai“. Atsižvelgiant į tai, </w:t>
            </w:r>
            <w:r w:rsidRPr="006006E7">
              <w:rPr>
                <w:u w:val="single"/>
              </w:rPr>
              <w:t>pirma</w:t>
            </w:r>
            <w:r w:rsidRPr="006006E7">
              <w:t xml:space="preserve">, bandymas atsisakyti arba reikšmingai siaurinti BK 127 straipsnio sudėtį tiek, kiek tai susiję tik su vieno iš valstybės simbolių, t. y. vėliavos apsauga, </w:t>
            </w:r>
            <w:r w:rsidRPr="006006E7">
              <w:rPr>
                <w:i/>
              </w:rPr>
              <w:t>pažeistų</w:t>
            </w:r>
            <w:r w:rsidRPr="006006E7">
              <w:t xml:space="preserve"> Konstitucijoje įtvirtintą lygiavertį visų valstybės simbolių apsaugos traktavimą, taip pat </w:t>
            </w:r>
            <w:r w:rsidRPr="006006E7">
              <w:rPr>
                <w:i/>
              </w:rPr>
              <w:t>nepagrįstai sumenkintų</w:t>
            </w:r>
            <w:r w:rsidRPr="006006E7">
              <w:t xml:space="preserve"> vienų valstybės simbolių (vėliavos) svarbą kitų simbolių (herbo, himno) atžvilgiu. </w:t>
            </w:r>
            <w:r w:rsidRPr="006006E7">
              <w:rPr>
                <w:u w:val="single"/>
              </w:rPr>
              <w:t>Antra</w:t>
            </w:r>
            <w:r w:rsidRPr="006006E7">
              <w:t>, valstybės vėliavos, kaip Konstitucijoje saugomo valstybės simbolio, svarba ir reikšmė yra atskleista ir teismų praktik</w:t>
            </w:r>
            <w:r w:rsidRPr="006006E7">
              <w:rPr>
                <w:rFonts w:cs="Times New Roman"/>
                <w:szCs w:val="24"/>
              </w:rPr>
              <w:t xml:space="preserve">oje. </w:t>
            </w:r>
            <w:r w:rsidR="002E259D" w:rsidRPr="006006E7">
              <w:rPr>
                <w:rFonts w:cs="Times New Roman"/>
                <w:szCs w:val="24"/>
              </w:rPr>
              <w:t>LAT</w:t>
            </w:r>
            <w:r w:rsidRPr="006006E7">
              <w:rPr>
                <w:rFonts w:cs="Times New Roman"/>
                <w:szCs w:val="24"/>
              </w:rPr>
              <w:t xml:space="preserve"> vienoje iš bylų yra nurodęs, kad v</w:t>
            </w:r>
            <w:r w:rsidRPr="006006E7">
              <w:rPr>
                <w:rFonts w:cs="Times New Roman"/>
                <w:color w:val="000000"/>
                <w:szCs w:val="24"/>
              </w:rPr>
              <w:t xml:space="preserve">alstybės vėliava yra vienas skiriamųjų valstybės simbolių, simbolizuojančių jos nepriklausomybę. Šį simbolį viešai išniekinant </w:t>
            </w:r>
            <w:r w:rsidRPr="006006E7">
              <w:rPr>
                <w:rFonts w:cs="Times New Roman"/>
                <w:i/>
                <w:color w:val="000000"/>
                <w:szCs w:val="24"/>
              </w:rPr>
              <w:t>kėsinamasi</w:t>
            </w:r>
            <w:r w:rsidRPr="006006E7">
              <w:rPr>
                <w:rFonts w:cs="Times New Roman"/>
                <w:color w:val="000000"/>
                <w:szCs w:val="24"/>
              </w:rPr>
              <w:t xml:space="preserve"> į valstybės autoritetą, padaroma moralinė žala jos piliečiams, taip pat gali būti padaroma ir turtinė žala (LAT nutartis baudžiamojoje byloje Nr. 2K-582/2011). </w:t>
            </w:r>
            <w:r w:rsidRPr="006006E7">
              <w:rPr>
                <w:rFonts w:cs="Times New Roman"/>
                <w:color w:val="000000"/>
                <w:szCs w:val="24"/>
                <w:u w:val="single"/>
              </w:rPr>
              <w:t>Trečia</w:t>
            </w:r>
            <w:r w:rsidRPr="006006E7">
              <w:rPr>
                <w:rFonts w:cs="Times New Roman"/>
                <w:color w:val="000000"/>
                <w:szCs w:val="24"/>
              </w:rPr>
              <w:t xml:space="preserve">, atkreiptinas dėmesys ir į tai, kad užsienio valstybių baudžiamuosiuose įstatymuose valstybės vėliavos išniekinimas </w:t>
            </w:r>
            <w:r w:rsidRPr="006006E7">
              <w:rPr>
                <w:rFonts w:cs="Times New Roman"/>
                <w:i/>
                <w:color w:val="000000"/>
                <w:szCs w:val="24"/>
              </w:rPr>
              <w:t>taip pat yra kriminalizuotas</w:t>
            </w:r>
            <w:r w:rsidRPr="006006E7">
              <w:rPr>
                <w:rFonts w:cs="Times New Roman"/>
                <w:color w:val="000000"/>
                <w:szCs w:val="24"/>
              </w:rPr>
              <w:t xml:space="preserve"> ir užtraukia baudžiamąją atsakomybę (pvz., </w:t>
            </w:r>
            <w:r w:rsidRPr="006006E7">
              <w:t xml:space="preserve">Austrijoje, Bulgarijoje, Estijoje, Kroatijoje, Latvijoje, Lenkijoje, Prancūzijoje, Vengrijoje, Vokietijoje ir kt.). Be to, BK projekto derinimo metu nei viena institucija ar kiti suinteresuoti subjektai, teikę pasiūlymus dėl galimų BK korekcijų, susijusių su tam tikrų veikų dekriminalizavimu arba baudžiamosios atsakomybės siaurinimu, </w:t>
            </w:r>
            <w:r w:rsidRPr="006006E7">
              <w:rPr>
                <w:i/>
              </w:rPr>
              <w:t>neidentifikavo poreikio</w:t>
            </w:r>
            <w:r w:rsidRPr="006006E7">
              <w:t xml:space="preserve"> svarstyti vėliavos išniekinimo sudėties dekriminalizavimo ar baudžiamosios atsakomybės už šią nusikalstamą veiką siaurinimo klausimą.</w:t>
            </w:r>
          </w:p>
        </w:tc>
      </w:tr>
      <w:tr w:rsidR="00EE0FF0" w:rsidRPr="006006E7" w14:paraId="0A7B67B5" w14:textId="77777777" w:rsidTr="005F43FA">
        <w:tc>
          <w:tcPr>
            <w:tcW w:w="2127" w:type="dxa"/>
            <w:tcBorders>
              <w:top w:val="single" w:sz="4" w:space="0" w:color="auto"/>
              <w:left w:val="single" w:sz="4" w:space="0" w:color="auto"/>
              <w:bottom w:val="single" w:sz="4" w:space="0" w:color="auto"/>
              <w:right w:val="single" w:sz="4" w:space="0" w:color="auto"/>
            </w:tcBorders>
          </w:tcPr>
          <w:p w14:paraId="009F9D80" w14:textId="77777777" w:rsidR="00EE0FF0" w:rsidRPr="006006E7" w:rsidRDefault="00EE0FF0" w:rsidP="00754A39">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0669E7AF" w14:textId="77777777" w:rsidR="00EE0FF0" w:rsidRPr="006006E7" w:rsidRDefault="00EE0FF0" w:rsidP="00EE0FF0">
            <w:pPr>
              <w:shd w:val="clear" w:color="auto" w:fill="FFFFFF"/>
              <w:contextualSpacing/>
              <w:jc w:val="both"/>
              <w:rPr>
                <w:rFonts w:eastAsia="Times New Roman" w:cs="Times New Roman"/>
                <w:szCs w:val="20"/>
                <w:lang w:eastAsia="ru-RU"/>
              </w:rPr>
            </w:pPr>
            <w:r w:rsidRPr="006006E7">
              <w:rPr>
                <w:rFonts w:eastAsia="Times New Roman" w:cs="Times New Roman"/>
                <w:szCs w:val="20"/>
                <w:lang w:eastAsia="ru-RU"/>
              </w:rPr>
              <w:t xml:space="preserve">3.2. Siaurinti BK 232 str. atsakomybę už nepagarbą teismui. Nors teismai ir jų teisėjai, kaip subjektai užtikrinantys teisėtumą Lietuvoje, neabejotinai turi būti </w:t>
            </w:r>
            <w:r w:rsidRPr="006006E7">
              <w:rPr>
                <w:rFonts w:eastAsia="Times New Roman" w:cs="Times New Roman"/>
                <w:szCs w:val="20"/>
                <w:lang w:eastAsia="ru-RU"/>
              </w:rPr>
              <w:lastRenderedPageBreak/>
              <w:t xml:space="preserve">ginami nuo bet kokių nusikalstamų kėsinimųsi, įskaitant verbalinius, tačiau abejotina, ar asmenų baudžiamasis persekiojimas ir jų pvz. išreikštą pasipiktinimą teismo priimtu sprendimu, kuriame teisėjas pavadintas negražiu žodžiu. Teismų praktikoje yra traktuojama, kad atsakomybė pagal šį straipsnį kyla jau tada, kai teisėjo ar teismo pažeminimą matė ar girdėjo bent vienas </w:t>
            </w:r>
            <w:proofErr w:type="spellStart"/>
            <w:r w:rsidRPr="006006E7">
              <w:rPr>
                <w:rFonts w:eastAsia="Times New Roman" w:cs="Times New Roman"/>
                <w:szCs w:val="20"/>
                <w:lang w:eastAsia="ru-RU"/>
              </w:rPr>
              <w:t>tretysis</w:t>
            </w:r>
            <w:proofErr w:type="spellEnd"/>
            <w:r w:rsidRPr="006006E7">
              <w:rPr>
                <w:rFonts w:eastAsia="Times New Roman" w:cs="Times New Roman"/>
                <w:szCs w:val="20"/>
                <w:lang w:eastAsia="ru-RU"/>
              </w:rPr>
              <w:t xml:space="preserve"> asmuo, kas iš esmės reiškia, kad ji kyla net ir tuo atveju, kai BK straipsnio dispozicijoje minimas „viešumas“ yra itin riboto pobūdžio. Atitinkamai siūlytina gryninti aptariamą sudėti numatant atsakomybę tik už tas veikas, kur baudžiamosios atsakomybės, kaip </w:t>
            </w:r>
            <w:r w:rsidRPr="006006E7">
              <w:rPr>
                <w:rFonts w:eastAsia="Times New Roman" w:cs="Times New Roman"/>
                <w:i/>
                <w:iCs/>
                <w:szCs w:val="20"/>
                <w:lang w:eastAsia="ru-RU"/>
              </w:rPr>
              <w:t>ultima ratio</w:t>
            </w:r>
            <w:r w:rsidRPr="006006E7">
              <w:rPr>
                <w:rFonts w:eastAsia="Times New Roman" w:cs="Times New Roman"/>
                <w:szCs w:val="20"/>
                <w:lang w:eastAsia="ru-RU"/>
              </w:rPr>
              <w:t xml:space="preserve"> priemonės, taikymas būtų proporcionaliai pagrįstas.</w:t>
            </w:r>
          </w:p>
        </w:tc>
        <w:tc>
          <w:tcPr>
            <w:tcW w:w="7796" w:type="dxa"/>
            <w:tcBorders>
              <w:top w:val="single" w:sz="4" w:space="0" w:color="auto"/>
              <w:left w:val="single" w:sz="4" w:space="0" w:color="auto"/>
              <w:bottom w:val="single" w:sz="4" w:space="0" w:color="auto"/>
              <w:right w:val="single" w:sz="4" w:space="0" w:color="auto"/>
            </w:tcBorders>
          </w:tcPr>
          <w:p w14:paraId="27E9D02F" w14:textId="77777777" w:rsidR="00EE0FF0" w:rsidRPr="006006E7" w:rsidRDefault="004F3721" w:rsidP="005F43FA">
            <w:pPr>
              <w:jc w:val="both"/>
              <w:rPr>
                <w:rFonts w:cs="Times New Roman"/>
                <w:b/>
                <w:szCs w:val="24"/>
              </w:rPr>
            </w:pPr>
            <w:r w:rsidRPr="006006E7">
              <w:rPr>
                <w:rFonts w:cs="Times New Roman"/>
                <w:b/>
                <w:szCs w:val="24"/>
              </w:rPr>
              <w:lastRenderedPageBreak/>
              <w:t>Nepritarti.</w:t>
            </w:r>
          </w:p>
          <w:p w14:paraId="25994B1C" w14:textId="77777777" w:rsidR="002C7528" w:rsidRDefault="002E259D" w:rsidP="002C7528">
            <w:pPr>
              <w:jc w:val="both"/>
              <w:rPr>
                <w:rFonts w:cs="Times New Roman"/>
                <w:szCs w:val="24"/>
              </w:rPr>
            </w:pPr>
            <w:r w:rsidRPr="006006E7">
              <w:rPr>
                <w:rFonts w:cs="Times New Roman"/>
                <w:szCs w:val="24"/>
              </w:rPr>
              <w:t xml:space="preserve">Pažymėtina, kad </w:t>
            </w:r>
            <w:r w:rsidRPr="006006E7">
              <w:rPr>
                <w:i/>
              </w:rPr>
              <w:t>i</w:t>
            </w:r>
            <w:r w:rsidR="002459F6" w:rsidRPr="006006E7">
              <w:rPr>
                <w:i/>
              </w:rPr>
              <w:t>š Konstitucijoje</w:t>
            </w:r>
            <w:r w:rsidR="002459F6" w:rsidRPr="006006E7">
              <w:t xml:space="preserve"> </w:t>
            </w:r>
            <w:r w:rsidRPr="006006E7">
              <w:t xml:space="preserve">įtvirtinto teismų, teisėjų nepriklausomumo vykdant teisingumą, teisinio </w:t>
            </w:r>
            <w:r w:rsidR="002459F6" w:rsidRPr="006006E7">
              <w:t>saugumo principų kyla ir teismų bei</w:t>
            </w:r>
            <w:r w:rsidRPr="006006E7">
              <w:t xml:space="preserve"> teisėjų </w:t>
            </w:r>
            <w:r w:rsidRPr="006006E7">
              <w:lastRenderedPageBreak/>
              <w:t xml:space="preserve">apsaugos nuo bet kokio neteisėto poveikio ar įtakos imperatyvas, todėl valstybė turi pareigą efektyviai saugoti teismus, teisėjus nuo neteisėto poveikio ar įtakos, </w:t>
            </w:r>
            <w:r w:rsidR="002459F6" w:rsidRPr="006006E7">
              <w:t xml:space="preserve">grasinimų, šmeižto bei įžeidimų, kartu </w:t>
            </w:r>
            <w:r w:rsidRPr="006006E7">
              <w:t xml:space="preserve">užtikrinti jų pasitikėjimą savo valstybe (kurios teisminę valstybės valdžią jie vykdo) ir teise (kuria remdamiesi įgyvendina savo priedermę). Viena iš teismų, teisėjų nepriklausomumo garantijų yra jų garbės, orumo </w:t>
            </w:r>
            <w:r w:rsidRPr="006006E7">
              <w:rPr>
                <w:i/>
              </w:rPr>
              <w:t>apsauga</w:t>
            </w:r>
            <w:r w:rsidRPr="006006E7">
              <w:t xml:space="preserve"> </w:t>
            </w:r>
            <w:r w:rsidRPr="006006E7">
              <w:rPr>
                <w:i/>
              </w:rPr>
              <w:t>baudžiamosiomis teisinėmis priemonėmis</w:t>
            </w:r>
            <w:r w:rsidR="002459F6" w:rsidRPr="006006E7">
              <w:t xml:space="preserve"> nuo nepagarbos ir</w:t>
            </w:r>
            <w:r w:rsidRPr="006006E7">
              <w:t xml:space="preserve"> pažeminimo. Teisingumo ministerijos vertinimu, BK 232 straipsnyje įtvirtinta nusikalstama veika neprieštarauja baudžiamosios atsakomybės, kaip kraštutinės priemonės (</w:t>
            </w:r>
            <w:r w:rsidRPr="006006E7">
              <w:rPr>
                <w:i/>
              </w:rPr>
              <w:t xml:space="preserve">ultima ratio), </w:t>
            </w:r>
            <w:r w:rsidRPr="006006E7">
              <w:t>principui, kadangi joje įvirtintos baudžiamosios atsakomybės atsiradimo ribos bei sąlygos yra pagrįstos bei proporcingos, atsižvelgiant į aptariama baudžiamojo įstatymo norma sau</w:t>
            </w:r>
            <w:r w:rsidR="002459F6" w:rsidRPr="006006E7">
              <w:t>gomo objekto svarbą. Atkreiptinas dėmesys</w:t>
            </w:r>
            <w:r w:rsidRPr="006006E7">
              <w:t xml:space="preserve"> į tai, kad BK 232 straipsnyje įtvirtina nusikalstamos veikos sudėtis jau šiuo metu </w:t>
            </w:r>
            <w:r w:rsidRPr="006006E7">
              <w:rPr>
                <w:i/>
              </w:rPr>
              <w:t>pakankamai susiaurina</w:t>
            </w:r>
            <w:r w:rsidRPr="006006E7">
              <w:t xml:space="preserve"> baudžiamosios atsakomybės taikymo ribas už nepagarbą teismui (kartu kėsinimąsi į teisingumo vykdymo procesą), kadangi baudžiamosios atsakomybės atsiradimas yra </w:t>
            </w:r>
            <w:r w:rsidRPr="006006E7">
              <w:rPr>
                <w:i/>
              </w:rPr>
              <w:t>sąlygotas net trijų</w:t>
            </w:r>
            <w:r w:rsidRPr="006006E7">
              <w:t xml:space="preserve"> objektyviųjų požymių egzistavimo erdvėje. Šiame kontekste pažymėtina, kad tik </w:t>
            </w:r>
            <w:r w:rsidRPr="006006E7">
              <w:rPr>
                <w:i/>
              </w:rPr>
              <w:t>viešai išreikšta</w:t>
            </w:r>
            <w:r w:rsidRPr="006006E7">
              <w:t xml:space="preserve">s ir </w:t>
            </w:r>
            <w:r w:rsidRPr="006006E7">
              <w:rPr>
                <w:i/>
              </w:rPr>
              <w:t>užgaulus pažeminimas</w:t>
            </w:r>
            <w:r w:rsidRPr="006006E7">
              <w:t xml:space="preserve">, kuris yra susijęs </w:t>
            </w:r>
            <w:r w:rsidRPr="006006E7">
              <w:rPr>
                <w:i/>
              </w:rPr>
              <w:t>išimtinai su teismo atliekamų funkcijų vykdymų</w:t>
            </w:r>
            <w:r w:rsidRPr="006006E7">
              <w:t xml:space="preserve">, gali būti pripažįstamas nepagarba teismui BK 232 straipsnio kontekste. Taigi, baudžiamajai atsakomybei kilti nepakanka vien to, kad asmuo viešai, užgauliai žemintų teisėją, bet aptariamas pažeminimas turi būti sąlygotas vienos svarbiausių valstybės funkcijų – teisingumo vykdymo. Atsižvelgiant į tai, dar labiau susiaurinti baudžiamosios atsakomybės ribas už nusikalstamą kėsinimąsi į teisėjo autoritetą bei teisingumo vykdymo procesą, Teisingumo ministerija </w:t>
            </w:r>
            <w:r w:rsidRPr="006006E7">
              <w:rPr>
                <w:i/>
              </w:rPr>
              <w:t>galimybės nemato</w:t>
            </w:r>
            <w:r w:rsidR="002459F6" w:rsidRPr="006006E7">
              <w:t>, juolab suvokiant vertinamos k</w:t>
            </w:r>
            <w:r w:rsidRPr="006006E7">
              <w:t xml:space="preserve">onstitucinės vertybės svarbą valstybei bei visuomenei. Priešingu atveju, dar labiau susiaurinus baudžiamosios atsakomybės ribas už BK 232 straipsnyje įtvirtintą nusikalstamą veiką, gali būti nepakankamai užtikrinta teismo autoriteto bei teisingumo vykdymo apsauga, kas galimai suponuotų </w:t>
            </w:r>
            <w:r w:rsidRPr="006006E7">
              <w:rPr>
                <w:rFonts w:cs="Times New Roman"/>
                <w:szCs w:val="24"/>
              </w:rPr>
              <w:t>Konstitucijoje įtvirtinto teismų, teisėjų nepriklausomumo vykdant teisingumą, teisinio saugumo principo pažeidimą.</w:t>
            </w:r>
            <w:r w:rsidR="002C7528">
              <w:rPr>
                <w:rFonts w:cs="Times New Roman"/>
                <w:szCs w:val="24"/>
              </w:rPr>
              <w:t xml:space="preserve"> </w:t>
            </w:r>
          </w:p>
          <w:p w14:paraId="4FE47578" w14:textId="04E32E64" w:rsidR="002459F6" w:rsidRPr="006006E7" w:rsidRDefault="002459F6" w:rsidP="002C7528">
            <w:pPr>
              <w:jc w:val="both"/>
              <w:rPr>
                <w:rFonts w:cs="Times New Roman"/>
                <w:szCs w:val="24"/>
              </w:rPr>
            </w:pPr>
            <w:bookmarkStart w:id="0" w:name="_GoBack"/>
            <w:bookmarkEnd w:id="0"/>
            <w:r w:rsidRPr="006006E7">
              <w:rPr>
                <w:rFonts w:cs="Times New Roman"/>
                <w:szCs w:val="24"/>
              </w:rPr>
              <w:t>Kartu atkreiptinas dėmesys, kad BK 232 straipsnio dekriminalizavimo (taip pat ir taikymo apimties siaurinimo) klausimai taip pat buvo keliami įstatymo projektu Nr. XIIP-1420, tačiau tokiems pasiūlymams Seimo Teisės ir teisėtvarkos komitete vykusių šio įstatymo</w:t>
            </w:r>
            <w:r w:rsidR="00BA25FB" w:rsidRPr="006006E7">
              <w:rPr>
                <w:rFonts w:cs="Times New Roman"/>
                <w:szCs w:val="24"/>
              </w:rPr>
              <w:t xml:space="preserve"> projekto svarstymų</w:t>
            </w:r>
            <w:r w:rsidRPr="006006E7">
              <w:rPr>
                <w:rFonts w:cs="Times New Roman"/>
                <w:szCs w:val="24"/>
              </w:rPr>
              <w:t xml:space="preserve"> metu </w:t>
            </w:r>
            <w:r w:rsidRPr="006006E7">
              <w:rPr>
                <w:rFonts w:cs="Times New Roman"/>
                <w:i/>
                <w:szCs w:val="24"/>
              </w:rPr>
              <w:t>nepritarė</w:t>
            </w:r>
            <w:r w:rsidRPr="006006E7">
              <w:rPr>
                <w:rFonts w:cs="Times New Roman"/>
                <w:szCs w:val="24"/>
              </w:rPr>
              <w:t xml:space="preserve"> absoliuti dauguma dalyvavusių institucijų.</w:t>
            </w:r>
          </w:p>
        </w:tc>
      </w:tr>
      <w:tr w:rsidR="00A56D32" w:rsidRPr="006006E7" w14:paraId="32AC3179" w14:textId="77777777" w:rsidTr="005F43FA">
        <w:tc>
          <w:tcPr>
            <w:tcW w:w="2127" w:type="dxa"/>
            <w:tcBorders>
              <w:top w:val="single" w:sz="4" w:space="0" w:color="auto"/>
              <w:left w:val="single" w:sz="4" w:space="0" w:color="auto"/>
              <w:bottom w:val="single" w:sz="4" w:space="0" w:color="auto"/>
              <w:right w:val="single" w:sz="4" w:space="0" w:color="auto"/>
            </w:tcBorders>
          </w:tcPr>
          <w:p w14:paraId="71BF8B62" w14:textId="61556C75" w:rsidR="00A56D32" w:rsidRPr="006006E7" w:rsidRDefault="00B21366" w:rsidP="007E0BCB">
            <w:pPr>
              <w:rPr>
                <w:rFonts w:cs="Times New Roman"/>
                <w:szCs w:val="24"/>
              </w:rPr>
            </w:pPr>
            <w:r w:rsidRPr="006006E7">
              <w:rPr>
                <w:rFonts w:cs="Times New Roman"/>
                <w:szCs w:val="24"/>
              </w:rPr>
              <w:lastRenderedPageBreak/>
              <w:t>Lietuvos Respublikos Vyriaus</w:t>
            </w:r>
            <w:r w:rsidR="0032091C">
              <w:rPr>
                <w:rFonts w:cs="Times New Roman"/>
                <w:szCs w:val="24"/>
              </w:rPr>
              <w:t>ybės kanceliarijos Teisės grupė</w:t>
            </w:r>
            <w:r w:rsidRPr="006006E7">
              <w:rPr>
                <w:rFonts w:cs="Times New Roman"/>
                <w:szCs w:val="24"/>
              </w:rPr>
              <w:t xml:space="preserve"> </w:t>
            </w:r>
            <w:r w:rsidR="0032091C">
              <w:rPr>
                <w:rFonts w:cs="Times New Roman"/>
                <w:szCs w:val="24"/>
              </w:rPr>
              <w:t>(</w:t>
            </w:r>
            <w:r w:rsidRPr="006006E7">
              <w:rPr>
                <w:rFonts w:cs="Times New Roman"/>
                <w:szCs w:val="24"/>
              </w:rPr>
              <w:t>2020-03-10 išvada Nr. NV-680</w:t>
            </w:r>
            <w:r w:rsidR="0032091C">
              <w:rPr>
                <w:rFonts w:cs="Times New Roman"/>
                <w:szCs w:val="24"/>
              </w:rPr>
              <w:t>)</w:t>
            </w:r>
          </w:p>
        </w:tc>
        <w:tc>
          <w:tcPr>
            <w:tcW w:w="5670" w:type="dxa"/>
            <w:tcBorders>
              <w:top w:val="single" w:sz="4" w:space="0" w:color="auto"/>
              <w:left w:val="single" w:sz="4" w:space="0" w:color="auto"/>
              <w:bottom w:val="single" w:sz="4" w:space="0" w:color="auto"/>
              <w:right w:val="single" w:sz="4" w:space="0" w:color="auto"/>
            </w:tcBorders>
          </w:tcPr>
          <w:p w14:paraId="5C5317F3" w14:textId="77777777" w:rsidR="00A91C95" w:rsidRPr="006006E7" w:rsidRDefault="00A91C95" w:rsidP="00A91C95">
            <w:pPr>
              <w:tabs>
                <w:tab w:val="left" w:pos="142"/>
              </w:tabs>
              <w:jc w:val="both"/>
              <w:rPr>
                <w:rFonts w:eastAsia="MS Mincho" w:cs="Times New Roman"/>
                <w:szCs w:val="24"/>
              </w:rPr>
            </w:pPr>
            <w:r w:rsidRPr="006006E7">
              <w:rPr>
                <w:rFonts w:eastAsia="MS Mincho" w:cs="Times New Roman"/>
                <w:szCs w:val="24"/>
              </w:rPr>
              <w:t>2. Sistemiškai vertinant siūlomą teisinį reglamentavimą, darytina išvada, kad stokoja nuoseklumo siūlomos Baudžiamojo kodekso 199–200 straipsnių pagrindinių ir kvalifikuotų sudėčių MGL ribos. Mūsų vertinimu, pagrindinių sudėčių sumų dydžiai nuo 150 iki 750 MGL dydžio yra pernelyg dideli. Siekiant teisinio reguliavimo nuoseklumo, siūlytume įvertinti galimybę ir tikslingumą tarpinio dydžio sudėčių įvedimui minėtuose straipsniuose. Be to, atkreipiame dėmesį į tai, kad siūlomos Baudžiamojo kodekso 199–200 straipsnių nuostatos, kuriomis švelninama atsakomybė už „iki“ ir „virš“ 250 MGL dydžio sumos padarytas nusikalstamas veikas, nesuderintos su Lietuvos Respublikos Vyriausybės programos 50.1 papunktyje įtvirtintu siekiu stiprinti kovą</w:t>
            </w:r>
            <w:r w:rsidRPr="006006E7">
              <w:rPr>
                <w:rFonts w:eastAsia="MS Mincho" w:cs="Times New Roman"/>
                <w:color w:val="000000"/>
                <w:szCs w:val="24"/>
              </w:rPr>
              <w:t xml:space="preserve"> su tabako gaminių kontrabanda. Šiame kontekste primename, kad v</w:t>
            </w:r>
            <w:r w:rsidRPr="006006E7">
              <w:rPr>
                <w:rFonts w:eastAsia="MS Mincho" w:cs="Times New Roman"/>
                <w:szCs w:val="24"/>
              </w:rPr>
              <w:t>eikos nusikalstamumą panaikinantis, bausmę švelninantis arba kitokiu būdu nusikalstamą veiką padariusio asmens teisinę padėtį palengvinantis baudžiamasis įstatymas turi grįžtamąją galią, t. y. taikomas iki tokio įstatymo įsigaliojimo nusikalstamą veiką padariusiems asmenims, taip pat atliekantiems bausmę bei turintiems teistumą asmenims.</w:t>
            </w:r>
            <w:r w:rsidRPr="006006E7">
              <w:rPr>
                <w:rFonts w:eastAsia="MS Mincho" w:cs="Times New Roman"/>
                <w:color w:val="000000"/>
                <w:szCs w:val="24"/>
              </w:rPr>
              <w:t xml:space="preserve"> </w:t>
            </w:r>
          </w:p>
          <w:p w14:paraId="7ACAAE19" w14:textId="77777777" w:rsidR="00A56D32" w:rsidRPr="006006E7" w:rsidRDefault="00A56D32" w:rsidP="00A91C95">
            <w:pPr>
              <w:pStyle w:val="Standard"/>
              <w:tabs>
                <w:tab w:val="left" w:pos="8245"/>
              </w:tabs>
              <w:overflowPunct w:val="0"/>
              <w:autoSpaceDE w:val="0"/>
              <w:jc w:val="both"/>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14:paraId="4C85F9B4" w14:textId="77777777" w:rsidR="00A56D32" w:rsidRPr="006006E7" w:rsidRDefault="00A56D32" w:rsidP="005F43FA">
            <w:pPr>
              <w:jc w:val="both"/>
              <w:rPr>
                <w:rFonts w:cs="Times New Roman"/>
                <w:b/>
                <w:szCs w:val="24"/>
              </w:rPr>
            </w:pPr>
            <w:r w:rsidRPr="006006E7">
              <w:rPr>
                <w:rFonts w:cs="Times New Roman"/>
                <w:b/>
                <w:szCs w:val="24"/>
              </w:rPr>
              <w:t>Nepritarti.</w:t>
            </w:r>
          </w:p>
          <w:p w14:paraId="692ECA84" w14:textId="77777777" w:rsidR="002C7528" w:rsidRDefault="00A56D32" w:rsidP="002C7528">
            <w:pPr>
              <w:jc w:val="both"/>
              <w:rPr>
                <w:rFonts w:cs="Times New Roman"/>
                <w:szCs w:val="24"/>
              </w:rPr>
            </w:pPr>
            <w:r w:rsidRPr="006006E7">
              <w:rPr>
                <w:rFonts w:cs="Times New Roman"/>
                <w:szCs w:val="24"/>
                <w:u w:val="single"/>
              </w:rPr>
              <w:t>Pirma</w:t>
            </w:r>
            <w:r w:rsidRPr="006006E7">
              <w:rPr>
                <w:rFonts w:cs="Times New Roman"/>
                <w:szCs w:val="24"/>
              </w:rPr>
              <w:t>, BK 199</w:t>
            </w:r>
            <w:r w:rsidR="00A91C95" w:rsidRPr="006006E7">
              <w:rPr>
                <w:rFonts w:cs="Times New Roman"/>
                <w:szCs w:val="24"/>
              </w:rPr>
              <w:t>-200</w:t>
            </w:r>
            <w:r w:rsidRPr="006006E7">
              <w:rPr>
                <w:rFonts w:cs="Times New Roman"/>
                <w:szCs w:val="24"/>
              </w:rPr>
              <w:t xml:space="preserve"> straipsn</w:t>
            </w:r>
            <w:r w:rsidR="00A91C95" w:rsidRPr="006006E7">
              <w:rPr>
                <w:rFonts w:cs="Times New Roman"/>
                <w:szCs w:val="24"/>
              </w:rPr>
              <w:t>iuose</w:t>
            </w:r>
            <w:r w:rsidRPr="006006E7">
              <w:rPr>
                <w:rFonts w:cs="Times New Roman"/>
                <w:szCs w:val="24"/>
              </w:rPr>
              <w:t xml:space="preserve"> nurodytas kvalifikuoto požymio 250 MGL dydis sistemiškai, </w:t>
            </w:r>
            <w:r w:rsidRPr="006006E7">
              <w:rPr>
                <w:rFonts w:cs="Times New Roman"/>
                <w:i/>
                <w:szCs w:val="24"/>
              </w:rPr>
              <w:t>kaip ir visame BK</w:t>
            </w:r>
            <w:r w:rsidRPr="006006E7">
              <w:rPr>
                <w:rFonts w:cs="Times New Roman"/>
                <w:szCs w:val="24"/>
              </w:rPr>
              <w:t xml:space="preserve">, didinamas iki 750 MGL dydžio, kurio egzistavimas jau </w:t>
            </w:r>
            <w:r w:rsidRPr="006006E7">
              <w:rPr>
                <w:rFonts w:cs="Times New Roman"/>
                <w:i/>
                <w:szCs w:val="24"/>
              </w:rPr>
              <w:t>reikštų sunkaus</w:t>
            </w:r>
            <w:r w:rsidR="001223A8" w:rsidRPr="006006E7">
              <w:rPr>
                <w:rFonts w:cs="Times New Roman"/>
                <w:szCs w:val="24"/>
              </w:rPr>
              <w:t xml:space="preserve"> nusikaltimo inkriminavimą. Būtent t</w:t>
            </w:r>
            <w:r w:rsidRPr="006006E7">
              <w:rPr>
                <w:rFonts w:cs="Times New Roman"/>
                <w:szCs w:val="24"/>
              </w:rPr>
              <w:t>ok</w:t>
            </w:r>
            <w:r w:rsidR="003A1145" w:rsidRPr="006006E7">
              <w:rPr>
                <w:rFonts w:cs="Times New Roman"/>
                <w:szCs w:val="24"/>
              </w:rPr>
              <w:t>ia</w:t>
            </w:r>
            <w:r w:rsidRPr="006006E7">
              <w:rPr>
                <w:rFonts w:cs="Times New Roman"/>
                <w:szCs w:val="24"/>
              </w:rPr>
              <w:t xml:space="preserve"> yra </w:t>
            </w:r>
            <w:r w:rsidRPr="006006E7">
              <w:rPr>
                <w:rFonts w:cs="Times New Roman"/>
                <w:i/>
                <w:szCs w:val="24"/>
              </w:rPr>
              <w:t>viena iš pamatinių</w:t>
            </w:r>
            <w:r w:rsidRPr="006006E7">
              <w:rPr>
                <w:rFonts w:cs="Times New Roman"/>
                <w:szCs w:val="24"/>
              </w:rPr>
              <w:t xml:space="preserve"> </w:t>
            </w:r>
            <w:r w:rsidRPr="006006E7">
              <w:rPr>
                <w:rFonts w:cs="Times New Roman"/>
                <w:i/>
                <w:szCs w:val="24"/>
              </w:rPr>
              <w:t>ir horizontali</w:t>
            </w:r>
            <w:r w:rsidR="001223A8" w:rsidRPr="006006E7">
              <w:rPr>
                <w:rFonts w:cs="Times New Roman"/>
                <w:i/>
                <w:szCs w:val="24"/>
              </w:rPr>
              <w:t>ų</w:t>
            </w:r>
            <w:r w:rsidR="001223A8" w:rsidRPr="006006E7">
              <w:rPr>
                <w:rFonts w:cs="Times New Roman"/>
                <w:szCs w:val="24"/>
              </w:rPr>
              <w:t xml:space="preserve"> BK projektu siūlomų </w:t>
            </w:r>
            <w:r w:rsidRPr="006006E7">
              <w:rPr>
                <w:rFonts w:cs="Times New Roman"/>
                <w:szCs w:val="24"/>
              </w:rPr>
              <w:t>pakeitim</w:t>
            </w:r>
            <w:r w:rsidR="001223A8" w:rsidRPr="006006E7">
              <w:rPr>
                <w:rFonts w:cs="Times New Roman"/>
                <w:szCs w:val="24"/>
              </w:rPr>
              <w:t>ų krypčių</w:t>
            </w:r>
            <w:r w:rsidR="00A91C95" w:rsidRPr="006006E7">
              <w:rPr>
                <w:rFonts w:cs="Times New Roman"/>
                <w:szCs w:val="24"/>
              </w:rPr>
              <w:t xml:space="preserve"> ir kitokio dydžio nustatymas kontrabandos (ir susijusių nusikaltimų sudėtyse)</w:t>
            </w:r>
            <w:r w:rsidRPr="006006E7">
              <w:rPr>
                <w:rFonts w:cs="Times New Roman"/>
                <w:szCs w:val="24"/>
              </w:rPr>
              <w:t xml:space="preserve"> </w:t>
            </w:r>
            <w:r w:rsidR="00A91C95" w:rsidRPr="006006E7">
              <w:rPr>
                <w:rFonts w:cs="Times New Roman"/>
                <w:szCs w:val="24"/>
              </w:rPr>
              <w:t xml:space="preserve">kvalifikuotoje (sunkaus nusikaltimo) sudėtyje </w:t>
            </w:r>
            <w:r w:rsidR="00A91C95" w:rsidRPr="006006E7">
              <w:rPr>
                <w:rFonts w:cs="Times New Roman"/>
                <w:i/>
                <w:szCs w:val="24"/>
              </w:rPr>
              <w:t>sistemiškai prieštarautų</w:t>
            </w:r>
            <w:r w:rsidR="00A91C95" w:rsidRPr="006006E7">
              <w:rPr>
                <w:rFonts w:cs="Times New Roman"/>
                <w:szCs w:val="24"/>
              </w:rPr>
              <w:t xml:space="preserve"> nurodytai BK projekto pamatinei krypčiai bei </w:t>
            </w:r>
            <w:r w:rsidR="003A1145" w:rsidRPr="006006E7">
              <w:rPr>
                <w:rFonts w:cs="Times New Roman"/>
                <w:szCs w:val="24"/>
              </w:rPr>
              <w:t>ne</w:t>
            </w:r>
            <w:r w:rsidR="00A91C95" w:rsidRPr="006006E7">
              <w:rPr>
                <w:rFonts w:cs="Times New Roman"/>
                <w:szCs w:val="24"/>
              </w:rPr>
              <w:t xml:space="preserve">pagrįstai </w:t>
            </w:r>
            <w:r w:rsidRPr="006006E7">
              <w:rPr>
                <w:rFonts w:cs="Times New Roman"/>
                <w:szCs w:val="24"/>
              </w:rPr>
              <w:t xml:space="preserve">ir </w:t>
            </w:r>
            <w:r w:rsidR="001223A8" w:rsidRPr="006006E7">
              <w:rPr>
                <w:rFonts w:cs="Times New Roman"/>
                <w:szCs w:val="24"/>
              </w:rPr>
              <w:t>nelogiškai</w:t>
            </w:r>
            <w:r w:rsidRPr="006006E7">
              <w:rPr>
                <w:rFonts w:cs="Times New Roman"/>
                <w:szCs w:val="24"/>
              </w:rPr>
              <w:t xml:space="preserve"> išskir</w:t>
            </w:r>
            <w:r w:rsidR="00A91C95" w:rsidRPr="006006E7">
              <w:rPr>
                <w:rFonts w:cs="Times New Roman"/>
                <w:szCs w:val="24"/>
              </w:rPr>
              <w:t>tų kontrabandos kvalifikuotą sudėtį</w:t>
            </w:r>
            <w:r w:rsidRPr="006006E7">
              <w:rPr>
                <w:rFonts w:cs="Times New Roman"/>
                <w:szCs w:val="24"/>
              </w:rPr>
              <w:t xml:space="preserve"> visoje naujo</w:t>
            </w:r>
            <w:r w:rsidR="001223A8" w:rsidRPr="006006E7">
              <w:rPr>
                <w:rFonts w:cs="Times New Roman"/>
                <w:szCs w:val="24"/>
              </w:rPr>
              <w:t>s</w:t>
            </w:r>
            <w:r w:rsidRPr="006006E7">
              <w:rPr>
                <w:rFonts w:cs="Times New Roman"/>
                <w:szCs w:val="24"/>
              </w:rPr>
              <w:t xml:space="preserve"> BK </w:t>
            </w:r>
            <w:r w:rsidR="001223A8" w:rsidRPr="006006E7">
              <w:rPr>
                <w:rFonts w:cs="Times New Roman"/>
                <w:szCs w:val="24"/>
              </w:rPr>
              <w:t>Specialiosios</w:t>
            </w:r>
            <w:r w:rsidRPr="006006E7">
              <w:rPr>
                <w:rFonts w:cs="Times New Roman"/>
                <w:szCs w:val="24"/>
              </w:rPr>
              <w:t xml:space="preserve"> dal</w:t>
            </w:r>
            <w:r w:rsidR="001223A8" w:rsidRPr="006006E7">
              <w:rPr>
                <w:rFonts w:cs="Times New Roman"/>
                <w:szCs w:val="24"/>
              </w:rPr>
              <w:t>ies konstrukcijoje</w:t>
            </w:r>
            <w:r w:rsidRPr="006006E7">
              <w:rPr>
                <w:rFonts w:cs="Times New Roman"/>
                <w:szCs w:val="24"/>
              </w:rPr>
              <w:t xml:space="preserve">. </w:t>
            </w:r>
            <w:r w:rsidR="00A91C95" w:rsidRPr="006006E7">
              <w:rPr>
                <w:rFonts w:cs="Times New Roman"/>
                <w:szCs w:val="24"/>
              </w:rPr>
              <w:t xml:space="preserve">Tuo tarpu, kontrabandos nusikaltimo sudėtyje įtvirtintas 150-750 MGL dydžių intervalas </w:t>
            </w:r>
            <w:r w:rsidR="00A91C95" w:rsidRPr="006006E7">
              <w:rPr>
                <w:rFonts w:cs="Times New Roman"/>
                <w:i/>
                <w:szCs w:val="24"/>
              </w:rPr>
              <w:t>nėra nenuoseklus ir (ar) per didelis</w:t>
            </w:r>
            <w:r w:rsidR="00A91C95" w:rsidRPr="006006E7">
              <w:rPr>
                <w:rFonts w:cs="Times New Roman"/>
                <w:szCs w:val="24"/>
              </w:rPr>
              <w:t xml:space="preserve">, kadangi </w:t>
            </w:r>
            <w:r w:rsidR="00A91C95" w:rsidRPr="006006E7">
              <w:rPr>
                <w:rFonts w:cs="Times New Roman"/>
                <w:i/>
                <w:szCs w:val="24"/>
              </w:rPr>
              <w:t xml:space="preserve">analogiškas dydžių intervalas naudojamas </w:t>
            </w:r>
            <w:r w:rsidR="00A91C95" w:rsidRPr="006006E7">
              <w:rPr>
                <w:rFonts w:cs="Times New Roman"/>
                <w:szCs w:val="24"/>
              </w:rPr>
              <w:t xml:space="preserve">ir panašaus pobūdžio finansiniuose nusikaltimuose, t. y. BK </w:t>
            </w:r>
            <w:r w:rsidR="00710144" w:rsidRPr="006006E7">
              <w:rPr>
                <w:rFonts w:cs="Times New Roman"/>
                <w:szCs w:val="24"/>
              </w:rPr>
              <w:t xml:space="preserve">projekto 219, </w:t>
            </w:r>
            <w:r w:rsidR="00A91C95" w:rsidRPr="006006E7">
              <w:rPr>
                <w:rFonts w:cs="Times New Roman"/>
                <w:szCs w:val="24"/>
              </w:rPr>
              <w:t>220 (</w:t>
            </w:r>
            <w:r w:rsidR="00710144" w:rsidRPr="006006E7">
              <w:rPr>
                <w:rFonts w:cs="Times New Roman"/>
                <w:szCs w:val="24"/>
              </w:rPr>
              <w:t xml:space="preserve">šio straipsnio </w:t>
            </w:r>
            <w:r w:rsidR="00A91C95" w:rsidRPr="006006E7">
              <w:rPr>
                <w:rFonts w:cs="Times New Roman"/>
                <w:szCs w:val="24"/>
              </w:rPr>
              <w:t>galiojan</w:t>
            </w:r>
            <w:r w:rsidR="00710144" w:rsidRPr="006006E7">
              <w:rPr>
                <w:rFonts w:cs="Times New Roman"/>
                <w:szCs w:val="24"/>
              </w:rPr>
              <w:t xml:space="preserve">čioje redakcijoje šis </w:t>
            </w:r>
            <w:r w:rsidR="00710144" w:rsidRPr="006006E7">
              <w:rPr>
                <w:rFonts w:cs="Times New Roman"/>
                <w:i/>
                <w:szCs w:val="24"/>
              </w:rPr>
              <w:t>intervalas netgi didesnis</w:t>
            </w:r>
            <w:r w:rsidR="00710144" w:rsidRPr="006006E7">
              <w:rPr>
                <w:rFonts w:cs="Times New Roman"/>
                <w:szCs w:val="24"/>
              </w:rPr>
              <w:t xml:space="preserve">), </w:t>
            </w:r>
            <w:r w:rsidR="00A91C95" w:rsidRPr="006006E7">
              <w:rPr>
                <w:rFonts w:cs="Times New Roman"/>
                <w:szCs w:val="24"/>
              </w:rPr>
              <w:t xml:space="preserve">221 straipsniai. </w:t>
            </w:r>
            <w:r w:rsidR="00537377" w:rsidRPr="006006E7">
              <w:rPr>
                <w:rFonts w:cs="Times New Roman"/>
                <w:szCs w:val="24"/>
              </w:rPr>
              <w:t>Kartu „tarpinių sudėčių“ įvedimas, pvz., BK 199 straipsnyje</w:t>
            </w:r>
            <w:r w:rsidR="003A1145" w:rsidRPr="006006E7">
              <w:rPr>
                <w:rFonts w:cs="Times New Roman"/>
                <w:szCs w:val="24"/>
              </w:rPr>
              <w:t>,</w:t>
            </w:r>
            <w:r w:rsidR="00537377" w:rsidRPr="006006E7">
              <w:rPr>
                <w:rFonts w:cs="Times New Roman"/>
                <w:szCs w:val="24"/>
              </w:rPr>
              <w:t xml:space="preserve"> būtų ir techniškai itin komplikuotas (dėl jau esamų dalių gausos), o dėl visų </w:t>
            </w:r>
            <w:r w:rsidR="004A6DDB" w:rsidRPr="006006E7">
              <w:rPr>
                <w:rFonts w:cs="Times New Roman"/>
                <w:szCs w:val="24"/>
              </w:rPr>
              <w:t>šio straipsnio</w:t>
            </w:r>
            <w:r w:rsidR="00537377" w:rsidRPr="006006E7">
              <w:rPr>
                <w:rFonts w:cs="Times New Roman"/>
                <w:szCs w:val="24"/>
              </w:rPr>
              <w:t xml:space="preserve"> dalių sankcijų griežtumo </w:t>
            </w:r>
            <w:r w:rsidR="004A6DDB" w:rsidRPr="006006E7">
              <w:rPr>
                <w:rFonts w:cs="Times New Roman"/>
                <w:szCs w:val="24"/>
              </w:rPr>
              <w:t xml:space="preserve">itin nedidelio </w:t>
            </w:r>
            <w:r w:rsidR="00537377" w:rsidRPr="006006E7">
              <w:rPr>
                <w:rFonts w:cs="Times New Roman"/>
                <w:szCs w:val="24"/>
              </w:rPr>
              <w:t>skirtumo</w:t>
            </w:r>
            <w:r w:rsidR="00CF43F8" w:rsidRPr="006006E7">
              <w:rPr>
                <w:rFonts w:cs="Times New Roman"/>
                <w:szCs w:val="24"/>
              </w:rPr>
              <w:t>,</w:t>
            </w:r>
            <w:r w:rsidR="00537377" w:rsidRPr="006006E7">
              <w:rPr>
                <w:rFonts w:cs="Times New Roman"/>
                <w:szCs w:val="24"/>
              </w:rPr>
              <w:t xml:space="preserve"> </w:t>
            </w:r>
            <w:r w:rsidR="00537377" w:rsidRPr="006006E7">
              <w:rPr>
                <w:rFonts w:cs="Times New Roman"/>
                <w:i/>
                <w:szCs w:val="24"/>
              </w:rPr>
              <w:t>vargu, ar turėtų didelę pridėtinę vertę</w:t>
            </w:r>
            <w:r w:rsidR="00537377" w:rsidRPr="006006E7">
              <w:rPr>
                <w:rFonts w:cs="Times New Roman"/>
                <w:szCs w:val="24"/>
              </w:rPr>
              <w:t xml:space="preserve">. </w:t>
            </w:r>
            <w:r w:rsidRPr="006006E7">
              <w:rPr>
                <w:rFonts w:cs="Times New Roman"/>
                <w:szCs w:val="24"/>
                <w:u w:val="single"/>
              </w:rPr>
              <w:t>Antra</w:t>
            </w:r>
            <w:r w:rsidRPr="006006E7">
              <w:rPr>
                <w:rFonts w:cs="Times New Roman"/>
                <w:szCs w:val="24"/>
              </w:rPr>
              <w:t xml:space="preserve">, </w:t>
            </w:r>
            <w:r w:rsidRPr="006006E7">
              <w:rPr>
                <w:rFonts w:cs="Times New Roman"/>
                <w:i/>
                <w:szCs w:val="24"/>
              </w:rPr>
              <w:t>negalima teigti</w:t>
            </w:r>
            <w:r w:rsidRPr="006006E7">
              <w:rPr>
                <w:rFonts w:cs="Times New Roman"/>
                <w:szCs w:val="24"/>
              </w:rPr>
              <w:t>, kad siūlomais BK 199 straipsnio pakeitimais silpninama kova su kontrabanda, nes</w:t>
            </w:r>
            <w:r w:rsidR="001223A8" w:rsidRPr="006006E7">
              <w:rPr>
                <w:rFonts w:cs="Times New Roman"/>
                <w:szCs w:val="24"/>
              </w:rPr>
              <w:t>:</w:t>
            </w:r>
            <w:r w:rsidRPr="006006E7">
              <w:rPr>
                <w:rFonts w:cs="Times New Roman"/>
                <w:szCs w:val="24"/>
              </w:rPr>
              <w:t xml:space="preserve"> a) BK 199 str. 1 d. nurodytas 150 MGL dydis </w:t>
            </w:r>
            <w:r w:rsidRPr="006006E7">
              <w:rPr>
                <w:rFonts w:cs="Times New Roman"/>
                <w:i/>
                <w:szCs w:val="24"/>
              </w:rPr>
              <w:t>nėra didinamas</w:t>
            </w:r>
            <w:r w:rsidR="001223A8" w:rsidRPr="006006E7">
              <w:rPr>
                <w:rFonts w:cs="Times New Roman"/>
                <w:szCs w:val="24"/>
              </w:rPr>
              <w:t xml:space="preserve"> (taip pat </w:t>
            </w:r>
            <w:r w:rsidR="001223A8" w:rsidRPr="006006E7">
              <w:rPr>
                <w:rFonts w:cs="Times New Roman"/>
                <w:i/>
                <w:szCs w:val="24"/>
              </w:rPr>
              <w:t>nėra šalinami</w:t>
            </w:r>
            <w:r w:rsidR="001223A8" w:rsidRPr="006006E7">
              <w:rPr>
                <w:rFonts w:cs="Times New Roman"/>
                <w:szCs w:val="24"/>
              </w:rPr>
              <w:t xml:space="preserve"> ir kiti kontrabandos nusikaltimo sudėties požymiai)</w:t>
            </w:r>
            <w:r w:rsidRPr="006006E7">
              <w:rPr>
                <w:rFonts w:cs="Times New Roman"/>
                <w:szCs w:val="24"/>
              </w:rPr>
              <w:t>, todėl jokie esamos kontrabandos nusikaltimo</w:t>
            </w:r>
            <w:r w:rsidR="001223A8" w:rsidRPr="006006E7">
              <w:rPr>
                <w:rFonts w:cs="Times New Roman"/>
                <w:szCs w:val="24"/>
              </w:rPr>
              <w:t xml:space="preserve"> sudėties</w:t>
            </w:r>
            <w:r w:rsidRPr="006006E7">
              <w:rPr>
                <w:rFonts w:cs="Times New Roman"/>
                <w:szCs w:val="24"/>
              </w:rPr>
              <w:t xml:space="preserve"> elementai nėra perkeliam</w:t>
            </w:r>
            <w:r w:rsidR="001223A8" w:rsidRPr="006006E7">
              <w:rPr>
                <w:rFonts w:cs="Times New Roman"/>
                <w:szCs w:val="24"/>
              </w:rPr>
              <w:t>i</w:t>
            </w:r>
            <w:r w:rsidRPr="006006E7">
              <w:rPr>
                <w:rFonts w:cs="Times New Roman"/>
                <w:szCs w:val="24"/>
              </w:rPr>
              <w:t xml:space="preserve"> į ANK, o </w:t>
            </w:r>
            <w:r w:rsidRPr="006006E7">
              <w:rPr>
                <w:rFonts w:cs="Times New Roman"/>
                <w:i/>
                <w:szCs w:val="24"/>
              </w:rPr>
              <w:t>išlieka BK reguliavimo dalyku</w:t>
            </w:r>
            <w:r w:rsidRPr="006006E7">
              <w:rPr>
                <w:rFonts w:cs="Times New Roman"/>
                <w:szCs w:val="24"/>
              </w:rPr>
              <w:t xml:space="preserve">; b) </w:t>
            </w:r>
            <w:r w:rsidR="002A4F19" w:rsidRPr="006006E7">
              <w:rPr>
                <w:rFonts w:cs="Times New Roman"/>
                <w:szCs w:val="24"/>
              </w:rPr>
              <w:t xml:space="preserve">BK 199 straipsnyje </w:t>
            </w:r>
            <w:r w:rsidRPr="006006E7">
              <w:rPr>
                <w:rFonts w:cs="Times New Roman"/>
                <w:szCs w:val="24"/>
              </w:rPr>
              <w:t>padidinus</w:t>
            </w:r>
            <w:r w:rsidR="002A4F19" w:rsidRPr="006006E7">
              <w:rPr>
                <w:rFonts w:cs="Times New Roman"/>
                <w:szCs w:val="24"/>
              </w:rPr>
              <w:t xml:space="preserve"> kvalifikuoto požymio dydį iki 750 MGL, teisėsaugos ir teisminės institucijos </w:t>
            </w:r>
            <w:r w:rsidR="002A4F19" w:rsidRPr="006006E7">
              <w:rPr>
                <w:rFonts w:cs="Times New Roman"/>
                <w:i/>
                <w:szCs w:val="24"/>
              </w:rPr>
              <w:t>galės labiau orientuotis</w:t>
            </w:r>
            <w:r w:rsidR="002A4F19" w:rsidRPr="006006E7">
              <w:rPr>
                <w:rFonts w:cs="Times New Roman"/>
                <w:szCs w:val="24"/>
              </w:rPr>
              <w:t xml:space="preserve"> į išties pavojingiausių kontrabandos atvejų (stambūs atvejai praktikoje visais atvejais</w:t>
            </w:r>
            <w:r w:rsidR="002A4F19" w:rsidRPr="006006E7">
              <w:rPr>
                <w:rFonts w:cs="Times New Roman"/>
                <w:i/>
                <w:szCs w:val="24"/>
              </w:rPr>
              <w:t xml:space="preserve"> ženkliai viršija</w:t>
            </w:r>
            <w:r w:rsidR="002A4F19" w:rsidRPr="006006E7">
              <w:rPr>
                <w:rFonts w:cs="Times New Roman"/>
                <w:szCs w:val="24"/>
              </w:rPr>
              <w:t xml:space="preserve"> ne tik itin menką 250</w:t>
            </w:r>
            <w:r w:rsidR="001223A8" w:rsidRPr="006006E7">
              <w:rPr>
                <w:rFonts w:cs="Times New Roman"/>
                <w:szCs w:val="24"/>
              </w:rPr>
              <w:t xml:space="preserve"> MGL</w:t>
            </w:r>
            <w:r w:rsidR="002A4F19" w:rsidRPr="006006E7">
              <w:rPr>
                <w:rFonts w:cs="Times New Roman"/>
                <w:szCs w:val="24"/>
              </w:rPr>
              <w:t xml:space="preserve">, bet ir 750 MGL dydį) </w:t>
            </w:r>
            <w:r w:rsidR="00C93585" w:rsidRPr="006006E7">
              <w:rPr>
                <w:rFonts w:cs="Times New Roman"/>
                <w:szCs w:val="24"/>
              </w:rPr>
              <w:t xml:space="preserve">veiksmingesnį </w:t>
            </w:r>
            <w:r w:rsidR="002A4F19" w:rsidRPr="006006E7">
              <w:rPr>
                <w:rFonts w:cs="Times New Roman"/>
                <w:szCs w:val="24"/>
              </w:rPr>
              <w:t xml:space="preserve">išsaikinimą, kadangi </w:t>
            </w:r>
            <w:r w:rsidR="00C93585" w:rsidRPr="006006E7">
              <w:rPr>
                <w:rFonts w:cs="Times New Roman"/>
                <w:szCs w:val="24"/>
              </w:rPr>
              <w:t>jos nebus „užkrautos</w:t>
            </w:r>
            <w:r w:rsidR="002A4F19" w:rsidRPr="006006E7">
              <w:rPr>
                <w:rFonts w:cs="Times New Roman"/>
                <w:szCs w:val="24"/>
              </w:rPr>
              <w:t xml:space="preserve">“ </w:t>
            </w:r>
            <w:r w:rsidR="00C93585" w:rsidRPr="006006E7">
              <w:rPr>
                <w:rFonts w:cs="Times New Roman"/>
                <w:szCs w:val="24"/>
              </w:rPr>
              <w:t xml:space="preserve">gana </w:t>
            </w:r>
            <w:r w:rsidR="002A4F19" w:rsidRPr="006006E7">
              <w:rPr>
                <w:rFonts w:cs="Times New Roman"/>
                <w:szCs w:val="24"/>
              </w:rPr>
              <w:t xml:space="preserve">smulkių atvejų (kurie pagal galiojantį reglamentavimą nepagrįstai laikomi „stambiais“, nors viršija vos 250 MGL dydį (13500 </w:t>
            </w:r>
            <w:proofErr w:type="spellStart"/>
            <w:r w:rsidR="002A4F19" w:rsidRPr="006006E7">
              <w:rPr>
                <w:rFonts w:cs="Times New Roman"/>
                <w:szCs w:val="24"/>
              </w:rPr>
              <w:t>Eur</w:t>
            </w:r>
            <w:proofErr w:type="spellEnd"/>
            <w:r w:rsidR="002A4F19" w:rsidRPr="006006E7">
              <w:rPr>
                <w:rFonts w:cs="Times New Roman"/>
                <w:szCs w:val="24"/>
              </w:rPr>
              <w:t>)</w:t>
            </w:r>
            <w:r w:rsidR="00C93585" w:rsidRPr="006006E7">
              <w:rPr>
                <w:rFonts w:cs="Times New Roman"/>
                <w:szCs w:val="24"/>
              </w:rPr>
              <w:t>) dirbtinai sudėtingais tyrimais</w:t>
            </w:r>
            <w:r w:rsidR="002A4F19" w:rsidRPr="006006E7">
              <w:rPr>
                <w:rFonts w:cs="Times New Roman"/>
                <w:szCs w:val="24"/>
              </w:rPr>
              <w:t xml:space="preserve">; c) </w:t>
            </w:r>
            <w:r w:rsidR="0088420F" w:rsidRPr="006006E7">
              <w:rPr>
                <w:rFonts w:cs="Times New Roman"/>
                <w:szCs w:val="24"/>
              </w:rPr>
              <w:t xml:space="preserve">atsakomybės už </w:t>
            </w:r>
            <w:r w:rsidR="002A4F19" w:rsidRPr="006006E7">
              <w:rPr>
                <w:rFonts w:cs="Times New Roman"/>
                <w:szCs w:val="24"/>
              </w:rPr>
              <w:t xml:space="preserve">uždraustų daiktų </w:t>
            </w:r>
            <w:r w:rsidR="00C93585" w:rsidRPr="006006E7">
              <w:rPr>
                <w:rFonts w:cs="Times New Roman"/>
                <w:bCs/>
                <w:szCs w:val="24"/>
              </w:rPr>
              <w:t xml:space="preserve">ar medžiagų </w:t>
            </w:r>
            <w:r w:rsidR="002A4F19" w:rsidRPr="006006E7">
              <w:rPr>
                <w:rFonts w:cs="Times New Roman"/>
                <w:szCs w:val="24"/>
              </w:rPr>
              <w:t>(šaudmenų, narkotikų ir pan.) kontrabandos diferencijavimas</w:t>
            </w:r>
            <w:r w:rsidR="0088420F" w:rsidRPr="006006E7">
              <w:rPr>
                <w:rFonts w:cs="Times New Roman"/>
                <w:szCs w:val="24"/>
              </w:rPr>
              <w:t xml:space="preserve"> taip pat laikytinas ne kovos</w:t>
            </w:r>
            <w:r w:rsidR="002A4F19" w:rsidRPr="006006E7">
              <w:rPr>
                <w:rFonts w:cs="Times New Roman"/>
                <w:szCs w:val="24"/>
              </w:rPr>
              <w:t xml:space="preserve"> </w:t>
            </w:r>
            <w:r w:rsidR="0088420F" w:rsidRPr="006006E7">
              <w:rPr>
                <w:rFonts w:cs="Times New Roman"/>
                <w:szCs w:val="24"/>
              </w:rPr>
              <w:t xml:space="preserve">su kontrabanda silpninimu, o </w:t>
            </w:r>
            <w:r w:rsidR="0088420F" w:rsidRPr="006006E7">
              <w:rPr>
                <w:rFonts w:cs="Times New Roman"/>
                <w:i/>
                <w:szCs w:val="24"/>
              </w:rPr>
              <w:t>proporcingu subalansavimu</w:t>
            </w:r>
            <w:r w:rsidR="0088420F" w:rsidRPr="006006E7">
              <w:rPr>
                <w:rFonts w:cs="Times New Roman"/>
                <w:szCs w:val="24"/>
              </w:rPr>
              <w:t>, nustatant adekvačia</w:t>
            </w:r>
            <w:r w:rsidR="00C93585" w:rsidRPr="006006E7">
              <w:rPr>
                <w:rFonts w:cs="Times New Roman"/>
                <w:szCs w:val="24"/>
              </w:rPr>
              <w:t>i</w:t>
            </w:r>
            <w:r w:rsidR="0088420F" w:rsidRPr="006006E7">
              <w:rPr>
                <w:rFonts w:cs="Times New Roman"/>
                <w:szCs w:val="24"/>
              </w:rPr>
              <w:t xml:space="preserve"> griežtas baudžiamąsias priemones bei, kur tikslinga, mažinant itin per griežtą baudžiamumą; d) atsakomybė už didel</w:t>
            </w:r>
            <w:r w:rsidR="00CF43F8" w:rsidRPr="006006E7">
              <w:rPr>
                <w:rFonts w:cs="Times New Roman"/>
                <w:szCs w:val="24"/>
              </w:rPr>
              <w:t>io</w:t>
            </w:r>
            <w:r w:rsidR="00C93585" w:rsidRPr="006006E7">
              <w:rPr>
                <w:rFonts w:cs="Times New Roman"/>
                <w:szCs w:val="24"/>
              </w:rPr>
              <w:t>/labai didel</w:t>
            </w:r>
            <w:r w:rsidR="00CF43F8" w:rsidRPr="006006E7">
              <w:rPr>
                <w:rFonts w:cs="Times New Roman"/>
                <w:szCs w:val="24"/>
              </w:rPr>
              <w:t>io</w:t>
            </w:r>
            <w:r w:rsidR="0088420F" w:rsidRPr="006006E7">
              <w:rPr>
                <w:rFonts w:cs="Times New Roman"/>
                <w:szCs w:val="24"/>
              </w:rPr>
              <w:t xml:space="preserve"> kiek</w:t>
            </w:r>
            <w:r w:rsidR="00CF43F8" w:rsidRPr="006006E7">
              <w:rPr>
                <w:rFonts w:cs="Times New Roman"/>
                <w:szCs w:val="24"/>
              </w:rPr>
              <w:t>io</w:t>
            </w:r>
            <w:r w:rsidR="0088420F" w:rsidRPr="006006E7">
              <w:rPr>
                <w:rFonts w:cs="Times New Roman"/>
                <w:szCs w:val="24"/>
              </w:rPr>
              <w:t xml:space="preserve"> uždraustų daiktų (šaudmenų, narkotikų ir pan.) kontrabandą </w:t>
            </w:r>
            <w:r w:rsidR="0088420F" w:rsidRPr="006006E7">
              <w:rPr>
                <w:rFonts w:cs="Times New Roman"/>
                <w:i/>
                <w:szCs w:val="24"/>
              </w:rPr>
              <w:t>papildomai dar ir griežtinama</w:t>
            </w:r>
            <w:r w:rsidR="0088420F" w:rsidRPr="006006E7">
              <w:rPr>
                <w:rFonts w:cs="Times New Roman"/>
                <w:szCs w:val="24"/>
              </w:rPr>
              <w:t>, kas taip pat negali būti laikoma kovos su kontrabandos reiškiniu mažinimu.</w:t>
            </w:r>
            <w:r w:rsidR="002C7528">
              <w:rPr>
                <w:rFonts w:cs="Times New Roman"/>
                <w:szCs w:val="24"/>
              </w:rPr>
              <w:t xml:space="preserve"> </w:t>
            </w:r>
          </w:p>
          <w:p w14:paraId="32BA5DC6" w14:textId="431C0930" w:rsidR="005B6A27" w:rsidRPr="006006E7" w:rsidRDefault="005B6A27" w:rsidP="002C7528">
            <w:pPr>
              <w:jc w:val="both"/>
              <w:rPr>
                <w:rFonts w:cs="Times New Roman"/>
                <w:bCs/>
                <w:szCs w:val="24"/>
              </w:rPr>
            </w:pPr>
            <w:r w:rsidRPr="006006E7">
              <w:rPr>
                <w:rFonts w:cs="Times New Roman"/>
                <w:bCs/>
                <w:szCs w:val="24"/>
              </w:rPr>
              <w:lastRenderedPageBreak/>
              <w:t xml:space="preserve">Kartu pažymėtina, kad toks baudžiamosios atsakomybės už kontrabandą diferencijavimas </w:t>
            </w:r>
            <w:r w:rsidRPr="006006E7">
              <w:rPr>
                <w:rFonts w:cs="Times New Roman"/>
                <w:bCs/>
                <w:i/>
                <w:szCs w:val="24"/>
              </w:rPr>
              <w:t xml:space="preserve">visiškai atitinka </w:t>
            </w:r>
            <w:r w:rsidR="00A31116" w:rsidRPr="006006E7">
              <w:rPr>
                <w:rFonts w:cs="Times New Roman"/>
                <w:bCs/>
                <w:szCs w:val="24"/>
              </w:rPr>
              <w:t>Generalinės prokuratūros,</w:t>
            </w:r>
            <w:r w:rsidRPr="006006E7">
              <w:rPr>
                <w:rFonts w:cs="Times New Roman"/>
                <w:bCs/>
                <w:szCs w:val="24"/>
              </w:rPr>
              <w:t xml:space="preserve"> Muitinės departamento</w:t>
            </w:r>
            <w:r w:rsidR="00A31116" w:rsidRPr="006006E7">
              <w:rPr>
                <w:rFonts w:cs="Times New Roman"/>
                <w:bCs/>
                <w:szCs w:val="24"/>
              </w:rPr>
              <w:t>,</w:t>
            </w:r>
            <w:r w:rsidRPr="006006E7">
              <w:rPr>
                <w:rFonts w:cs="Times New Roman"/>
                <w:bCs/>
                <w:szCs w:val="24"/>
              </w:rPr>
              <w:t xml:space="preserve"> Narkotikų, tabako ir alkoholio kontrolės departamento </w:t>
            </w:r>
            <w:r w:rsidR="00A31116" w:rsidRPr="006006E7">
              <w:rPr>
                <w:rFonts w:cs="Times New Roman"/>
                <w:bCs/>
                <w:szCs w:val="24"/>
              </w:rPr>
              <w:t xml:space="preserve">bei </w:t>
            </w:r>
            <w:r w:rsidR="00BA25FB" w:rsidRPr="006006E7">
              <w:rPr>
                <w:rFonts w:cs="Times New Roman"/>
                <w:bCs/>
                <w:szCs w:val="24"/>
              </w:rPr>
              <w:t>Lietuvos teismų</w:t>
            </w:r>
            <w:r w:rsidR="00A31116" w:rsidRPr="006006E7">
              <w:rPr>
                <w:rFonts w:cs="Times New Roman"/>
                <w:bCs/>
                <w:szCs w:val="24"/>
              </w:rPr>
              <w:t xml:space="preserve"> </w:t>
            </w:r>
            <w:r w:rsidRPr="006006E7">
              <w:rPr>
                <w:rFonts w:cs="Times New Roman"/>
                <w:bCs/>
                <w:szCs w:val="24"/>
              </w:rPr>
              <w:t>požiūr</w:t>
            </w:r>
            <w:r w:rsidR="00A91C95" w:rsidRPr="006006E7">
              <w:rPr>
                <w:rFonts w:cs="Times New Roman"/>
                <w:bCs/>
                <w:szCs w:val="24"/>
              </w:rPr>
              <w:t xml:space="preserve">į į tokio pobūdžio nusikaltimų </w:t>
            </w:r>
            <w:r w:rsidRPr="006006E7">
              <w:rPr>
                <w:rFonts w:cs="Times New Roman"/>
                <w:bCs/>
                <w:szCs w:val="24"/>
              </w:rPr>
              <w:t>baudžiamumą.</w:t>
            </w:r>
          </w:p>
        </w:tc>
      </w:tr>
      <w:tr w:rsidR="004F3721" w:rsidRPr="006006E7" w14:paraId="43DF91C6" w14:textId="77777777" w:rsidTr="005F43FA">
        <w:tc>
          <w:tcPr>
            <w:tcW w:w="2127" w:type="dxa"/>
            <w:tcBorders>
              <w:top w:val="single" w:sz="4" w:space="0" w:color="auto"/>
              <w:left w:val="single" w:sz="4" w:space="0" w:color="auto"/>
              <w:bottom w:val="single" w:sz="4" w:space="0" w:color="auto"/>
              <w:right w:val="single" w:sz="4" w:space="0" w:color="auto"/>
            </w:tcBorders>
          </w:tcPr>
          <w:p w14:paraId="0A4E4D18" w14:textId="6A812154" w:rsidR="004F3721" w:rsidRPr="006006E7" w:rsidRDefault="004F3721" w:rsidP="007E0BCB">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78F051A1" w14:textId="77777777" w:rsidR="004F3721" w:rsidRPr="006006E7" w:rsidRDefault="004F3721" w:rsidP="004F3721">
            <w:pPr>
              <w:tabs>
                <w:tab w:val="left" w:pos="142"/>
              </w:tabs>
              <w:jc w:val="both"/>
              <w:rPr>
                <w:rFonts w:eastAsia="MS Mincho" w:cs="Times New Roman"/>
                <w:szCs w:val="24"/>
              </w:rPr>
            </w:pPr>
            <w:r w:rsidRPr="006006E7">
              <w:rPr>
                <w:rFonts w:eastAsia="MS Mincho" w:cs="Times New Roman"/>
                <w:szCs w:val="24"/>
              </w:rPr>
              <w:t xml:space="preserve">4. Pažymime, kad šio projekto 23 straipsnio 2 dalies nuostatos „nustatyta tvarka neįtrauktų į apskaitą prekių vertė viršija 500 MGL dydžio sumą“, kaip nusikalstamos veikos požymiai nėra įtvirtintos Baudžiamojo kodekso 202 ir 203 straipsniuose. </w:t>
            </w:r>
          </w:p>
          <w:p w14:paraId="36788B5E" w14:textId="77777777" w:rsidR="004F3721" w:rsidRPr="006006E7" w:rsidRDefault="004F3721" w:rsidP="004F3721">
            <w:pPr>
              <w:tabs>
                <w:tab w:val="left" w:pos="142"/>
              </w:tabs>
              <w:jc w:val="both"/>
              <w:rPr>
                <w:rFonts w:eastAsia="MS Mincho" w:cs="Times New Roman"/>
                <w:szCs w:val="24"/>
              </w:rPr>
            </w:pPr>
          </w:p>
        </w:tc>
        <w:tc>
          <w:tcPr>
            <w:tcW w:w="7796" w:type="dxa"/>
            <w:tcBorders>
              <w:top w:val="single" w:sz="4" w:space="0" w:color="auto"/>
              <w:left w:val="single" w:sz="4" w:space="0" w:color="auto"/>
              <w:bottom w:val="single" w:sz="4" w:space="0" w:color="auto"/>
              <w:right w:val="single" w:sz="4" w:space="0" w:color="auto"/>
            </w:tcBorders>
          </w:tcPr>
          <w:p w14:paraId="498774FB" w14:textId="77777777" w:rsidR="004F3721" w:rsidRPr="006006E7" w:rsidRDefault="004F3721" w:rsidP="005F43FA">
            <w:pPr>
              <w:jc w:val="both"/>
              <w:rPr>
                <w:rFonts w:cs="Times New Roman"/>
                <w:b/>
                <w:szCs w:val="24"/>
              </w:rPr>
            </w:pPr>
            <w:r w:rsidRPr="006006E7">
              <w:rPr>
                <w:rFonts w:cs="Times New Roman"/>
                <w:b/>
                <w:szCs w:val="24"/>
              </w:rPr>
              <w:t>Nepritarti.</w:t>
            </w:r>
          </w:p>
          <w:p w14:paraId="6C9FA73C" w14:textId="48F47EE2" w:rsidR="004F3721" w:rsidRPr="006006E7" w:rsidRDefault="00634520" w:rsidP="00D4792B">
            <w:pPr>
              <w:jc w:val="both"/>
              <w:rPr>
                <w:rFonts w:cs="Times New Roman"/>
                <w:szCs w:val="24"/>
              </w:rPr>
            </w:pPr>
            <w:r w:rsidRPr="006006E7">
              <w:rPr>
                <w:rFonts w:cs="Times New Roman"/>
                <w:szCs w:val="24"/>
              </w:rPr>
              <w:t xml:space="preserve">Nėra poreikio įtvirtinti požymio – „nustatyta tvarka neįtrauktų į apskaitą prekių vertė viršija 500 MGL dydžio sumą“ – BK 202 ir 203 straipsnių sudėtyse, kadangi šis elementas yra BK 202 ir 203 straipsnių sudėtyse </w:t>
            </w:r>
            <w:r w:rsidRPr="006006E7">
              <w:rPr>
                <w:rFonts w:cs="Times New Roman"/>
                <w:i/>
                <w:szCs w:val="24"/>
              </w:rPr>
              <w:t>jau nurodyto požymio – „stambiu mastu“ – sudėtinė dalis</w:t>
            </w:r>
            <w:r w:rsidR="00856B54" w:rsidRPr="006006E7">
              <w:rPr>
                <w:rFonts w:cs="Times New Roman"/>
                <w:szCs w:val="24"/>
              </w:rPr>
              <w:t>. O kadangi BK 212 str. 4 d. kaip tik ir apibrėžiamas stambaus masto požymio turinys (kuris susideda ir dviejų elementų: a)</w:t>
            </w:r>
            <w:r w:rsidR="00856B54" w:rsidRPr="006006E7">
              <w:t xml:space="preserve"> </w:t>
            </w:r>
            <w:r w:rsidR="00856B54" w:rsidRPr="006006E7">
              <w:rPr>
                <w:rFonts w:cs="Times New Roman"/>
                <w:szCs w:val="24"/>
              </w:rPr>
              <w:t>kai iš šios veiklos gautų paskutinių 12 mėnesių pajamos &lt;...&gt; viršija 500 MGL dydžio sumą; b) kai nustatyta tvarka neįtrauktų į apskaitą prekių ve</w:t>
            </w:r>
            <w:r w:rsidR="00856CD2" w:rsidRPr="006006E7">
              <w:rPr>
                <w:rFonts w:cs="Times New Roman"/>
                <w:szCs w:val="24"/>
              </w:rPr>
              <w:t>rtė viršija 500 MGL dydžio sumą</w:t>
            </w:r>
            <w:r w:rsidR="00856B54" w:rsidRPr="006006E7">
              <w:rPr>
                <w:rFonts w:cs="Times New Roman"/>
                <w:szCs w:val="24"/>
              </w:rPr>
              <w:t xml:space="preserve">, šio požymio turinio elementai </w:t>
            </w:r>
            <w:r w:rsidR="00856B54" w:rsidRPr="006006E7">
              <w:rPr>
                <w:rFonts w:cs="Times New Roman"/>
                <w:i/>
                <w:szCs w:val="24"/>
              </w:rPr>
              <w:t>automatiškai patenka</w:t>
            </w:r>
            <w:r w:rsidR="00856B54" w:rsidRPr="006006E7">
              <w:rPr>
                <w:rFonts w:cs="Times New Roman"/>
                <w:szCs w:val="24"/>
              </w:rPr>
              <w:t xml:space="preserve"> į BK 202 ir 203 straipsnių sudėtis be atskiro jų įvardinimo dispozicijose (pvz.</w:t>
            </w:r>
            <w:r w:rsidR="00D4792B" w:rsidRPr="006006E7">
              <w:rPr>
                <w:rFonts w:cs="Times New Roman"/>
                <w:szCs w:val="24"/>
              </w:rPr>
              <w:t>,</w:t>
            </w:r>
            <w:r w:rsidR="00856B54" w:rsidRPr="006006E7">
              <w:rPr>
                <w:rFonts w:cs="Times New Roman"/>
                <w:szCs w:val="24"/>
              </w:rPr>
              <w:t xml:space="preserve"> analogiškai BK 202 ir 203 straipsnių dispozicijose nėra įvardinamas ir kitas stambaus masto požymio elementas – „kai iš šios veiklos gautų paskutinių 12 mėnesių pajamos &lt;...&gt; viršija 500 MGL dydžio sumą). Kartu pastebėtina, kad šiuo aspektu BK projektu iš esmės nesukuriama nieko labai naujo, nes, pvz., BK 202 straipsnyje nurodyto požymio – „stambiu mastu“ – turinys jau šiuo metu analogiškai nustatomas, vadovaujantis ANK </w:t>
            </w:r>
            <w:r w:rsidR="00D85447" w:rsidRPr="006006E7">
              <w:rPr>
                <w:rFonts w:cs="Times New Roman"/>
                <w:szCs w:val="24"/>
              </w:rPr>
              <w:t>127 str. 5 d. įtvirtintu identišku išaiškinimu.</w:t>
            </w:r>
          </w:p>
        </w:tc>
      </w:tr>
      <w:tr w:rsidR="00E83750" w:rsidRPr="002459F6" w14:paraId="06896467" w14:textId="77777777" w:rsidTr="005F43FA">
        <w:tc>
          <w:tcPr>
            <w:tcW w:w="2127" w:type="dxa"/>
            <w:tcBorders>
              <w:top w:val="single" w:sz="4" w:space="0" w:color="auto"/>
              <w:left w:val="single" w:sz="4" w:space="0" w:color="auto"/>
              <w:bottom w:val="single" w:sz="4" w:space="0" w:color="auto"/>
              <w:right w:val="single" w:sz="4" w:space="0" w:color="auto"/>
            </w:tcBorders>
          </w:tcPr>
          <w:p w14:paraId="72E81ED6" w14:textId="77777777" w:rsidR="00E83750" w:rsidRPr="006006E7" w:rsidRDefault="00E83750" w:rsidP="007E0BCB">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4DF3E3A3" w14:textId="77777777" w:rsidR="00E83750" w:rsidRPr="006006E7" w:rsidRDefault="00E83750" w:rsidP="004F3721">
            <w:pPr>
              <w:tabs>
                <w:tab w:val="left" w:pos="142"/>
              </w:tabs>
              <w:jc w:val="both"/>
              <w:rPr>
                <w:rFonts w:eastAsia="MS Mincho" w:cs="Times New Roman"/>
                <w:szCs w:val="24"/>
              </w:rPr>
            </w:pPr>
            <w:r w:rsidRPr="006006E7">
              <w:rPr>
                <w:rFonts w:eastAsia="MS Mincho" w:cs="Times New Roman"/>
                <w:szCs w:val="24"/>
              </w:rPr>
              <w:t>5. Mūsų vertinimu, šio projekto 36 straipsnio nuostatos neatitinka Vyriausybės programos 331.6 papunktyje įtvirtinto siekio – deramą dėmesį skirti eismo saugumui užtikrinti.</w:t>
            </w:r>
          </w:p>
        </w:tc>
        <w:tc>
          <w:tcPr>
            <w:tcW w:w="7796" w:type="dxa"/>
            <w:tcBorders>
              <w:top w:val="single" w:sz="4" w:space="0" w:color="auto"/>
              <w:left w:val="single" w:sz="4" w:space="0" w:color="auto"/>
              <w:bottom w:val="single" w:sz="4" w:space="0" w:color="auto"/>
              <w:right w:val="single" w:sz="4" w:space="0" w:color="auto"/>
            </w:tcBorders>
          </w:tcPr>
          <w:p w14:paraId="2070D3A3" w14:textId="77777777" w:rsidR="00E83750" w:rsidRPr="006006E7" w:rsidRDefault="00E83750" w:rsidP="005F43FA">
            <w:pPr>
              <w:jc w:val="both"/>
              <w:rPr>
                <w:rFonts w:cs="Times New Roman"/>
                <w:szCs w:val="24"/>
              </w:rPr>
            </w:pPr>
            <w:r w:rsidRPr="006006E7">
              <w:rPr>
                <w:rFonts w:cs="Times New Roman"/>
                <w:b/>
                <w:szCs w:val="24"/>
              </w:rPr>
              <w:t>Nepritarti.</w:t>
            </w:r>
          </w:p>
          <w:p w14:paraId="3568C25C" w14:textId="77777777" w:rsidR="002C7528" w:rsidRDefault="00327A99" w:rsidP="002C7528">
            <w:pPr>
              <w:jc w:val="both"/>
              <w:rPr>
                <w:rFonts w:cs="Times New Roman"/>
                <w:szCs w:val="24"/>
              </w:rPr>
            </w:pPr>
            <w:r w:rsidRPr="006006E7">
              <w:rPr>
                <w:rFonts w:cs="Times New Roman"/>
                <w:szCs w:val="24"/>
              </w:rPr>
              <w:t>Vyriausybės</w:t>
            </w:r>
            <w:r w:rsidR="00721D8D" w:rsidRPr="006006E7">
              <w:rPr>
                <w:rFonts w:cs="Times New Roman"/>
                <w:szCs w:val="24"/>
              </w:rPr>
              <w:t xml:space="preserve"> </w:t>
            </w:r>
            <w:r w:rsidRPr="006006E7">
              <w:rPr>
                <w:rFonts w:cs="Times New Roman"/>
                <w:szCs w:val="24"/>
              </w:rPr>
              <w:t xml:space="preserve">programa yra </w:t>
            </w:r>
            <w:r w:rsidR="00721D8D" w:rsidRPr="006006E7">
              <w:rPr>
                <w:rFonts w:cs="Times New Roman"/>
                <w:szCs w:val="24"/>
              </w:rPr>
              <w:t xml:space="preserve">strateginis, </w:t>
            </w:r>
            <w:r w:rsidRPr="006006E7">
              <w:rPr>
                <w:rFonts w:cs="Times New Roman"/>
                <w:szCs w:val="24"/>
              </w:rPr>
              <w:t>politinio pobūdžio dokumentas,</w:t>
            </w:r>
            <w:r w:rsidR="00721D8D" w:rsidRPr="006006E7">
              <w:rPr>
                <w:rFonts w:cs="Times New Roman"/>
                <w:szCs w:val="24"/>
              </w:rPr>
              <w:t xml:space="preserve"> kurį sudaro visuma priemonių, skirtų Vyriausybės programoje </w:t>
            </w:r>
            <w:r w:rsidRPr="006006E7">
              <w:rPr>
                <w:rFonts w:cs="Times New Roman"/>
                <w:szCs w:val="24"/>
              </w:rPr>
              <w:t>išvardintiems tikslams pasiekti</w:t>
            </w:r>
            <w:r w:rsidR="00721D8D" w:rsidRPr="006006E7">
              <w:rPr>
                <w:rFonts w:cs="Times New Roman"/>
                <w:szCs w:val="24"/>
              </w:rPr>
              <w:t>. Tarp tokių priemonių paminėtinos ne tik</w:t>
            </w:r>
            <w:r w:rsidR="00F44665" w:rsidRPr="006006E7">
              <w:rPr>
                <w:rFonts w:cs="Times New Roman"/>
                <w:szCs w:val="24"/>
              </w:rPr>
              <w:t xml:space="preserve"> teisinės, bet ir</w:t>
            </w:r>
            <w:r w:rsidR="00721D8D" w:rsidRPr="006006E7">
              <w:rPr>
                <w:rFonts w:cs="Times New Roman"/>
                <w:szCs w:val="24"/>
              </w:rPr>
              <w:t xml:space="preserve"> pol</w:t>
            </w:r>
            <w:r w:rsidR="00F44665" w:rsidRPr="006006E7">
              <w:rPr>
                <w:rFonts w:cs="Times New Roman"/>
                <w:szCs w:val="24"/>
              </w:rPr>
              <w:t>itinės, ekonominės, socialinės i</w:t>
            </w:r>
            <w:r w:rsidR="00721D8D" w:rsidRPr="006006E7">
              <w:rPr>
                <w:rFonts w:cs="Times New Roman"/>
                <w:szCs w:val="24"/>
              </w:rPr>
              <w:t xml:space="preserve">r kitos. </w:t>
            </w:r>
            <w:r w:rsidRPr="006006E7">
              <w:rPr>
                <w:rFonts w:cs="Times New Roman"/>
                <w:szCs w:val="24"/>
              </w:rPr>
              <w:t xml:space="preserve">Teisinių priemonių arsenalas </w:t>
            </w:r>
            <w:r w:rsidR="00721D8D" w:rsidRPr="006006E7">
              <w:rPr>
                <w:rFonts w:cs="Times New Roman"/>
                <w:szCs w:val="24"/>
              </w:rPr>
              <w:t xml:space="preserve">yra </w:t>
            </w:r>
            <w:r w:rsidRPr="006006E7">
              <w:rPr>
                <w:rFonts w:cs="Times New Roman"/>
                <w:szCs w:val="24"/>
              </w:rPr>
              <w:t xml:space="preserve">labai platus, o baudžiamosios teisinės priemonės reguliuojant tam tikrus santykius turi būti </w:t>
            </w:r>
            <w:r w:rsidRPr="006006E7">
              <w:rPr>
                <w:rFonts w:cs="Times New Roman"/>
                <w:i/>
                <w:szCs w:val="24"/>
              </w:rPr>
              <w:t>pasitelkiamos tik kraštutiniu atveju</w:t>
            </w:r>
            <w:r w:rsidRPr="006006E7">
              <w:rPr>
                <w:rFonts w:cs="Times New Roman"/>
                <w:szCs w:val="24"/>
              </w:rPr>
              <w:t xml:space="preserve">, t. y. kai kitomis teisinėmis priemonėmis negalima pasiekti konkrečių tikslų. Atsižvelgiant į tai, pažymėtina, </w:t>
            </w:r>
            <w:r w:rsidR="00721D8D" w:rsidRPr="006006E7">
              <w:rPr>
                <w:rFonts w:cs="Times New Roman"/>
                <w:szCs w:val="24"/>
              </w:rPr>
              <w:t>jog</w:t>
            </w:r>
            <w:r w:rsidRPr="006006E7">
              <w:rPr>
                <w:rFonts w:cs="Times New Roman"/>
                <w:szCs w:val="24"/>
              </w:rPr>
              <w:t xml:space="preserve"> įvertinus baudžiamosios atsakomybės kaip </w:t>
            </w:r>
            <w:r w:rsidR="00721D8D" w:rsidRPr="006006E7">
              <w:rPr>
                <w:rFonts w:cs="Times New Roman"/>
                <w:szCs w:val="24"/>
              </w:rPr>
              <w:t xml:space="preserve">kraštutinės </w:t>
            </w:r>
            <w:r w:rsidRPr="006006E7">
              <w:rPr>
                <w:rFonts w:cs="Times New Roman"/>
                <w:szCs w:val="24"/>
              </w:rPr>
              <w:t>priemonės turinį ir BK 281 str</w:t>
            </w:r>
            <w:r w:rsidR="00D37AFE" w:rsidRPr="006006E7">
              <w:rPr>
                <w:rFonts w:cs="Times New Roman"/>
                <w:szCs w:val="24"/>
              </w:rPr>
              <w:t>.</w:t>
            </w:r>
            <w:r w:rsidRPr="006006E7">
              <w:rPr>
                <w:rFonts w:cs="Times New Roman"/>
                <w:szCs w:val="24"/>
              </w:rPr>
              <w:t xml:space="preserve"> 1 d</w:t>
            </w:r>
            <w:r w:rsidR="00D37AFE" w:rsidRPr="006006E7">
              <w:rPr>
                <w:rFonts w:cs="Times New Roman"/>
                <w:szCs w:val="24"/>
              </w:rPr>
              <w:t>.</w:t>
            </w:r>
            <w:r w:rsidRPr="006006E7">
              <w:rPr>
                <w:rFonts w:cs="Times New Roman"/>
                <w:szCs w:val="24"/>
              </w:rPr>
              <w:t xml:space="preserve"> įtvirtintos nusikalstamos veikos</w:t>
            </w:r>
            <w:r w:rsidR="00F44665" w:rsidRPr="006006E7">
              <w:rPr>
                <w:rFonts w:cs="Times New Roman"/>
                <w:szCs w:val="24"/>
              </w:rPr>
              <w:t xml:space="preserve"> pavojingumo pobūdį ir</w:t>
            </w:r>
            <w:r w:rsidRPr="006006E7">
              <w:rPr>
                <w:rFonts w:cs="Times New Roman"/>
                <w:szCs w:val="24"/>
              </w:rPr>
              <w:t xml:space="preserve"> laipsnį</w:t>
            </w:r>
            <w:r w:rsidR="00F44665" w:rsidRPr="006006E7">
              <w:rPr>
                <w:rFonts w:cs="Times New Roman"/>
                <w:szCs w:val="24"/>
              </w:rPr>
              <w:t xml:space="preserve"> (</w:t>
            </w:r>
            <w:r w:rsidR="00F44665" w:rsidRPr="006006E7">
              <w:rPr>
                <w:rFonts w:cs="Times New Roman"/>
                <w:i/>
                <w:szCs w:val="24"/>
              </w:rPr>
              <w:t>neatsargi nusikalstama veika, pasekmės – nesunkios, nėra asmens neblaivumo požymio</w:t>
            </w:r>
            <w:r w:rsidR="00F44665" w:rsidRPr="006006E7">
              <w:rPr>
                <w:rFonts w:cs="Times New Roman"/>
                <w:szCs w:val="24"/>
              </w:rPr>
              <w:t>)</w:t>
            </w:r>
            <w:r w:rsidRPr="006006E7">
              <w:rPr>
                <w:rFonts w:cs="Times New Roman"/>
                <w:szCs w:val="24"/>
              </w:rPr>
              <w:t>, galimybę nurodytus pažeidimus užkardyti panaudojant kit</w:t>
            </w:r>
            <w:r w:rsidR="00721D8D" w:rsidRPr="006006E7">
              <w:rPr>
                <w:rFonts w:cs="Times New Roman"/>
                <w:szCs w:val="24"/>
              </w:rPr>
              <w:t>as teisinio reguliavimo</w:t>
            </w:r>
            <w:r w:rsidRPr="006006E7">
              <w:rPr>
                <w:rFonts w:cs="Times New Roman"/>
                <w:szCs w:val="24"/>
              </w:rPr>
              <w:t xml:space="preserve"> priemones (</w:t>
            </w:r>
            <w:r w:rsidR="00D37AFE" w:rsidRPr="006006E7">
              <w:rPr>
                <w:rFonts w:cs="Times New Roman"/>
                <w:szCs w:val="24"/>
              </w:rPr>
              <w:t xml:space="preserve">t. y. </w:t>
            </w:r>
            <w:r w:rsidRPr="006006E7">
              <w:rPr>
                <w:rFonts w:cs="Times New Roman"/>
                <w:szCs w:val="24"/>
              </w:rPr>
              <w:t xml:space="preserve">administracinę atsakomybę), šios veikos pašalinimas iš BK sprendžia </w:t>
            </w:r>
            <w:r w:rsidR="00F668DE" w:rsidRPr="006006E7">
              <w:rPr>
                <w:rFonts w:cs="Times New Roman"/>
                <w:szCs w:val="24"/>
              </w:rPr>
              <w:t>sistemines</w:t>
            </w:r>
            <w:r w:rsidRPr="006006E7">
              <w:rPr>
                <w:rFonts w:cs="Times New Roman"/>
                <w:szCs w:val="24"/>
              </w:rPr>
              <w:t xml:space="preserve"> baudžiamosios politikos</w:t>
            </w:r>
            <w:r w:rsidR="00721D8D" w:rsidRPr="006006E7">
              <w:rPr>
                <w:rFonts w:cs="Times New Roman"/>
                <w:szCs w:val="24"/>
              </w:rPr>
              <w:t xml:space="preserve"> formavimo</w:t>
            </w:r>
            <w:r w:rsidRPr="006006E7">
              <w:rPr>
                <w:rFonts w:cs="Times New Roman"/>
                <w:szCs w:val="24"/>
              </w:rPr>
              <w:t xml:space="preserve"> problemas, </w:t>
            </w:r>
            <w:r w:rsidR="00721D8D" w:rsidRPr="006006E7">
              <w:rPr>
                <w:rFonts w:cs="Times New Roman"/>
                <w:szCs w:val="24"/>
              </w:rPr>
              <w:t xml:space="preserve">susijusias su mažiau pavojingų </w:t>
            </w:r>
            <w:r w:rsidR="00721D8D" w:rsidRPr="006006E7">
              <w:rPr>
                <w:rFonts w:cs="Times New Roman"/>
                <w:szCs w:val="24"/>
              </w:rPr>
              <w:lastRenderedPageBreak/>
              <w:t xml:space="preserve">veikų dekriminalizavimu, </w:t>
            </w:r>
            <w:r w:rsidRPr="006006E7">
              <w:rPr>
                <w:rFonts w:cs="Times New Roman"/>
                <w:szCs w:val="24"/>
              </w:rPr>
              <w:t xml:space="preserve">ir </w:t>
            </w:r>
            <w:r w:rsidRPr="006006E7">
              <w:rPr>
                <w:rFonts w:cs="Times New Roman"/>
                <w:i/>
                <w:szCs w:val="24"/>
              </w:rPr>
              <w:t xml:space="preserve">tai </w:t>
            </w:r>
            <w:r w:rsidR="00721D8D" w:rsidRPr="006006E7">
              <w:rPr>
                <w:rFonts w:cs="Times New Roman"/>
                <w:i/>
                <w:szCs w:val="24"/>
              </w:rPr>
              <w:t xml:space="preserve">niekaip </w:t>
            </w:r>
            <w:r w:rsidR="00F668DE" w:rsidRPr="006006E7">
              <w:rPr>
                <w:rFonts w:cs="Times New Roman"/>
                <w:i/>
                <w:szCs w:val="24"/>
              </w:rPr>
              <w:t>nėra susiję</w:t>
            </w:r>
            <w:r w:rsidR="00F668DE" w:rsidRPr="006006E7">
              <w:rPr>
                <w:rFonts w:cs="Times New Roman"/>
                <w:szCs w:val="24"/>
              </w:rPr>
              <w:t xml:space="preserve"> su minėto</w:t>
            </w:r>
            <w:r w:rsidRPr="006006E7">
              <w:rPr>
                <w:rFonts w:cs="Times New Roman"/>
                <w:szCs w:val="24"/>
              </w:rPr>
              <w:t xml:space="preserve"> Vyriausybės programos 336.1 papunktyje numatyto siekio paneigimu. </w:t>
            </w:r>
            <w:r w:rsidR="00721D8D" w:rsidRPr="006006E7">
              <w:rPr>
                <w:rFonts w:cs="Times New Roman"/>
                <w:szCs w:val="24"/>
              </w:rPr>
              <w:t>Dekriminalizavus BK 281 str</w:t>
            </w:r>
            <w:r w:rsidR="00D37AFE" w:rsidRPr="006006E7">
              <w:rPr>
                <w:rFonts w:cs="Times New Roman"/>
                <w:szCs w:val="24"/>
              </w:rPr>
              <w:t>.</w:t>
            </w:r>
            <w:r w:rsidR="00721D8D" w:rsidRPr="006006E7">
              <w:rPr>
                <w:rFonts w:cs="Times New Roman"/>
                <w:szCs w:val="24"/>
              </w:rPr>
              <w:t>1 d</w:t>
            </w:r>
            <w:r w:rsidR="00D37AFE" w:rsidRPr="006006E7">
              <w:rPr>
                <w:rFonts w:cs="Times New Roman"/>
                <w:szCs w:val="24"/>
              </w:rPr>
              <w:t>.</w:t>
            </w:r>
            <w:r w:rsidR="00721D8D" w:rsidRPr="006006E7">
              <w:rPr>
                <w:rFonts w:cs="Times New Roman"/>
                <w:szCs w:val="24"/>
              </w:rPr>
              <w:t xml:space="preserve"> numatytą nusikalstamą veiką, </w:t>
            </w:r>
            <w:r w:rsidR="00721D8D" w:rsidRPr="006006E7">
              <w:rPr>
                <w:rFonts w:cs="Times New Roman"/>
                <w:i/>
                <w:szCs w:val="24"/>
              </w:rPr>
              <w:t>dėmesys eismo saugumui nesumažės</w:t>
            </w:r>
            <w:r w:rsidR="00721D8D" w:rsidRPr="006006E7">
              <w:rPr>
                <w:rFonts w:cs="Times New Roman"/>
                <w:szCs w:val="24"/>
              </w:rPr>
              <w:t xml:space="preserve">, </w:t>
            </w:r>
            <w:r w:rsidR="00721D8D" w:rsidRPr="006006E7">
              <w:rPr>
                <w:rFonts w:cs="Times New Roman"/>
                <w:i/>
                <w:szCs w:val="24"/>
              </w:rPr>
              <w:t>pasikeis tik</w:t>
            </w:r>
            <w:r w:rsidR="00721D8D" w:rsidRPr="006006E7">
              <w:rPr>
                <w:rFonts w:cs="Times New Roman"/>
                <w:szCs w:val="24"/>
              </w:rPr>
              <w:t xml:space="preserve"> tokio dėmesio forma</w:t>
            </w:r>
            <w:r w:rsidR="00F668DE" w:rsidRPr="006006E7">
              <w:rPr>
                <w:rFonts w:cs="Times New Roman"/>
                <w:szCs w:val="24"/>
              </w:rPr>
              <w:t xml:space="preserve"> ir teisinės atsakomybės išraiška</w:t>
            </w:r>
            <w:r w:rsidR="00721D8D" w:rsidRPr="006006E7">
              <w:rPr>
                <w:rFonts w:cs="Times New Roman"/>
                <w:szCs w:val="24"/>
              </w:rPr>
              <w:t xml:space="preserve">. </w:t>
            </w:r>
            <w:r w:rsidR="00F60AEA" w:rsidRPr="006006E7">
              <w:rPr>
                <w:rFonts w:cs="Times New Roman"/>
                <w:szCs w:val="24"/>
              </w:rPr>
              <w:t xml:space="preserve">Kelių transporto priemonės vairavimas pažeidžiant kelių eismo saugumo ar transporto priemonės eksploatavimo taisykles, jeigu dėl to įvyksta eismo įvykis, dėl kurio nesunkiai sutrikdoma kito žmogaus sveikata, </w:t>
            </w:r>
            <w:r w:rsidR="00F60AEA" w:rsidRPr="006006E7">
              <w:rPr>
                <w:rFonts w:cs="Times New Roman"/>
                <w:i/>
                <w:szCs w:val="24"/>
              </w:rPr>
              <w:t>neliks nereguliuojama sritis</w:t>
            </w:r>
            <w:r w:rsidR="00F60AEA" w:rsidRPr="006006E7">
              <w:rPr>
                <w:rFonts w:cs="Times New Roman"/>
                <w:szCs w:val="24"/>
              </w:rPr>
              <w:t xml:space="preserve">, kuriai valstybė neskiria </w:t>
            </w:r>
            <w:r w:rsidR="00F668DE" w:rsidRPr="006006E7">
              <w:rPr>
                <w:rFonts w:cs="Times New Roman"/>
                <w:szCs w:val="24"/>
              </w:rPr>
              <w:t>pakankamo</w:t>
            </w:r>
            <w:r w:rsidR="00F60AEA" w:rsidRPr="006006E7">
              <w:rPr>
                <w:rFonts w:cs="Times New Roman"/>
                <w:szCs w:val="24"/>
              </w:rPr>
              <w:t xml:space="preserve"> dėmesio. Priešingai, tokie veiksmai ir toliau bus netoleruojami valstybėje, tačiau jie užtrauks ne baudžiamąją, bet administracinę atsakomybę. </w:t>
            </w:r>
            <w:r w:rsidR="008472BC" w:rsidRPr="006006E7">
              <w:rPr>
                <w:rFonts w:cs="Times New Roman"/>
                <w:szCs w:val="24"/>
              </w:rPr>
              <w:t xml:space="preserve">Būtent atsisakius BK nusikalstamų veikų, kurios neatitinka </w:t>
            </w:r>
            <w:r w:rsidR="008472BC" w:rsidRPr="006006E7">
              <w:rPr>
                <w:rFonts w:cs="Times New Roman"/>
                <w:i/>
                <w:szCs w:val="24"/>
                <w:lang w:val="la-Latn"/>
              </w:rPr>
              <w:t>ultima rati</w:t>
            </w:r>
            <w:r w:rsidR="008472BC" w:rsidRPr="006006E7">
              <w:rPr>
                <w:rFonts w:cs="Times New Roman"/>
                <w:i/>
                <w:szCs w:val="24"/>
              </w:rPr>
              <w:t>o</w:t>
            </w:r>
            <w:r w:rsidR="008472BC" w:rsidRPr="006006E7">
              <w:rPr>
                <w:rFonts w:cs="Times New Roman"/>
                <w:szCs w:val="24"/>
              </w:rPr>
              <w:t xml:space="preserve"> požymių, </w:t>
            </w:r>
            <w:r w:rsidR="008472BC" w:rsidRPr="006006E7">
              <w:rPr>
                <w:rFonts w:cs="Times New Roman"/>
                <w:i/>
                <w:szCs w:val="24"/>
              </w:rPr>
              <w:t>deramas dėmesys bus skiriamas išties pavojingoms veikoms</w:t>
            </w:r>
            <w:r w:rsidR="008472BC" w:rsidRPr="006006E7">
              <w:rPr>
                <w:rFonts w:cs="Times New Roman"/>
                <w:szCs w:val="24"/>
              </w:rPr>
              <w:t xml:space="preserve">, t. y. neblaivių vairuotojų elgesiui kelyje, taip pat vairavimui, kuris padaro esminę žalą asmens sveikatai ar turtui. </w:t>
            </w:r>
            <w:r w:rsidR="00F60AEA" w:rsidRPr="006006E7">
              <w:rPr>
                <w:rFonts w:cs="Times New Roman"/>
                <w:szCs w:val="24"/>
              </w:rPr>
              <w:t>Pažymėtina tai, kad Vyriausybės programoje įtvirtintus siekius (</w:t>
            </w:r>
            <w:r w:rsidR="00A100E7" w:rsidRPr="006006E7">
              <w:rPr>
                <w:rFonts w:cs="Times New Roman"/>
                <w:szCs w:val="24"/>
              </w:rPr>
              <w:t xml:space="preserve">ir </w:t>
            </w:r>
            <w:r w:rsidR="00F60AEA" w:rsidRPr="006006E7">
              <w:rPr>
                <w:rFonts w:cs="Times New Roman"/>
                <w:szCs w:val="24"/>
              </w:rPr>
              <w:t>ne tik numatytus 331.6 papunktyje) galima pasiekti pasitelkiant įvairias tiek teisines (</w:t>
            </w:r>
            <w:r w:rsidR="00A100E7" w:rsidRPr="006006E7">
              <w:rPr>
                <w:rFonts w:cs="Times New Roman"/>
                <w:szCs w:val="24"/>
              </w:rPr>
              <w:t>ir nebūtinai</w:t>
            </w:r>
            <w:r w:rsidR="00F60AEA" w:rsidRPr="006006E7">
              <w:rPr>
                <w:rFonts w:cs="Times New Roman"/>
                <w:szCs w:val="24"/>
              </w:rPr>
              <w:t xml:space="preserve"> susijusias </w:t>
            </w:r>
            <w:r w:rsidR="00A100E7" w:rsidRPr="006006E7">
              <w:rPr>
                <w:rFonts w:cs="Times New Roman"/>
                <w:szCs w:val="24"/>
              </w:rPr>
              <w:t xml:space="preserve">vien tik </w:t>
            </w:r>
            <w:r w:rsidR="00F60AEA" w:rsidRPr="006006E7">
              <w:rPr>
                <w:rFonts w:cs="Times New Roman"/>
                <w:szCs w:val="24"/>
              </w:rPr>
              <w:t xml:space="preserve">su baudžiamosios atsakomybės taikymu), tiek ir kitos srities priemones. Atkreiptinas dėmesys ir į tai, kad </w:t>
            </w:r>
            <w:r w:rsidRPr="006006E7">
              <w:rPr>
                <w:rFonts w:cs="Times New Roman"/>
                <w:szCs w:val="24"/>
              </w:rPr>
              <w:t>minėtame Vyriausybės programos 331.6 papunktyje ne tik pateikiamas siekis deramą dėmesį skirti eismo saugumo užtikrinimui, bet ir konkrečiai detalizuotas tokio siekio turinys. Šiame papunktyje nurodoma, kad</w:t>
            </w:r>
            <w:r w:rsidR="008472BC" w:rsidRPr="006006E7">
              <w:rPr>
                <w:rFonts w:cs="Times New Roman"/>
                <w:szCs w:val="24"/>
              </w:rPr>
              <w:t xml:space="preserve"> bus stiprinamas dažniausiai pasitaikančių ir didžiausią grėsmę aplinkiniams keliančių eismo pažeidimų – greičio viršijimo, vairavimo apsvaigus – kontrolė, plačiau diegiamos bekontaktės greičio matavimo sistemos ir pan. Šios priemonės ir jų turinys rodo, kad tinkamam Vyriausybės 331.6 papunkčio įgyvendinimui </w:t>
            </w:r>
            <w:r w:rsidR="008472BC" w:rsidRPr="006006E7">
              <w:rPr>
                <w:rFonts w:cs="Times New Roman"/>
                <w:i/>
                <w:szCs w:val="24"/>
              </w:rPr>
              <w:t>nėra reikalingos vien tik baudžiamosios teisės priemonės</w:t>
            </w:r>
            <w:r w:rsidR="00F668DE" w:rsidRPr="006006E7">
              <w:rPr>
                <w:rFonts w:cs="Times New Roman"/>
                <w:szCs w:val="24"/>
              </w:rPr>
              <w:t xml:space="preserve"> (ypač susijusios su BK 281 str</w:t>
            </w:r>
            <w:r w:rsidR="00D37AFE" w:rsidRPr="006006E7">
              <w:rPr>
                <w:rFonts w:cs="Times New Roman"/>
                <w:szCs w:val="24"/>
              </w:rPr>
              <w:t>.</w:t>
            </w:r>
            <w:r w:rsidR="00F668DE" w:rsidRPr="006006E7">
              <w:rPr>
                <w:rFonts w:cs="Times New Roman"/>
                <w:szCs w:val="24"/>
              </w:rPr>
              <w:t xml:space="preserve"> 1 d</w:t>
            </w:r>
            <w:r w:rsidR="00D37AFE" w:rsidRPr="006006E7">
              <w:rPr>
                <w:rFonts w:cs="Times New Roman"/>
                <w:szCs w:val="24"/>
              </w:rPr>
              <w:t>.</w:t>
            </w:r>
            <w:r w:rsidR="00F668DE" w:rsidRPr="006006E7">
              <w:rPr>
                <w:rFonts w:cs="Times New Roman"/>
                <w:szCs w:val="24"/>
              </w:rPr>
              <w:t xml:space="preserve"> įtvirtinta nusikalstama veika)</w:t>
            </w:r>
            <w:r w:rsidR="008472BC" w:rsidRPr="006006E7">
              <w:rPr>
                <w:rFonts w:cs="Times New Roman"/>
                <w:szCs w:val="24"/>
              </w:rPr>
              <w:t xml:space="preserve">, todėl </w:t>
            </w:r>
            <w:r w:rsidR="008472BC" w:rsidRPr="006006E7">
              <w:rPr>
                <w:rFonts w:cs="Times New Roman"/>
                <w:i/>
                <w:szCs w:val="24"/>
              </w:rPr>
              <w:t>negalima teigti</w:t>
            </w:r>
            <w:r w:rsidR="008472BC" w:rsidRPr="006006E7">
              <w:rPr>
                <w:rFonts w:cs="Times New Roman"/>
                <w:szCs w:val="24"/>
              </w:rPr>
              <w:t>, kad Įstatymo projekto 36 straipsnio nuostatos neatitinka minėtame Vyriausybės programos papunktyje įtvirtinto siekio.</w:t>
            </w:r>
            <w:r w:rsidR="002C7528">
              <w:rPr>
                <w:rFonts w:cs="Times New Roman"/>
                <w:szCs w:val="24"/>
              </w:rPr>
              <w:t xml:space="preserve"> </w:t>
            </w:r>
          </w:p>
          <w:p w14:paraId="10401C46" w14:textId="0EF50789" w:rsidR="00812083" w:rsidRPr="00D37AFE" w:rsidRDefault="008472BC" w:rsidP="002C7528">
            <w:pPr>
              <w:jc w:val="both"/>
              <w:rPr>
                <w:rFonts w:cs="Times New Roman"/>
                <w:b/>
                <w:szCs w:val="24"/>
              </w:rPr>
            </w:pPr>
            <w:r w:rsidRPr="006006E7">
              <w:rPr>
                <w:rFonts w:cs="Times New Roman"/>
                <w:szCs w:val="24"/>
              </w:rPr>
              <w:t>Pažymėtina ir tai, kad šiuo</w:t>
            </w:r>
            <w:r w:rsidR="00F668DE" w:rsidRPr="006006E7">
              <w:rPr>
                <w:rFonts w:cs="Times New Roman"/>
                <w:szCs w:val="24"/>
              </w:rPr>
              <w:t>s</w:t>
            </w:r>
            <w:r w:rsidRPr="006006E7">
              <w:rPr>
                <w:rFonts w:cs="Times New Roman"/>
                <w:szCs w:val="24"/>
              </w:rPr>
              <w:t xml:space="preserve"> pokyčius, įver</w:t>
            </w:r>
            <w:r w:rsidR="00F07AA1" w:rsidRPr="006006E7">
              <w:rPr>
                <w:rFonts w:cs="Times New Roman"/>
                <w:szCs w:val="24"/>
              </w:rPr>
              <w:t>tinę BK 281 str</w:t>
            </w:r>
            <w:r w:rsidR="00D37AFE" w:rsidRPr="006006E7">
              <w:rPr>
                <w:rFonts w:cs="Times New Roman"/>
                <w:szCs w:val="24"/>
              </w:rPr>
              <w:t>.</w:t>
            </w:r>
            <w:r w:rsidR="00F07AA1" w:rsidRPr="006006E7">
              <w:rPr>
                <w:rFonts w:cs="Times New Roman"/>
                <w:szCs w:val="24"/>
              </w:rPr>
              <w:t xml:space="preserve"> 1 d</w:t>
            </w:r>
            <w:r w:rsidR="00D37AFE" w:rsidRPr="006006E7">
              <w:rPr>
                <w:rFonts w:cs="Times New Roman"/>
                <w:szCs w:val="24"/>
              </w:rPr>
              <w:t>.</w:t>
            </w:r>
            <w:r w:rsidR="00F07AA1" w:rsidRPr="006006E7">
              <w:rPr>
                <w:rFonts w:cs="Times New Roman"/>
                <w:szCs w:val="24"/>
              </w:rPr>
              <w:t xml:space="preserve"> numatytos nusikalstamos veikos požymius bei šios veikos tyrimo praktiką, </w:t>
            </w:r>
            <w:r w:rsidR="00F07AA1" w:rsidRPr="006006E7">
              <w:rPr>
                <w:rFonts w:cs="Times New Roman"/>
                <w:i/>
                <w:szCs w:val="24"/>
              </w:rPr>
              <w:t xml:space="preserve">pasiūlė teisėsaugos institucijų </w:t>
            </w:r>
            <w:r w:rsidR="00F07AA1" w:rsidRPr="006006E7">
              <w:rPr>
                <w:rFonts w:cs="Times New Roman"/>
                <w:szCs w:val="24"/>
              </w:rPr>
              <w:t xml:space="preserve">(Generalinės prokuratūros, Policijos departamento) </w:t>
            </w:r>
            <w:r w:rsidR="00F07AA1" w:rsidRPr="006006E7">
              <w:rPr>
                <w:rFonts w:cs="Times New Roman"/>
                <w:i/>
                <w:szCs w:val="24"/>
              </w:rPr>
              <w:t>ekspertai</w:t>
            </w:r>
            <w:r w:rsidR="00F07AA1" w:rsidRPr="006006E7">
              <w:rPr>
                <w:rFonts w:cs="Times New Roman"/>
                <w:szCs w:val="24"/>
              </w:rPr>
              <w:t xml:space="preserve">, kurių nuomone, baudžiamąsias priemones tikslinga pajungti </w:t>
            </w:r>
            <w:r w:rsidR="00F668DE" w:rsidRPr="006006E7">
              <w:rPr>
                <w:rFonts w:cs="Times New Roman"/>
                <w:szCs w:val="24"/>
              </w:rPr>
              <w:t xml:space="preserve">tiriant pačius </w:t>
            </w:r>
            <w:r w:rsidR="00F07AA1" w:rsidRPr="006006E7">
              <w:rPr>
                <w:rFonts w:cs="Times New Roman"/>
                <w:szCs w:val="24"/>
              </w:rPr>
              <w:t>pavojingiaus</w:t>
            </w:r>
            <w:r w:rsidR="00F668DE" w:rsidRPr="006006E7">
              <w:rPr>
                <w:rFonts w:cs="Times New Roman"/>
                <w:szCs w:val="24"/>
              </w:rPr>
              <w:t xml:space="preserve">ius </w:t>
            </w:r>
            <w:r w:rsidR="00F07AA1" w:rsidRPr="006006E7">
              <w:rPr>
                <w:rFonts w:cs="Times New Roman"/>
                <w:szCs w:val="24"/>
              </w:rPr>
              <w:t>atvej</w:t>
            </w:r>
            <w:r w:rsidR="00F668DE" w:rsidRPr="006006E7">
              <w:rPr>
                <w:rFonts w:cs="Times New Roman"/>
                <w:szCs w:val="24"/>
              </w:rPr>
              <w:t>us</w:t>
            </w:r>
            <w:r w:rsidR="00F07AA1" w:rsidRPr="006006E7">
              <w:rPr>
                <w:rFonts w:cs="Times New Roman"/>
                <w:szCs w:val="24"/>
              </w:rPr>
              <w:t>. Mažiau pavojingesniems atvejams pakankamos ir administracinio poveikio priemonės, kurios gali būti taikomos kur kas operatyviai, ir tuo pačiu būti pakankamai atgrasančios.</w:t>
            </w:r>
            <w:r w:rsidR="00F07AA1" w:rsidRPr="00D37AFE">
              <w:rPr>
                <w:rFonts w:cs="Times New Roman"/>
                <w:szCs w:val="24"/>
              </w:rPr>
              <w:t xml:space="preserve"> </w:t>
            </w:r>
            <w:r w:rsidRPr="00D37AFE">
              <w:rPr>
                <w:rFonts w:cs="Times New Roman"/>
                <w:szCs w:val="24"/>
              </w:rPr>
              <w:t xml:space="preserve"> </w:t>
            </w:r>
          </w:p>
        </w:tc>
      </w:tr>
    </w:tbl>
    <w:p w14:paraId="7B67E23A" w14:textId="77777777" w:rsidR="00415F87" w:rsidRPr="005F43FA" w:rsidRDefault="00415F87" w:rsidP="002C7528">
      <w:pPr>
        <w:spacing w:line="240" w:lineRule="auto"/>
        <w:rPr>
          <w:rFonts w:cs="Times New Roman"/>
          <w:szCs w:val="24"/>
        </w:rPr>
      </w:pPr>
    </w:p>
    <w:sectPr w:rsidR="00415F87" w:rsidRPr="005F43FA"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82920" w14:textId="77777777" w:rsidR="0056631C" w:rsidRDefault="0056631C" w:rsidP="001A74E1">
      <w:pPr>
        <w:spacing w:after="0" w:line="240" w:lineRule="auto"/>
      </w:pPr>
      <w:r>
        <w:separator/>
      </w:r>
    </w:p>
  </w:endnote>
  <w:endnote w:type="continuationSeparator" w:id="0">
    <w:p w14:paraId="1FED296F" w14:textId="77777777" w:rsidR="0056631C" w:rsidRDefault="0056631C" w:rsidP="001A74E1">
      <w:pPr>
        <w:spacing w:after="0" w:line="240" w:lineRule="auto"/>
      </w:pPr>
      <w:r>
        <w:continuationSeparator/>
      </w:r>
    </w:p>
  </w:endnote>
  <w:endnote w:type="continuationNotice" w:id="1">
    <w:p w14:paraId="0F953484" w14:textId="77777777" w:rsidR="0056631C" w:rsidRDefault="00566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FD96E" w14:textId="77777777" w:rsidR="0056631C" w:rsidRDefault="0056631C" w:rsidP="001A74E1">
      <w:pPr>
        <w:spacing w:after="0" w:line="240" w:lineRule="auto"/>
      </w:pPr>
      <w:r>
        <w:separator/>
      </w:r>
    </w:p>
  </w:footnote>
  <w:footnote w:type="continuationSeparator" w:id="0">
    <w:p w14:paraId="3AD62559" w14:textId="77777777" w:rsidR="0056631C" w:rsidRDefault="0056631C" w:rsidP="001A74E1">
      <w:pPr>
        <w:spacing w:after="0" w:line="240" w:lineRule="auto"/>
      </w:pPr>
      <w:r>
        <w:continuationSeparator/>
      </w:r>
    </w:p>
  </w:footnote>
  <w:footnote w:type="continuationNotice" w:id="1">
    <w:p w14:paraId="3BD1F62D" w14:textId="77777777" w:rsidR="0056631C" w:rsidRDefault="0056631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502967"/>
      <w:docPartObj>
        <w:docPartGallery w:val="Page Numbers (Top of Page)"/>
        <w:docPartUnique/>
      </w:docPartObj>
    </w:sdtPr>
    <w:sdtEndPr/>
    <w:sdtContent>
      <w:p w14:paraId="6227830E" w14:textId="77777777" w:rsidR="005B6A27" w:rsidRDefault="005B6A27">
        <w:pPr>
          <w:pStyle w:val="Antrats"/>
          <w:jc w:val="center"/>
        </w:pPr>
        <w:r>
          <w:fldChar w:fldCharType="begin"/>
        </w:r>
        <w:r>
          <w:instrText>PAGE   \* MERGEFORMAT</w:instrText>
        </w:r>
        <w:r>
          <w:fldChar w:fldCharType="separate"/>
        </w:r>
        <w:r w:rsidR="002C7528">
          <w:rPr>
            <w:noProof/>
          </w:rPr>
          <w:t>7</w:t>
        </w:r>
        <w:r>
          <w:fldChar w:fldCharType="end"/>
        </w:r>
      </w:p>
    </w:sdtContent>
  </w:sdt>
  <w:p w14:paraId="20DB96D1" w14:textId="77777777" w:rsidR="005B6A27" w:rsidRDefault="005B6A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E0457E"/>
    <w:multiLevelType w:val="hybridMultilevel"/>
    <w:tmpl w:val="C8142032"/>
    <w:lvl w:ilvl="0" w:tplc="4ABA521E">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612793"/>
    <w:multiLevelType w:val="hybridMultilevel"/>
    <w:tmpl w:val="0520E5C2"/>
    <w:lvl w:ilvl="0" w:tplc="F73C79E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0"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2"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D06235"/>
    <w:multiLevelType w:val="hybridMultilevel"/>
    <w:tmpl w:val="DA28EEC8"/>
    <w:lvl w:ilvl="0" w:tplc="A9AA68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3"/>
  </w:num>
  <w:num w:numId="3">
    <w:abstractNumId w:val="15"/>
  </w:num>
  <w:num w:numId="4">
    <w:abstractNumId w:val="2"/>
  </w:num>
  <w:num w:numId="5">
    <w:abstractNumId w:val="9"/>
  </w:num>
  <w:num w:numId="6">
    <w:abstractNumId w:val="17"/>
  </w:num>
  <w:num w:numId="7">
    <w:abstractNumId w:val="7"/>
  </w:num>
  <w:num w:numId="8">
    <w:abstractNumId w:val="0"/>
  </w:num>
  <w:num w:numId="9">
    <w:abstractNumId w:val="12"/>
  </w:num>
  <w:num w:numId="10">
    <w:abstractNumId w:val="4"/>
  </w:num>
  <w:num w:numId="11">
    <w:abstractNumId w:val="3"/>
  </w:num>
  <w:num w:numId="12">
    <w:abstractNumId w:val="10"/>
  </w:num>
  <w:num w:numId="13">
    <w:abstractNumId w:val="11"/>
  </w:num>
  <w:num w:numId="14">
    <w:abstractNumId w:val="6"/>
  </w:num>
  <w:num w:numId="15">
    <w:abstractNumId w:val="5"/>
  </w:num>
  <w:num w:numId="16">
    <w:abstractNumId w:val="8"/>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6D83"/>
    <w:rsid w:val="000105C5"/>
    <w:rsid w:val="00011F89"/>
    <w:rsid w:val="0001325B"/>
    <w:rsid w:val="00017BA5"/>
    <w:rsid w:val="00023C51"/>
    <w:rsid w:val="00027F2B"/>
    <w:rsid w:val="00030121"/>
    <w:rsid w:val="00032FAB"/>
    <w:rsid w:val="00032FF1"/>
    <w:rsid w:val="00046C8C"/>
    <w:rsid w:val="0004761D"/>
    <w:rsid w:val="00051B37"/>
    <w:rsid w:val="00051D09"/>
    <w:rsid w:val="00052516"/>
    <w:rsid w:val="00057760"/>
    <w:rsid w:val="000668AB"/>
    <w:rsid w:val="000668CD"/>
    <w:rsid w:val="000722D5"/>
    <w:rsid w:val="00073E80"/>
    <w:rsid w:val="0007787E"/>
    <w:rsid w:val="00082E8F"/>
    <w:rsid w:val="0008785D"/>
    <w:rsid w:val="00090973"/>
    <w:rsid w:val="00093DD7"/>
    <w:rsid w:val="000958A7"/>
    <w:rsid w:val="00097C3B"/>
    <w:rsid w:val="000A11A2"/>
    <w:rsid w:val="000A2BD4"/>
    <w:rsid w:val="000A36D8"/>
    <w:rsid w:val="000A43FB"/>
    <w:rsid w:val="000A4EFC"/>
    <w:rsid w:val="000B028B"/>
    <w:rsid w:val="000B0371"/>
    <w:rsid w:val="000B22FE"/>
    <w:rsid w:val="000B2845"/>
    <w:rsid w:val="000B77AB"/>
    <w:rsid w:val="000B7CCA"/>
    <w:rsid w:val="000C3ADA"/>
    <w:rsid w:val="000D0F2E"/>
    <w:rsid w:val="000E0A46"/>
    <w:rsid w:val="000E0D71"/>
    <w:rsid w:val="000E210B"/>
    <w:rsid w:val="000E2BB0"/>
    <w:rsid w:val="000E417C"/>
    <w:rsid w:val="000E4DC0"/>
    <w:rsid w:val="000E72BC"/>
    <w:rsid w:val="000F0F3C"/>
    <w:rsid w:val="000F3D9F"/>
    <w:rsid w:val="000F434D"/>
    <w:rsid w:val="000F75D9"/>
    <w:rsid w:val="00110461"/>
    <w:rsid w:val="00113D18"/>
    <w:rsid w:val="00117F4B"/>
    <w:rsid w:val="001215A5"/>
    <w:rsid w:val="001223A8"/>
    <w:rsid w:val="00126745"/>
    <w:rsid w:val="0012778F"/>
    <w:rsid w:val="0013472B"/>
    <w:rsid w:val="001371A4"/>
    <w:rsid w:val="001427A4"/>
    <w:rsid w:val="00142C80"/>
    <w:rsid w:val="0014586D"/>
    <w:rsid w:val="00146C5E"/>
    <w:rsid w:val="001554FD"/>
    <w:rsid w:val="00157879"/>
    <w:rsid w:val="001638BA"/>
    <w:rsid w:val="00164DF1"/>
    <w:rsid w:val="00167151"/>
    <w:rsid w:val="00167C61"/>
    <w:rsid w:val="0017041C"/>
    <w:rsid w:val="00171058"/>
    <w:rsid w:val="00173333"/>
    <w:rsid w:val="00173AB8"/>
    <w:rsid w:val="001740BA"/>
    <w:rsid w:val="00183DD9"/>
    <w:rsid w:val="00183FB2"/>
    <w:rsid w:val="00184AAE"/>
    <w:rsid w:val="00185664"/>
    <w:rsid w:val="00191CBD"/>
    <w:rsid w:val="00193676"/>
    <w:rsid w:val="00194266"/>
    <w:rsid w:val="00195D57"/>
    <w:rsid w:val="001A353B"/>
    <w:rsid w:val="001A4D70"/>
    <w:rsid w:val="001A617C"/>
    <w:rsid w:val="001A6C8B"/>
    <w:rsid w:val="001A74E1"/>
    <w:rsid w:val="001D2DD0"/>
    <w:rsid w:val="001D35C4"/>
    <w:rsid w:val="001D4560"/>
    <w:rsid w:val="001E14C1"/>
    <w:rsid w:val="001E163D"/>
    <w:rsid w:val="001E1DAC"/>
    <w:rsid w:val="001E2FB6"/>
    <w:rsid w:val="001E5AEB"/>
    <w:rsid w:val="001E7F07"/>
    <w:rsid w:val="001F0BA8"/>
    <w:rsid w:val="001F6612"/>
    <w:rsid w:val="001F6E6F"/>
    <w:rsid w:val="001F778B"/>
    <w:rsid w:val="00200687"/>
    <w:rsid w:val="0020288F"/>
    <w:rsid w:val="00205F8A"/>
    <w:rsid w:val="002119D5"/>
    <w:rsid w:val="00214BFC"/>
    <w:rsid w:val="0022091E"/>
    <w:rsid w:val="0022363D"/>
    <w:rsid w:val="00224081"/>
    <w:rsid w:val="00225B5E"/>
    <w:rsid w:val="0022668A"/>
    <w:rsid w:val="00236FB0"/>
    <w:rsid w:val="002459F6"/>
    <w:rsid w:val="00246288"/>
    <w:rsid w:val="00254B49"/>
    <w:rsid w:val="002624B7"/>
    <w:rsid w:val="002631FF"/>
    <w:rsid w:val="00263D59"/>
    <w:rsid w:val="00265E39"/>
    <w:rsid w:val="00277CC6"/>
    <w:rsid w:val="00281153"/>
    <w:rsid w:val="0028210F"/>
    <w:rsid w:val="00283AAE"/>
    <w:rsid w:val="00284ACC"/>
    <w:rsid w:val="00285928"/>
    <w:rsid w:val="002919A4"/>
    <w:rsid w:val="0029303A"/>
    <w:rsid w:val="00293EBB"/>
    <w:rsid w:val="0029673D"/>
    <w:rsid w:val="00296A94"/>
    <w:rsid w:val="00297170"/>
    <w:rsid w:val="0029778E"/>
    <w:rsid w:val="002A29E9"/>
    <w:rsid w:val="002A2B6C"/>
    <w:rsid w:val="002A4F19"/>
    <w:rsid w:val="002B0257"/>
    <w:rsid w:val="002B2907"/>
    <w:rsid w:val="002C0530"/>
    <w:rsid w:val="002C207F"/>
    <w:rsid w:val="002C6F16"/>
    <w:rsid w:val="002C7528"/>
    <w:rsid w:val="002D0FCC"/>
    <w:rsid w:val="002D35D0"/>
    <w:rsid w:val="002D4903"/>
    <w:rsid w:val="002D73F5"/>
    <w:rsid w:val="002E259D"/>
    <w:rsid w:val="002E25C3"/>
    <w:rsid w:val="002F17B1"/>
    <w:rsid w:val="002F2214"/>
    <w:rsid w:val="002F3DC2"/>
    <w:rsid w:val="002F7932"/>
    <w:rsid w:val="002F7F81"/>
    <w:rsid w:val="003039D3"/>
    <w:rsid w:val="00305EBB"/>
    <w:rsid w:val="00305ECB"/>
    <w:rsid w:val="00315E70"/>
    <w:rsid w:val="0032091C"/>
    <w:rsid w:val="00321ED9"/>
    <w:rsid w:val="00323D6E"/>
    <w:rsid w:val="00327A99"/>
    <w:rsid w:val="003361D6"/>
    <w:rsid w:val="00342A94"/>
    <w:rsid w:val="00343D2A"/>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2993"/>
    <w:rsid w:val="00394D75"/>
    <w:rsid w:val="003A07C7"/>
    <w:rsid w:val="003A1145"/>
    <w:rsid w:val="003A1D62"/>
    <w:rsid w:val="003A5259"/>
    <w:rsid w:val="003B0F36"/>
    <w:rsid w:val="003B510B"/>
    <w:rsid w:val="003B579F"/>
    <w:rsid w:val="003C014A"/>
    <w:rsid w:val="003C3524"/>
    <w:rsid w:val="003C744D"/>
    <w:rsid w:val="003D228D"/>
    <w:rsid w:val="003D39E4"/>
    <w:rsid w:val="003E0AE9"/>
    <w:rsid w:val="003E297F"/>
    <w:rsid w:val="003E39D1"/>
    <w:rsid w:val="003F1A58"/>
    <w:rsid w:val="003F5015"/>
    <w:rsid w:val="003F5C06"/>
    <w:rsid w:val="003F5DD9"/>
    <w:rsid w:val="003F6EBC"/>
    <w:rsid w:val="00415F87"/>
    <w:rsid w:val="004223AE"/>
    <w:rsid w:val="00424471"/>
    <w:rsid w:val="004245E2"/>
    <w:rsid w:val="00430694"/>
    <w:rsid w:val="004315DD"/>
    <w:rsid w:val="004418C5"/>
    <w:rsid w:val="00441D11"/>
    <w:rsid w:val="0044766B"/>
    <w:rsid w:val="00450C04"/>
    <w:rsid w:val="004514C5"/>
    <w:rsid w:val="0045256B"/>
    <w:rsid w:val="004569A7"/>
    <w:rsid w:val="00465171"/>
    <w:rsid w:val="00465845"/>
    <w:rsid w:val="004678DD"/>
    <w:rsid w:val="00467DB0"/>
    <w:rsid w:val="00472335"/>
    <w:rsid w:val="00472A66"/>
    <w:rsid w:val="00475314"/>
    <w:rsid w:val="00475450"/>
    <w:rsid w:val="00475C34"/>
    <w:rsid w:val="004830CE"/>
    <w:rsid w:val="0048369F"/>
    <w:rsid w:val="004848A2"/>
    <w:rsid w:val="0048580D"/>
    <w:rsid w:val="00485D4A"/>
    <w:rsid w:val="00487CAE"/>
    <w:rsid w:val="00495B68"/>
    <w:rsid w:val="004A21A2"/>
    <w:rsid w:val="004A2827"/>
    <w:rsid w:val="004A6DDB"/>
    <w:rsid w:val="004B1773"/>
    <w:rsid w:val="004B4169"/>
    <w:rsid w:val="004B6F82"/>
    <w:rsid w:val="004C0AAF"/>
    <w:rsid w:val="004C15D1"/>
    <w:rsid w:val="004C20A2"/>
    <w:rsid w:val="004E04BF"/>
    <w:rsid w:val="004E4314"/>
    <w:rsid w:val="004E7E18"/>
    <w:rsid w:val="004F3721"/>
    <w:rsid w:val="00500D1F"/>
    <w:rsid w:val="00502D19"/>
    <w:rsid w:val="00502EF6"/>
    <w:rsid w:val="00503E7F"/>
    <w:rsid w:val="0050418F"/>
    <w:rsid w:val="005046A5"/>
    <w:rsid w:val="005066C9"/>
    <w:rsid w:val="005144AA"/>
    <w:rsid w:val="005209CC"/>
    <w:rsid w:val="00526545"/>
    <w:rsid w:val="00527807"/>
    <w:rsid w:val="005341DB"/>
    <w:rsid w:val="00534CB6"/>
    <w:rsid w:val="00537377"/>
    <w:rsid w:val="005403AC"/>
    <w:rsid w:val="005409AE"/>
    <w:rsid w:val="00540D33"/>
    <w:rsid w:val="00540F3C"/>
    <w:rsid w:val="00544C0C"/>
    <w:rsid w:val="00545038"/>
    <w:rsid w:val="00546C48"/>
    <w:rsid w:val="00554089"/>
    <w:rsid w:val="00557F5F"/>
    <w:rsid w:val="00561185"/>
    <w:rsid w:val="005649D5"/>
    <w:rsid w:val="00564B20"/>
    <w:rsid w:val="00565A80"/>
    <w:rsid w:val="0056631C"/>
    <w:rsid w:val="005727C3"/>
    <w:rsid w:val="00580044"/>
    <w:rsid w:val="005817D1"/>
    <w:rsid w:val="005832B3"/>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B6A27"/>
    <w:rsid w:val="005C135C"/>
    <w:rsid w:val="005C1E60"/>
    <w:rsid w:val="005C1FA6"/>
    <w:rsid w:val="005C32D3"/>
    <w:rsid w:val="005D2896"/>
    <w:rsid w:val="005D4147"/>
    <w:rsid w:val="005E1CE3"/>
    <w:rsid w:val="005E26F2"/>
    <w:rsid w:val="005E2C7E"/>
    <w:rsid w:val="005E32A0"/>
    <w:rsid w:val="005E3E09"/>
    <w:rsid w:val="005E6A90"/>
    <w:rsid w:val="005F1948"/>
    <w:rsid w:val="005F43FA"/>
    <w:rsid w:val="006006E7"/>
    <w:rsid w:val="0060124B"/>
    <w:rsid w:val="0060180E"/>
    <w:rsid w:val="00603612"/>
    <w:rsid w:val="00606C03"/>
    <w:rsid w:val="00611AF4"/>
    <w:rsid w:val="00613643"/>
    <w:rsid w:val="00616125"/>
    <w:rsid w:val="006170C6"/>
    <w:rsid w:val="0062161C"/>
    <w:rsid w:val="00634520"/>
    <w:rsid w:val="006413E3"/>
    <w:rsid w:val="006524B2"/>
    <w:rsid w:val="0065644C"/>
    <w:rsid w:val="00660946"/>
    <w:rsid w:val="00663DEF"/>
    <w:rsid w:val="00664061"/>
    <w:rsid w:val="006647C4"/>
    <w:rsid w:val="006774FD"/>
    <w:rsid w:val="006820D1"/>
    <w:rsid w:val="00682617"/>
    <w:rsid w:val="006840AE"/>
    <w:rsid w:val="006856B9"/>
    <w:rsid w:val="006873EF"/>
    <w:rsid w:val="00690382"/>
    <w:rsid w:val="0069054E"/>
    <w:rsid w:val="0069127D"/>
    <w:rsid w:val="00695516"/>
    <w:rsid w:val="006959FE"/>
    <w:rsid w:val="006A149D"/>
    <w:rsid w:val="006A2E6E"/>
    <w:rsid w:val="006A4D02"/>
    <w:rsid w:val="006B24AB"/>
    <w:rsid w:val="006B490C"/>
    <w:rsid w:val="006B5E89"/>
    <w:rsid w:val="006B69B3"/>
    <w:rsid w:val="006B77C9"/>
    <w:rsid w:val="006C25AC"/>
    <w:rsid w:val="006D0FDD"/>
    <w:rsid w:val="006D502A"/>
    <w:rsid w:val="006D6029"/>
    <w:rsid w:val="006E006D"/>
    <w:rsid w:val="006E3884"/>
    <w:rsid w:val="006E79EB"/>
    <w:rsid w:val="006F2138"/>
    <w:rsid w:val="006F62D6"/>
    <w:rsid w:val="006F6385"/>
    <w:rsid w:val="006F68BD"/>
    <w:rsid w:val="007050A8"/>
    <w:rsid w:val="00710144"/>
    <w:rsid w:val="00715F77"/>
    <w:rsid w:val="007207DD"/>
    <w:rsid w:val="00720BA1"/>
    <w:rsid w:val="00721D8D"/>
    <w:rsid w:val="00723C27"/>
    <w:rsid w:val="00725F5D"/>
    <w:rsid w:val="00726020"/>
    <w:rsid w:val="00726899"/>
    <w:rsid w:val="007335D4"/>
    <w:rsid w:val="007408F8"/>
    <w:rsid w:val="0074312A"/>
    <w:rsid w:val="007445EE"/>
    <w:rsid w:val="0074631F"/>
    <w:rsid w:val="00754A39"/>
    <w:rsid w:val="00754BCF"/>
    <w:rsid w:val="00755E2A"/>
    <w:rsid w:val="00762159"/>
    <w:rsid w:val="00765D32"/>
    <w:rsid w:val="00767522"/>
    <w:rsid w:val="00770554"/>
    <w:rsid w:val="00771E6A"/>
    <w:rsid w:val="007738DA"/>
    <w:rsid w:val="007777DA"/>
    <w:rsid w:val="007803EB"/>
    <w:rsid w:val="00784FCE"/>
    <w:rsid w:val="00790F32"/>
    <w:rsid w:val="007941CE"/>
    <w:rsid w:val="007952DD"/>
    <w:rsid w:val="007C0600"/>
    <w:rsid w:val="007D0685"/>
    <w:rsid w:val="007D104B"/>
    <w:rsid w:val="007D11A0"/>
    <w:rsid w:val="007D18E3"/>
    <w:rsid w:val="007D3929"/>
    <w:rsid w:val="007D39BC"/>
    <w:rsid w:val="007D3B2B"/>
    <w:rsid w:val="007D4D8F"/>
    <w:rsid w:val="007D60BA"/>
    <w:rsid w:val="007E0BCB"/>
    <w:rsid w:val="007E557A"/>
    <w:rsid w:val="007E6A58"/>
    <w:rsid w:val="007E78A6"/>
    <w:rsid w:val="007F09DC"/>
    <w:rsid w:val="007F0FA4"/>
    <w:rsid w:val="007F1063"/>
    <w:rsid w:val="007F2C38"/>
    <w:rsid w:val="00801012"/>
    <w:rsid w:val="00803F6D"/>
    <w:rsid w:val="00812083"/>
    <w:rsid w:val="00813CB8"/>
    <w:rsid w:val="0081420F"/>
    <w:rsid w:val="00815438"/>
    <w:rsid w:val="00820AAD"/>
    <w:rsid w:val="00821186"/>
    <w:rsid w:val="008218C0"/>
    <w:rsid w:val="0082582E"/>
    <w:rsid w:val="0083303A"/>
    <w:rsid w:val="00835A5F"/>
    <w:rsid w:val="008469E9"/>
    <w:rsid w:val="008472BC"/>
    <w:rsid w:val="00850C3F"/>
    <w:rsid w:val="00852655"/>
    <w:rsid w:val="00855382"/>
    <w:rsid w:val="00855CF3"/>
    <w:rsid w:val="00856B54"/>
    <w:rsid w:val="00856CD2"/>
    <w:rsid w:val="0085798D"/>
    <w:rsid w:val="00864415"/>
    <w:rsid w:val="008668F2"/>
    <w:rsid w:val="00867271"/>
    <w:rsid w:val="008814BE"/>
    <w:rsid w:val="0088420F"/>
    <w:rsid w:val="00886649"/>
    <w:rsid w:val="008951EB"/>
    <w:rsid w:val="008A044C"/>
    <w:rsid w:val="008A157A"/>
    <w:rsid w:val="008A2142"/>
    <w:rsid w:val="008B1782"/>
    <w:rsid w:val="008B73E3"/>
    <w:rsid w:val="008C0E91"/>
    <w:rsid w:val="008C1127"/>
    <w:rsid w:val="008C1388"/>
    <w:rsid w:val="008D0DDC"/>
    <w:rsid w:val="008D1268"/>
    <w:rsid w:val="008D4895"/>
    <w:rsid w:val="008E024B"/>
    <w:rsid w:val="008E31C9"/>
    <w:rsid w:val="008F6F21"/>
    <w:rsid w:val="00902171"/>
    <w:rsid w:val="00902CFB"/>
    <w:rsid w:val="00906CCC"/>
    <w:rsid w:val="009071CC"/>
    <w:rsid w:val="00911B39"/>
    <w:rsid w:val="00912AA7"/>
    <w:rsid w:val="0091433E"/>
    <w:rsid w:val="00917022"/>
    <w:rsid w:val="00923F33"/>
    <w:rsid w:val="0093046F"/>
    <w:rsid w:val="009422AC"/>
    <w:rsid w:val="0094236C"/>
    <w:rsid w:val="009457A7"/>
    <w:rsid w:val="00946409"/>
    <w:rsid w:val="009465CF"/>
    <w:rsid w:val="009466A0"/>
    <w:rsid w:val="00951C1A"/>
    <w:rsid w:val="00952BEA"/>
    <w:rsid w:val="00953259"/>
    <w:rsid w:val="00956061"/>
    <w:rsid w:val="009651A8"/>
    <w:rsid w:val="009653EB"/>
    <w:rsid w:val="00966B58"/>
    <w:rsid w:val="00973D0C"/>
    <w:rsid w:val="00976073"/>
    <w:rsid w:val="00977A1F"/>
    <w:rsid w:val="00980296"/>
    <w:rsid w:val="00982399"/>
    <w:rsid w:val="00991676"/>
    <w:rsid w:val="00991FA1"/>
    <w:rsid w:val="00993425"/>
    <w:rsid w:val="00993B6E"/>
    <w:rsid w:val="00994D28"/>
    <w:rsid w:val="00995443"/>
    <w:rsid w:val="009A1005"/>
    <w:rsid w:val="009A3812"/>
    <w:rsid w:val="009A6788"/>
    <w:rsid w:val="009B0744"/>
    <w:rsid w:val="009B1261"/>
    <w:rsid w:val="009B231D"/>
    <w:rsid w:val="009B5580"/>
    <w:rsid w:val="009C0BBA"/>
    <w:rsid w:val="009C1D86"/>
    <w:rsid w:val="009C35C0"/>
    <w:rsid w:val="009C5F86"/>
    <w:rsid w:val="009D6985"/>
    <w:rsid w:val="009E009E"/>
    <w:rsid w:val="009E19C1"/>
    <w:rsid w:val="009E2688"/>
    <w:rsid w:val="009E635F"/>
    <w:rsid w:val="009F385C"/>
    <w:rsid w:val="00A05FDA"/>
    <w:rsid w:val="00A100E7"/>
    <w:rsid w:val="00A10A05"/>
    <w:rsid w:val="00A118AE"/>
    <w:rsid w:val="00A12215"/>
    <w:rsid w:val="00A123C2"/>
    <w:rsid w:val="00A2150A"/>
    <w:rsid w:val="00A24232"/>
    <w:rsid w:val="00A25966"/>
    <w:rsid w:val="00A31116"/>
    <w:rsid w:val="00A316E8"/>
    <w:rsid w:val="00A31BE9"/>
    <w:rsid w:val="00A3349B"/>
    <w:rsid w:val="00A348B6"/>
    <w:rsid w:val="00A42182"/>
    <w:rsid w:val="00A507E5"/>
    <w:rsid w:val="00A56D32"/>
    <w:rsid w:val="00A6392A"/>
    <w:rsid w:val="00A70843"/>
    <w:rsid w:val="00A71B8B"/>
    <w:rsid w:val="00A75550"/>
    <w:rsid w:val="00A77384"/>
    <w:rsid w:val="00A91C95"/>
    <w:rsid w:val="00A91F16"/>
    <w:rsid w:val="00A93B20"/>
    <w:rsid w:val="00A944D3"/>
    <w:rsid w:val="00A96432"/>
    <w:rsid w:val="00A9772A"/>
    <w:rsid w:val="00AA3556"/>
    <w:rsid w:val="00AA4C8A"/>
    <w:rsid w:val="00AA7736"/>
    <w:rsid w:val="00AB06D1"/>
    <w:rsid w:val="00AB1525"/>
    <w:rsid w:val="00AB4F7D"/>
    <w:rsid w:val="00AB6AE9"/>
    <w:rsid w:val="00AD0F49"/>
    <w:rsid w:val="00AD2C91"/>
    <w:rsid w:val="00AD2DB7"/>
    <w:rsid w:val="00AD6A50"/>
    <w:rsid w:val="00AE0995"/>
    <w:rsid w:val="00AE44A2"/>
    <w:rsid w:val="00AE4530"/>
    <w:rsid w:val="00AE4D3D"/>
    <w:rsid w:val="00AE50AE"/>
    <w:rsid w:val="00AF195A"/>
    <w:rsid w:val="00AF2744"/>
    <w:rsid w:val="00AF4FF3"/>
    <w:rsid w:val="00AF77AD"/>
    <w:rsid w:val="00AF7FB4"/>
    <w:rsid w:val="00B01443"/>
    <w:rsid w:val="00B075C4"/>
    <w:rsid w:val="00B16CE3"/>
    <w:rsid w:val="00B178B2"/>
    <w:rsid w:val="00B2004A"/>
    <w:rsid w:val="00B2009F"/>
    <w:rsid w:val="00B21366"/>
    <w:rsid w:val="00B26615"/>
    <w:rsid w:val="00B306C8"/>
    <w:rsid w:val="00B3072D"/>
    <w:rsid w:val="00B33F8B"/>
    <w:rsid w:val="00B34F32"/>
    <w:rsid w:val="00B3735E"/>
    <w:rsid w:val="00B418E1"/>
    <w:rsid w:val="00B46BDA"/>
    <w:rsid w:val="00B544F6"/>
    <w:rsid w:val="00B566BF"/>
    <w:rsid w:val="00B60A02"/>
    <w:rsid w:val="00B72CC0"/>
    <w:rsid w:val="00B77D1A"/>
    <w:rsid w:val="00B82E77"/>
    <w:rsid w:val="00B850BE"/>
    <w:rsid w:val="00B85312"/>
    <w:rsid w:val="00B85949"/>
    <w:rsid w:val="00B86100"/>
    <w:rsid w:val="00B9174F"/>
    <w:rsid w:val="00B92D18"/>
    <w:rsid w:val="00B933AF"/>
    <w:rsid w:val="00BA25FB"/>
    <w:rsid w:val="00BA4A2A"/>
    <w:rsid w:val="00BB0456"/>
    <w:rsid w:val="00BB5ECF"/>
    <w:rsid w:val="00BC062D"/>
    <w:rsid w:val="00BC0996"/>
    <w:rsid w:val="00BC12F9"/>
    <w:rsid w:val="00BC1366"/>
    <w:rsid w:val="00BC3FB2"/>
    <w:rsid w:val="00BC3FF8"/>
    <w:rsid w:val="00BC46A4"/>
    <w:rsid w:val="00BD0E85"/>
    <w:rsid w:val="00BD236E"/>
    <w:rsid w:val="00BD3DEA"/>
    <w:rsid w:val="00BD74DA"/>
    <w:rsid w:val="00BE2040"/>
    <w:rsid w:val="00BE39B7"/>
    <w:rsid w:val="00BF0E28"/>
    <w:rsid w:val="00BF1FFC"/>
    <w:rsid w:val="00BF4091"/>
    <w:rsid w:val="00BF48AA"/>
    <w:rsid w:val="00BF7827"/>
    <w:rsid w:val="00C033D6"/>
    <w:rsid w:val="00C068F1"/>
    <w:rsid w:val="00C13260"/>
    <w:rsid w:val="00C166CB"/>
    <w:rsid w:val="00C2670F"/>
    <w:rsid w:val="00C31CCD"/>
    <w:rsid w:val="00C322A6"/>
    <w:rsid w:val="00C3560F"/>
    <w:rsid w:val="00C446A9"/>
    <w:rsid w:val="00C46820"/>
    <w:rsid w:val="00C53F8C"/>
    <w:rsid w:val="00C544FD"/>
    <w:rsid w:val="00C54764"/>
    <w:rsid w:val="00C54BE8"/>
    <w:rsid w:val="00C56F94"/>
    <w:rsid w:val="00C5705A"/>
    <w:rsid w:val="00C66F54"/>
    <w:rsid w:val="00C7315D"/>
    <w:rsid w:val="00C77144"/>
    <w:rsid w:val="00C83917"/>
    <w:rsid w:val="00C83BA5"/>
    <w:rsid w:val="00C866C0"/>
    <w:rsid w:val="00C93585"/>
    <w:rsid w:val="00C97074"/>
    <w:rsid w:val="00CA058C"/>
    <w:rsid w:val="00CA2DBB"/>
    <w:rsid w:val="00CA3C23"/>
    <w:rsid w:val="00CB116C"/>
    <w:rsid w:val="00CB21A4"/>
    <w:rsid w:val="00CB383F"/>
    <w:rsid w:val="00CB6CBF"/>
    <w:rsid w:val="00CB793C"/>
    <w:rsid w:val="00CC4B98"/>
    <w:rsid w:val="00CC4D08"/>
    <w:rsid w:val="00CD1376"/>
    <w:rsid w:val="00CE2213"/>
    <w:rsid w:val="00CE5AB2"/>
    <w:rsid w:val="00CF2553"/>
    <w:rsid w:val="00CF2E99"/>
    <w:rsid w:val="00CF43F8"/>
    <w:rsid w:val="00D01541"/>
    <w:rsid w:val="00D02223"/>
    <w:rsid w:val="00D0449A"/>
    <w:rsid w:val="00D05A2A"/>
    <w:rsid w:val="00D1683C"/>
    <w:rsid w:val="00D208C9"/>
    <w:rsid w:val="00D20B2D"/>
    <w:rsid w:val="00D212F4"/>
    <w:rsid w:val="00D23BE6"/>
    <w:rsid w:val="00D26169"/>
    <w:rsid w:val="00D27342"/>
    <w:rsid w:val="00D37AFE"/>
    <w:rsid w:val="00D41389"/>
    <w:rsid w:val="00D43E3B"/>
    <w:rsid w:val="00D4424F"/>
    <w:rsid w:val="00D45FC5"/>
    <w:rsid w:val="00D46783"/>
    <w:rsid w:val="00D4792B"/>
    <w:rsid w:val="00D50909"/>
    <w:rsid w:val="00D561BD"/>
    <w:rsid w:val="00D61EE7"/>
    <w:rsid w:val="00D677CC"/>
    <w:rsid w:val="00D725E7"/>
    <w:rsid w:val="00D74576"/>
    <w:rsid w:val="00D76E1B"/>
    <w:rsid w:val="00D8283E"/>
    <w:rsid w:val="00D850E7"/>
    <w:rsid w:val="00D85447"/>
    <w:rsid w:val="00D87A33"/>
    <w:rsid w:val="00D91E25"/>
    <w:rsid w:val="00D97B72"/>
    <w:rsid w:val="00DA4B43"/>
    <w:rsid w:val="00DA75F3"/>
    <w:rsid w:val="00DB3C1B"/>
    <w:rsid w:val="00DB522C"/>
    <w:rsid w:val="00DB5ABD"/>
    <w:rsid w:val="00DB76BD"/>
    <w:rsid w:val="00DC22F7"/>
    <w:rsid w:val="00DC5961"/>
    <w:rsid w:val="00DC7AFD"/>
    <w:rsid w:val="00DD0288"/>
    <w:rsid w:val="00DD11C8"/>
    <w:rsid w:val="00DD1E48"/>
    <w:rsid w:val="00DD2BB0"/>
    <w:rsid w:val="00DD5105"/>
    <w:rsid w:val="00DD6376"/>
    <w:rsid w:val="00DE2D8E"/>
    <w:rsid w:val="00DE3519"/>
    <w:rsid w:val="00DF2E0E"/>
    <w:rsid w:val="00DF3D22"/>
    <w:rsid w:val="00DF7E14"/>
    <w:rsid w:val="00E008B8"/>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8329A"/>
    <w:rsid w:val="00E83750"/>
    <w:rsid w:val="00E902BA"/>
    <w:rsid w:val="00E96008"/>
    <w:rsid w:val="00EA32F3"/>
    <w:rsid w:val="00EA36CD"/>
    <w:rsid w:val="00EA6FA6"/>
    <w:rsid w:val="00EA72B7"/>
    <w:rsid w:val="00EA7595"/>
    <w:rsid w:val="00EB0966"/>
    <w:rsid w:val="00EB1862"/>
    <w:rsid w:val="00EB49CA"/>
    <w:rsid w:val="00EB4C67"/>
    <w:rsid w:val="00EB6DD3"/>
    <w:rsid w:val="00EB6E04"/>
    <w:rsid w:val="00EB732B"/>
    <w:rsid w:val="00EB7719"/>
    <w:rsid w:val="00EC26B7"/>
    <w:rsid w:val="00EC60B5"/>
    <w:rsid w:val="00EC6986"/>
    <w:rsid w:val="00ED194E"/>
    <w:rsid w:val="00ED32D3"/>
    <w:rsid w:val="00ED378C"/>
    <w:rsid w:val="00ED58B6"/>
    <w:rsid w:val="00EE0FF0"/>
    <w:rsid w:val="00EE1DEE"/>
    <w:rsid w:val="00EF1D29"/>
    <w:rsid w:val="00F01520"/>
    <w:rsid w:val="00F02B57"/>
    <w:rsid w:val="00F03D30"/>
    <w:rsid w:val="00F047CE"/>
    <w:rsid w:val="00F07AA1"/>
    <w:rsid w:val="00F17DAF"/>
    <w:rsid w:val="00F20759"/>
    <w:rsid w:val="00F234FB"/>
    <w:rsid w:val="00F24F7D"/>
    <w:rsid w:val="00F3282F"/>
    <w:rsid w:val="00F353DB"/>
    <w:rsid w:val="00F3632D"/>
    <w:rsid w:val="00F4197F"/>
    <w:rsid w:val="00F41C92"/>
    <w:rsid w:val="00F42D02"/>
    <w:rsid w:val="00F44665"/>
    <w:rsid w:val="00F456BE"/>
    <w:rsid w:val="00F46C6F"/>
    <w:rsid w:val="00F46E54"/>
    <w:rsid w:val="00F4777A"/>
    <w:rsid w:val="00F47BB9"/>
    <w:rsid w:val="00F539A6"/>
    <w:rsid w:val="00F53B3A"/>
    <w:rsid w:val="00F54396"/>
    <w:rsid w:val="00F566A6"/>
    <w:rsid w:val="00F56776"/>
    <w:rsid w:val="00F574DF"/>
    <w:rsid w:val="00F60913"/>
    <w:rsid w:val="00F60AEA"/>
    <w:rsid w:val="00F64CF3"/>
    <w:rsid w:val="00F65277"/>
    <w:rsid w:val="00F668DE"/>
    <w:rsid w:val="00F730E4"/>
    <w:rsid w:val="00F74D27"/>
    <w:rsid w:val="00F753D3"/>
    <w:rsid w:val="00F80D67"/>
    <w:rsid w:val="00F82980"/>
    <w:rsid w:val="00F87DAE"/>
    <w:rsid w:val="00F91D1E"/>
    <w:rsid w:val="00F9228E"/>
    <w:rsid w:val="00F932EA"/>
    <w:rsid w:val="00F940BE"/>
    <w:rsid w:val="00F944BC"/>
    <w:rsid w:val="00FA2988"/>
    <w:rsid w:val="00FA42CB"/>
    <w:rsid w:val="00FB1199"/>
    <w:rsid w:val="00FB4DC3"/>
    <w:rsid w:val="00FC5D30"/>
    <w:rsid w:val="00FC6128"/>
    <w:rsid w:val="00FC7789"/>
    <w:rsid w:val="00FD31AA"/>
    <w:rsid w:val="00FD38EB"/>
    <w:rsid w:val="00FD3CA9"/>
    <w:rsid w:val="00FD714E"/>
    <w:rsid w:val="00FE14C3"/>
    <w:rsid w:val="00FE48C2"/>
    <w:rsid w:val="00FE601B"/>
    <w:rsid w:val="00FF05BA"/>
    <w:rsid w:val="00FF15C9"/>
    <w:rsid w:val="00FF1C79"/>
    <w:rsid w:val="00FF25D9"/>
    <w:rsid w:val="00FF29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A567"/>
  <w15:docId w15:val="{DAF60E3D-52A6-4319-BD7A-BBEFCA9F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character" w:styleId="Puslapioinaosnuoroda">
    <w:name w:val="footnote reference"/>
    <w:basedOn w:val="Numatytasispastraiposriftas"/>
    <w:uiPriority w:val="99"/>
    <w:semiHidden/>
    <w:unhideWhenUsed/>
    <w:rsid w:val="00A91C95"/>
    <w:rPr>
      <w:vertAlign w:val="superscript"/>
    </w:rPr>
  </w:style>
  <w:style w:type="paragraph" w:styleId="Puslapioinaostekstas">
    <w:name w:val="footnote text"/>
    <w:basedOn w:val="prastasis"/>
    <w:link w:val="PuslapioinaostekstasDiagrama"/>
    <w:uiPriority w:val="99"/>
    <w:semiHidden/>
    <w:unhideWhenUsed/>
    <w:rsid w:val="00A91C95"/>
    <w:pPr>
      <w:spacing w:after="0" w:line="240" w:lineRule="auto"/>
    </w:pPr>
    <w:rPr>
      <w:rFonts w:eastAsia="MS Mincho"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A91C95"/>
    <w:rPr>
      <w:rFonts w:eastAsia="MS Mincho" w:cs="Times New Roman"/>
      <w:sz w:val="20"/>
      <w:szCs w:val="20"/>
    </w:rPr>
  </w:style>
  <w:style w:type="paragraph" w:customStyle="1" w:styleId="tajtip">
    <w:name w:val="tajtip"/>
    <w:basedOn w:val="prastasis"/>
    <w:rsid w:val="00715F77"/>
    <w:pPr>
      <w:spacing w:after="150" w:line="240" w:lineRule="auto"/>
    </w:pPr>
    <w:rPr>
      <w:rFonts w:eastAsia="Times New Roman" w:cs="Times New Roman"/>
      <w:szCs w:val="24"/>
      <w:lang w:eastAsia="lt-LT"/>
    </w:rPr>
  </w:style>
  <w:style w:type="paragraph" w:customStyle="1" w:styleId="taltipfb">
    <w:name w:val="taltipfb"/>
    <w:basedOn w:val="prastasis"/>
    <w:rsid w:val="007D39BC"/>
    <w:pPr>
      <w:spacing w:after="15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1663772797">
      <w:bodyDiv w:val="1"/>
      <w:marLeft w:val="0"/>
      <w:marRight w:val="0"/>
      <w:marTop w:val="0"/>
      <w:marBottom w:val="0"/>
      <w:divBdr>
        <w:top w:val="none" w:sz="0" w:space="0" w:color="auto"/>
        <w:left w:val="none" w:sz="0" w:space="0" w:color="auto"/>
        <w:bottom w:val="none" w:sz="0" w:space="0" w:color="auto"/>
        <w:right w:val="none" w:sz="0" w:space="0" w:color="auto"/>
      </w:divBdr>
      <w:divsChild>
        <w:div w:id="1421026055">
          <w:marLeft w:val="0"/>
          <w:marRight w:val="0"/>
          <w:marTop w:val="0"/>
          <w:marBottom w:val="0"/>
          <w:divBdr>
            <w:top w:val="none" w:sz="0" w:space="0" w:color="auto"/>
            <w:left w:val="none" w:sz="0" w:space="0" w:color="auto"/>
            <w:bottom w:val="none" w:sz="0" w:space="0" w:color="auto"/>
            <w:right w:val="none" w:sz="0" w:space="0" w:color="auto"/>
          </w:divBdr>
          <w:divsChild>
            <w:div w:id="295524604">
              <w:marLeft w:val="0"/>
              <w:marRight w:val="0"/>
              <w:marTop w:val="0"/>
              <w:marBottom w:val="0"/>
              <w:divBdr>
                <w:top w:val="none" w:sz="0" w:space="0" w:color="auto"/>
                <w:left w:val="none" w:sz="0" w:space="0" w:color="auto"/>
                <w:bottom w:val="none" w:sz="0" w:space="0" w:color="auto"/>
                <w:right w:val="none" w:sz="0" w:space="0" w:color="auto"/>
              </w:divBdr>
              <w:divsChild>
                <w:div w:id="1732728949">
                  <w:marLeft w:val="0"/>
                  <w:marRight w:val="0"/>
                  <w:marTop w:val="0"/>
                  <w:marBottom w:val="0"/>
                  <w:divBdr>
                    <w:top w:val="none" w:sz="0" w:space="0" w:color="auto"/>
                    <w:left w:val="none" w:sz="0" w:space="0" w:color="auto"/>
                    <w:bottom w:val="none" w:sz="0" w:space="0" w:color="auto"/>
                    <w:right w:val="none" w:sz="0" w:space="0" w:color="auto"/>
                  </w:divBdr>
                  <w:divsChild>
                    <w:div w:id="1427077625">
                      <w:marLeft w:val="0"/>
                      <w:marRight w:val="0"/>
                      <w:marTop w:val="0"/>
                      <w:marBottom w:val="0"/>
                      <w:divBdr>
                        <w:top w:val="none" w:sz="0" w:space="0" w:color="auto"/>
                        <w:left w:val="none" w:sz="0" w:space="0" w:color="auto"/>
                        <w:bottom w:val="none" w:sz="0" w:space="0" w:color="auto"/>
                        <w:right w:val="none" w:sz="0" w:space="0" w:color="auto"/>
                      </w:divBdr>
                      <w:divsChild>
                        <w:div w:id="32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082196">
      <w:bodyDiv w:val="1"/>
      <w:marLeft w:val="0"/>
      <w:marRight w:val="0"/>
      <w:marTop w:val="0"/>
      <w:marBottom w:val="0"/>
      <w:divBdr>
        <w:top w:val="none" w:sz="0" w:space="0" w:color="auto"/>
        <w:left w:val="none" w:sz="0" w:space="0" w:color="auto"/>
        <w:bottom w:val="none" w:sz="0" w:space="0" w:color="auto"/>
        <w:right w:val="none" w:sz="0" w:space="0" w:color="auto"/>
      </w:divBdr>
      <w:divsChild>
        <w:div w:id="320277011">
          <w:marLeft w:val="0"/>
          <w:marRight w:val="0"/>
          <w:marTop w:val="0"/>
          <w:marBottom w:val="0"/>
          <w:divBdr>
            <w:top w:val="none" w:sz="0" w:space="0" w:color="auto"/>
            <w:left w:val="none" w:sz="0" w:space="0" w:color="auto"/>
            <w:bottom w:val="none" w:sz="0" w:space="0" w:color="auto"/>
            <w:right w:val="none" w:sz="0" w:space="0" w:color="auto"/>
          </w:divBdr>
          <w:divsChild>
            <w:div w:id="713626866">
              <w:marLeft w:val="0"/>
              <w:marRight w:val="0"/>
              <w:marTop w:val="0"/>
              <w:marBottom w:val="0"/>
              <w:divBdr>
                <w:top w:val="none" w:sz="0" w:space="0" w:color="auto"/>
                <w:left w:val="none" w:sz="0" w:space="0" w:color="auto"/>
                <w:bottom w:val="none" w:sz="0" w:space="0" w:color="auto"/>
                <w:right w:val="none" w:sz="0" w:space="0" w:color="auto"/>
              </w:divBdr>
              <w:divsChild>
                <w:div w:id="818957065">
                  <w:marLeft w:val="0"/>
                  <w:marRight w:val="0"/>
                  <w:marTop w:val="0"/>
                  <w:marBottom w:val="0"/>
                  <w:divBdr>
                    <w:top w:val="none" w:sz="0" w:space="0" w:color="auto"/>
                    <w:left w:val="none" w:sz="0" w:space="0" w:color="auto"/>
                    <w:bottom w:val="none" w:sz="0" w:space="0" w:color="auto"/>
                    <w:right w:val="none" w:sz="0" w:space="0" w:color="auto"/>
                  </w:divBdr>
                  <w:divsChild>
                    <w:div w:id="862014133">
                      <w:marLeft w:val="0"/>
                      <w:marRight w:val="0"/>
                      <w:marTop w:val="0"/>
                      <w:marBottom w:val="0"/>
                      <w:divBdr>
                        <w:top w:val="none" w:sz="0" w:space="0" w:color="auto"/>
                        <w:left w:val="none" w:sz="0" w:space="0" w:color="auto"/>
                        <w:bottom w:val="none" w:sz="0" w:space="0" w:color="auto"/>
                        <w:right w:val="none" w:sz="0" w:space="0" w:color="auto"/>
                      </w:divBdr>
                      <w:divsChild>
                        <w:div w:id="16063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8D406-B3AF-4B10-ABBD-35299BA0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16696</Words>
  <Characters>9517</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26161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2020-04-20T13:07:00Z</dcterms:created>
  <dc:creator>Jūratė Peciukonytė</dc:creator>
  <cp:lastModifiedBy>Jevgenijus Kuzma</cp:lastModifiedBy>
  <cp:lastPrinted>2018-03-29T06:10:00Z</cp:lastPrinted>
  <dcterms:modified xsi:type="dcterms:W3CDTF">2020-05-07T08:28:00Z</dcterms:modified>
  <cp:revision>24</cp:revision>
</cp:coreProperties>
</file>