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Default="00ED0642"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bookmarkStart w:id="0" w:name="_GoBack"/>
      <w:bookmarkEnd w:id="0"/>
      <w:r>
        <w:rPr>
          <w:rFonts w:ascii="Times New Roman" w:eastAsia="Times New Roman" w:hAnsi="Times New Roman" w:cs="Times New Roman"/>
          <w:b/>
          <w:bCs/>
          <w:caps/>
          <w:kern w:val="3"/>
          <w:sz w:val="24"/>
          <w:szCs w:val="24"/>
          <w:lang w:val="en-US" w:eastAsia="zh-CN"/>
        </w:rPr>
        <w:t>DERINIMO PAŽYMA</w:t>
      </w:r>
    </w:p>
    <w:p w:rsidR="00ED0642" w:rsidRPr="00127166" w:rsidRDefault="00FD1D5E" w:rsidP="00ED0642">
      <w:pPr>
        <w:spacing w:after="0" w:line="240" w:lineRule="auto"/>
        <w:jc w:val="center"/>
        <w:rPr>
          <w:rFonts w:ascii="Times New Roman" w:hAnsi="Times New Roman" w:cs="Times New Roman"/>
          <w:b/>
          <w:sz w:val="24"/>
          <w:szCs w:val="24"/>
        </w:rPr>
      </w:pPr>
      <w:bookmarkStart w:id="1" w:name="_Hlk513734621"/>
      <w:r>
        <w:rPr>
          <w:rFonts w:ascii="Times New Roman" w:eastAsia="Times New Roman" w:hAnsi="Times New Roman" w:cs="Times New Roman"/>
          <w:b/>
          <w:bCs/>
          <w:caps/>
          <w:kern w:val="3"/>
          <w:sz w:val="24"/>
          <w:szCs w:val="24"/>
          <w:lang w:val="en-US" w:eastAsia="zh-CN"/>
        </w:rPr>
        <w:t xml:space="preserve">DĖL Lietuvos respublikos </w:t>
      </w:r>
      <w:r w:rsidR="00ED0642" w:rsidRPr="00127166">
        <w:rPr>
          <w:rFonts w:ascii="Times New Roman" w:hAnsi="Times New Roman" w:cs="Times New Roman"/>
          <w:b/>
          <w:sz w:val="24"/>
          <w:szCs w:val="24"/>
        </w:rPr>
        <w:t xml:space="preserve">VARTOTOJŲ TEISIŲ APSAUGOS ĮSTATYMO NR. I-657 </w:t>
      </w:r>
      <w:r w:rsidR="00ED0642" w:rsidRPr="00132F5B">
        <w:rPr>
          <w:rFonts w:ascii="Times New Roman" w:hAnsi="Times New Roman" w:cs="Times New Roman"/>
          <w:b/>
          <w:sz w:val="24"/>
          <w:szCs w:val="24"/>
        </w:rPr>
        <w:t>2, 12, 29</w:t>
      </w:r>
      <w:r w:rsidR="00ED0642" w:rsidRPr="00132F5B">
        <w:rPr>
          <w:rFonts w:ascii="Times New Roman" w:hAnsi="Times New Roman" w:cs="Times New Roman"/>
          <w:b/>
          <w:sz w:val="24"/>
          <w:szCs w:val="24"/>
          <w:vertAlign w:val="superscript"/>
        </w:rPr>
        <w:t>4</w:t>
      </w:r>
      <w:r w:rsidR="00ED0642" w:rsidRPr="00132F5B">
        <w:rPr>
          <w:rFonts w:ascii="Times New Roman" w:hAnsi="Times New Roman" w:cs="Times New Roman"/>
          <w:b/>
          <w:sz w:val="24"/>
          <w:szCs w:val="24"/>
        </w:rPr>
        <w:t>, 40</w:t>
      </w:r>
      <w:r w:rsidR="00ED0642" w:rsidRPr="00127166">
        <w:rPr>
          <w:rFonts w:ascii="Times New Roman" w:hAnsi="Times New Roman" w:cs="Times New Roman"/>
          <w:b/>
          <w:sz w:val="24"/>
          <w:szCs w:val="24"/>
        </w:rPr>
        <w:t xml:space="preserve"> STRAIPSNIŲ</w:t>
      </w:r>
      <w:r w:rsidR="00ED0642">
        <w:rPr>
          <w:rFonts w:ascii="Times New Roman" w:hAnsi="Times New Roman" w:cs="Times New Roman"/>
          <w:b/>
          <w:sz w:val="24"/>
          <w:szCs w:val="24"/>
        </w:rPr>
        <w:t>,</w:t>
      </w:r>
      <w:r w:rsidR="00ED0642" w:rsidRPr="00127166">
        <w:rPr>
          <w:rFonts w:ascii="Times New Roman" w:hAnsi="Times New Roman" w:cs="Times New Roman"/>
          <w:b/>
          <w:sz w:val="24"/>
          <w:szCs w:val="24"/>
        </w:rPr>
        <w:t xml:space="preserve"> PRIEDO PAKEITIMO IR ĮSTATYMO PAPILDYMO </w:t>
      </w:r>
      <w:r w:rsidR="00ED0642" w:rsidRPr="00132F5B">
        <w:rPr>
          <w:rFonts w:ascii="Times New Roman" w:hAnsi="Times New Roman" w:cs="Times New Roman"/>
          <w:b/>
          <w:sz w:val="24"/>
          <w:szCs w:val="24"/>
        </w:rPr>
        <w:t>44</w:t>
      </w:r>
      <w:r w:rsidR="00ED0642" w:rsidRPr="00132F5B">
        <w:rPr>
          <w:rFonts w:ascii="Times New Roman" w:hAnsi="Times New Roman" w:cs="Times New Roman"/>
          <w:b/>
          <w:sz w:val="24"/>
          <w:szCs w:val="24"/>
          <w:vertAlign w:val="superscript"/>
        </w:rPr>
        <w:t>1</w:t>
      </w:r>
      <w:r w:rsidR="00ED0642" w:rsidRPr="00132F5B">
        <w:rPr>
          <w:rFonts w:ascii="Times New Roman" w:hAnsi="Times New Roman" w:cs="Times New Roman"/>
          <w:b/>
          <w:sz w:val="24"/>
          <w:szCs w:val="24"/>
        </w:rPr>
        <w:t xml:space="preserve"> STRAIPSNIU</w:t>
      </w:r>
      <w:r w:rsidR="00ED0642" w:rsidRPr="00127166">
        <w:rPr>
          <w:rFonts w:ascii="Times New Roman" w:hAnsi="Times New Roman" w:cs="Times New Roman"/>
          <w:b/>
          <w:sz w:val="24"/>
          <w:szCs w:val="24"/>
        </w:rPr>
        <w:t xml:space="preserve"> </w:t>
      </w:r>
      <w:r w:rsidR="00ED0642">
        <w:rPr>
          <w:rFonts w:ascii="Times New Roman" w:hAnsi="Times New Roman" w:cs="Times New Roman"/>
          <w:b/>
          <w:sz w:val="24"/>
          <w:szCs w:val="24"/>
        </w:rPr>
        <w:t xml:space="preserve">IR </w:t>
      </w:r>
      <w:r w:rsidR="00ED0642" w:rsidRPr="00127166">
        <w:rPr>
          <w:rFonts w:ascii="Times New Roman" w:hAnsi="Times New Roman" w:cs="Times New Roman"/>
          <w:b/>
          <w:sz w:val="24"/>
          <w:szCs w:val="24"/>
        </w:rPr>
        <w:t>DEŠIMTUOJU SKIRSNIU</w:t>
      </w:r>
    </w:p>
    <w:p w:rsidR="00FD1D5E" w:rsidRPr="00ED5701" w:rsidRDefault="00ED0642" w:rsidP="00ED0642">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Pr>
          <w:rFonts w:ascii="Times New Roman" w:hAnsi="Times New Roman" w:cs="Times New Roman"/>
          <w:b/>
          <w:sz w:val="24"/>
          <w:szCs w:val="24"/>
        </w:rPr>
        <w:t>ĮSTATYMO</w:t>
      </w:r>
      <w:r w:rsidRPr="00ED5701">
        <w:rPr>
          <w:rFonts w:ascii="Times New Roman" w:eastAsia="Times New Roman" w:hAnsi="Times New Roman" w:cs="Times New Roman"/>
          <w:b/>
          <w:bCs/>
          <w:caps/>
          <w:kern w:val="3"/>
          <w:sz w:val="24"/>
          <w:szCs w:val="24"/>
          <w:lang w:val="en-US" w:eastAsia="zh-CN"/>
        </w:rPr>
        <w:t xml:space="preserve"> </w:t>
      </w:r>
      <w:r w:rsidR="00FD1D5E" w:rsidRPr="00ED5701">
        <w:rPr>
          <w:rFonts w:ascii="Times New Roman" w:eastAsia="Times New Roman" w:hAnsi="Times New Roman" w:cs="Times New Roman"/>
          <w:b/>
          <w:bCs/>
          <w:caps/>
          <w:kern w:val="3"/>
          <w:sz w:val="24"/>
          <w:szCs w:val="24"/>
          <w:lang w:val="en-US" w:eastAsia="zh-CN"/>
        </w:rPr>
        <w:t>PROJEKT</w:t>
      </w:r>
      <w:bookmarkEnd w:id="1"/>
      <w:r w:rsidR="00FD1D5E" w:rsidRPr="00ED5701">
        <w:rPr>
          <w:rFonts w:ascii="Times New Roman" w:eastAsia="Times New Roman" w:hAnsi="Times New Roman" w:cs="Times New Roman"/>
          <w:b/>
          <w:bCs/>
          <w:caps/>
          <w:kern w:val="3"/>
          <w:sz w:val="24"/>
          <w:szCs w:val="24"/>
          <w:lang w:val="en-US" w:eastAsia="zh-CN"/>
        </w:rPr>
        <w:t>O</w:t>
      </w:r>
      <w:r w:rsidR="00FD1D5E">
        <w:rPr>
          <w:rFonts w:ascii="Times New Roman" w:eastAsia="Times New Roman" w:hAnsi="Times New Roman" w:cs="Times New Roman"/>
          <w:b/>
          <w:bCs/>
          <w:caps/>
          <w:kern w:val="3"/>
          <w:sz w:val="24"/>
          <w:szCs w:val="24"/>
          <w:lang w:val="en-US" w:eastAsia="zh-CN"/>
        </w:rPr>
        <w:t xml:space="preserve"> </w:t>
      </w:r>
    </w:p>
    <w:p w:rsidR="00FD1D5E" w:rsidRPr="00ED5701"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p>
    <w:tbl>
      <w:tblPr>
        <w:tblStyle w:val="Lentelstinklelis"/>
        <w:tblW w:w="14737" w:type="dxa"/>
        <w:tblLook w:val="04A0" w:firstRow="1" w:lastRow="0" w:firstColumn="1" w:lastColumn="0" w:noHBand="0" w:noVBand="1"/>
      </w:tblPr>
      <w:tblGrid>
        <w:gridCol w:w="560"/>
        <w:gridCol w:w="1635"/>
        <w:gridCol w:w="6164"/>
        <w:gridCol w:w="6378"/>
      </w:tblGrid>
      <w:tr w:rsidR="00FD1D5E" w:rsidRPr="00835D10" w:rsidTr="00614D4E">
        <w:tc>
          <w:tcPr>
            <w:tcW w:w="560" w:type="dxa"/>
          </w:tcPr>
          <w:p w:rsidR="00FD1D5E" w:rsidRPr="00E55D90" w:rsidRDefault="00FD1D5E" w:rsidP="002E6C10">
            <w:pPr>
              <w:tabs>
                <w:tab w:val="left" w:pos="449"/>
              </w:tabs>
              <w:spacing w:after="80" w:line="264" w:lineRule="auto"/>
              <w:jc w:val="center"/>
              <w:rPr>
                <w:rFonts w:ascii="Times New Roman" w:hAnsi="Times New Roman" w:cs="Times New Roman"/>
                <w:bCs/>
                <w:sz w:val="24"/>
                <w:szCs w:val="24"/>
              </w:rPr>
            </w:pPr>
            <w:r w:rsidRPr="00E55D90">
              <w:rPr>
                <w:rFonts w:ascii="Times New Roman" w:hAnsi="Times New Roman" w:cs="Times New Roman"/>
                <w:bCs/>
                <w:sz w:val="24"/>
                <w:szCs w:val="24"/>
              </w:rPr>
              <w:t>Eil. Nr.</w:t>
            </w:r>
          </w:p>
        </w:tc>
        <w:tc>
          <w:tcPr>
            <w:tcW w:w="1635"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hAnsi="Times New Roman" w:cs="Times New Roman"/>
                <w:bCs/>
                <w:sz w:val="24"/>
                <w:szCs w:val="24"/>
              </w:rPr>
              <w:t>Institucija, pateikusi pastabas ir  pasiūlymus</w:t>
            </w:r>
          </w:p>
        </w:tc>
        <w:tc>
          <w:tcPr>
            <w:tcW w:w="6164"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eastAsia="Times New Roman" w:hAnsi="Times New Roman" w:cs="Times New Roman"/>
                <w:sz w:val="24"/>
                <w:szCs w:val="24"/>
              </w:rPr>
              <w:t>Pastabos ir pasiūlymai</w:t>
            </w:r>
          </w:p>
        </w:tc>
        <w:tc>
          <w:tcPr>
            <w:tcW w:w="6378" w:type="dxa"/>
          </w:tcPr>
          <w:p w:rsidR="00FD1D5E" w:rsidRPr="00E55D90" w:rsidRDefault="00FD1D5E" w:rsidP="002E6C10">
            <w:pPr>
              <w:spacing w:line="276" w:lineRule="auto"/>
              <w:jc w:val="center"/>
              <w:rPr>
                <w:rFonts w:ascii="Times New Roman" w:hAnsi="Times New Roman" w:cs="Times New Roman"/>
                <w:b/>
                <w:sz w:val="24"/>
                <w:szCs w:val="24"/>
              </w:rPr>
            </w:pPr>
            <w:r w:rsidRPr="00E55D90">
              <w:rPr>
                <w:rFonts w:ascii="Times New Roman" w:eastAsia="Times New Roman" w:hAnsi="Times New Roman" w:cs="Times New Roman"/>
                <w:sz w:val="24"/>
                <w:szCs w:val="24"/>
              </w:rPr>
              <w:t>Pastabų ir pasiūlymų įvertinimas</w:t>
            </w:r>
          </w:p>
        </w:tc>
      </w:tr>
      <w:tr w:rsidR="00FD1D5E" w:rsidRPr="00835D10" w:rsidTr="00614D4E">
        <w:tc>
          <w:tcPr>
            <w:tcW w:w="560" w:type="dxa"/>
          </w:tcPr>
          <w:p w:rsidR="00FD1D5E" w:rsidRPr="00E55D90" w:rsidRDefault="00FD1D5E" w:rsidP="002E6C10">
            <w:pPr>
              <w:autoSpaceDE w:val="0"/>
              <w:autoSpaceDN w:val="0"/>
              <w:adjustRightInd w:val="0"/>
              <w:spacing w:line="264" w:lineRule="auto"/>
              <w:rPr>
                <w:rFonts w:ascii="Times New Roman" w:hAnsi="Times New Roman" w:cs="Times New Roman"/>
                <w:bCs/>
                <w:sz w:val="24"/>
                <w:szCs w:val="24"/>
              </w:rPr>
            </w:pPr>
            <w:r w:rsidRPr="00E55D90">
              <w:rPr>
                <w:rFonts w:ascii="Times New Roman" w:hAnsi="Times New Roman" w:cs="Times New Roman"/>
                <w:bCs/>
                <w:sz w:val="24"/>
                <w:szCs w:val="24"/>
              </w:rPr>
              <w:t xml:space="preserve">1. </w:t>
            </w:r>
          </w:p>
        </w:tc>
        <w:tc>
          <w:tcPr>
            <w:tcW w:w="1635" w:type="dxa"/>
          </w:tcPr>
          <w:p w:rsidR="00FD1D5E" w:rsidRPr="00614D4E" w:rsidRDefault="00FD1D5E" w:rsidP="00614D4E">
            <w:pPr>
              <w:rPr>
                <w:rFonts w:ascii="Times New Roman" w:hAnsi="Times New Roman" w:cs="Times New Roman"/>
                <w:sz w:val="24"/>
                <w:szCs w:val="24"/>
              </w:rPr>
            </w:pPr>
            <w:r w:rsidRPr="00614D4E">
              <w:rPr>
                <w:rFonts w:ascii="Times New Roman" w:hAnsi="Times New Roman" w:cs="Times New Roman"/>
                <w:sz w:val="24"/>
                <w:szCs w:val="24"/>
              </w:rPr>
              <w:t xml:space="preserve">Lietuvos </w:t>
            </w:r>
            <w:r w:rsidR="00ED0642">
              <w:rPr>
                <w:rFonts w:ascii="Times New Roman" w:hAnsi="Times New Roman" w:cs="Times New Roman"/>
                <w:sz w:val="24"/>
                <w:szCs w:val="24"/>
              </w:rPr>
              <w:t>bankas</w:t>
            </w:r>
          </w:p>
          <w:p w:rsidR="00FD1D5E" w:rsidRPr="00614D4E" w:rsidRDefault="00FD1D5E" w:rsidP="00ED0642">
            <w:pPr>
              <w:rPr>
                <w:rFonts w:ascii="Times New Roman" w:hAnsi="Times New Roman" w:cs="Times New Roman"/>
                <w:sz w:val="24"/>
                <w:szCs w:val="24"/>
              </w:rPr>
            </w:pPr>
            <w:r w:rsidRPr="00614D4E">
              <w:rPr>
                <w:rFonts w:ascii="Times New Roman" w:hAnsi="Times New Roman" w:cs="Times New Roman"/>
                <w:sz w:val="24"/>
                <w:szCs w:val="24"/>
              </w:rPr>
              <w:t>(2019-06-0</w:t>
            </w:r>
            <w:r w:rsidR="00ED0642">
              <w:rPr>
                <w:rFonts w:ascii="Times New Roman" w:hAnsi="Times New Roman" w:cs="Times New Roman"/>
                <w:sz w:val="24"/>
                <w:szCs w:val="24"/>
              </w:rPr>
              <w:t xml:space="preserve">3 </w:t>
            </w:r>
            <w:r w:rsidR="00ED0642" w:rsidRPr="00ED0642">
              <w:rPr>
                <w:rFonts w:ascii="Times New Roman" w:hAnsi="Times New Roman" w:cs="Times New Roman"/>
                <w:sz w:val="24"/>
                <w:szCs w:val="24"/>
              </w:rPr>
              <w:t xml:space="preserve">raštas Nr. </w:t>
            </w:r>
            <w:r w:rsidR="00ED0642" w:rsidRPr="00ED0642">
              <w:rPr>
                <w:rFonts w:ascii="Times New Roman" w:hAnsi="Times New Roman" w:cs="Times New Roman"/>
                <w:sz w:val="24"/>
                <w:szCs w:val="24"/>
              </w:rPr>
              <w:fldChar w:fldCharType="begin"/>
            </w:r>
            <w:r w:rsidR="00ED0642" w:rsidRPr="00ED0642">
              <w:rPr>
                <w:rFonts w:ascii="Times New Roman" w:hAnsi="Times New Roman" w:cs="Times New Roman"/>
                <w:sz w:val="24"/>
                <w:szCs w:val="24"/>
              </w:rPr>
              <w:instrText xml:space="preserve"> DOCPROPERTY  "reg_nr" </w:instrText>
            </w:r>
            <w:r w:rsidR="00ED0642" w:rsidRPr="00ED0642">
              <w:rPr>
                <w:rFonts w:ascii="Times New Roman" w:hAnsi="Times New Roman" w:cs="Times New Roman"/>
                <w:sz w:val="24"/>
                <w:szCs w:val="24"/>
              </w:rPr>
              <w:fldChar w:fldCharType="separate"/>
            </w:r>
            <w:r w:rsidR="00ED0642" w:rsidRPr="00ED0642">
              <w:rPr>
                <w:rFonts w:ascii="Times New Roman" w:hAnsi="Times New Roman" w:cs="Times New Roman"/>
                <w:sz w:val="24"/>
                <w:szCs w:val="24"/>
              </w:rPr>
              <w:t>S 2019/(21.4.E-2101)-12-2958</w:t>
            </w:r>
            <w:r w:rsidR="00ED0642" w:rsidRPr="00ED0642">
              <w:rPr>
                <w:rFonts w:ascii="Times New Roman" w:hAnsi="Times New Roman" w:cs="Times New Roman"/>
                <w:sz w:val="24"/>
                <w:szCs w:val="24"/>
              </w:rPr>
              <w:fldChar w:fldCharType="end"/>
            </w:r>
            <w:r w:rsidR="00ED0642" w:rsidRPr="00ED0642">
              <w:rPr>
                <w:rFonts w:ascii="Times New Roman" w:hAnsi="Times New Roman" w:cs="Times New Roman"/>
                <w:sz w:val="24"/>
                <w:szCs w:val="24"/>
              </w:rPr>
              <w:t>)</w:t>
            </w:r>
          </w:p>
        </w:tc>
        <w:tc>
          <w:tcPr>
            <w:tcW w:w="6164" w:type="dxa"/>
          </w:tcPr>
          <w:p w:rsidR="00FD1D5E" w:rsidRPr="00ED0642" w:rsidRDefault="00ED0642" w:rsidP="00ED0642">
            <w:pPr>
              <w:widowControl w:val="0"/>
              <w:tabs>
                <w:tab w:val="left" w:pos="993"/>
              </w:tabs>
              <w:autoSpaceDE w:val="0"/>
              <w:autoSpaceDN w:val="0"/>
              <w:adjustRightInd w:val="0"/>
              <w:jc w:val="both"/>
              <w:rPr>
                <w:rFonts w:ascii="Times New Roman" w:hAnsi="Times New Roman" w:cs="Times New Roman"/>
                <w:sz w:val="24"/>
                <w:szCs w:val="24"/>
              </w:rPr>
            </w:pPr>
            <w:r w:rsidRPr="00ED0642">
              <w:rPr>
                <w:rFonts w:ascii="Times New Roman" w:hAnsi="Times New Roman" w:cs="Times New Roman"/>
                <w:sz w:val="24"/>
                <w:szCs w:val="24"/>
              </w:rPr>
              <w:t>Lietuvos bankas siūlė ir buvo pasirengęs perimti ne visų nuotoliniu būdu teikiamų finansinių paslaugų priežiūrą pagal VTAĮ 8 skirsnį, bet tik tų finansinių paslaugų, kurias teikia Lietuvos banko prižiūrimi finansų rinkos dalyviai, numatyti LBĮ 42 straipsnio 1 dalyje. Tačiau pagal VTAĮ projekt</w:t>
            </w:r>
            <w:r>
              <w:rPr>
                <w:rFonts w:ascii="Times New Roman" w:hAnsi="Times New Roman" w:cs="Times New Roman"/>
                <w:sz w:val="24"/>
                <w:szCs w:val="24"/>
              </w:rPr>
              <w:t>e</w:t>
            </w:r>
            <w:r w:rsidRPr="00ED0642">
              <w:rPr>
                <w:rFonts w:ascii="Times New Roman" w:hAnsi="Times New Roman" w:cs="Times New Roman"/>
                <w:sz w:val="24"/>
                <w:szCs w:val="24"/>
              </w:rPr>
              <w:t xml:space="preserve"> ir Aiškinamajame rašte pateiktus teiginius matyti, kad VTAĮ projektu Lietuvos bankui priskiriama ir Lietuvos banko neprižiūrimų subjektų nuotoliniu būdu teikiamų finansinių paslaugų priežiūra, nors atsakomybės taikymo klausimas šiems subjektams VTAĮ projekte nėra numatytas. Taigi, pagal siūlomus pakeitimus, kitiems Lietuvos banko neprižiūrimiems subjektams už VTAĮ 8 skirsnio pažeidimus atsakomybė iš viso nebūtų taikoma. </w:t>
            </w:r>
          </w:p>
        </w:tc>
        <w:tc>
          <w:tcPr>
            <w:tcW w:w="6378" w:type="dxa"/>
          </w:tcPr>
          <w:p w:rsidR="00ED0642" w:rsidRPr="00E55D90" w:rsidRDefault="00E021C6" w:rsidP="00ED0642">
            <w:pPr>
              <w:jc w:val="both"/>
              <w:rPr>
                <w:rFonts w:ascii="Times New Roman" w:hAnsi="Times New Roman" w:cs="Times New Roman"/>
                <w:sz w:val="24"/>
                <w:szCs w:val="24"/>
              </w:rPr>
            </w:pPr>
            <w:r>
              <w:rPr>
                <w:rFonts w:ascii="Times New Roman" w:hAnsi="Times New Roman" w:cs="Times New Roman"/>
                <w:b/>
                <w:sz w:val="24"/>
                <w:szCs w:val="24"/>
              </w:rPr>
              <w:t>A</w:t>
            </w:r>
            <w:r w:rsidR="006E7B10">
              <w:rPr>
                <w:rFonts w:ascii="Times New Roman" w:hAnsi="Times New Roman" w:cs="Times New Roman"/>
                <w:b/>
                <w:sz w:val="24"/>
                <w:szCs w:val="24"/>
              </w:rPr>
              <w:t>tsižvelgta</w:t>
            </w:r>
            <w:r>
              <w:rPr>
                <w:rFonts w:ascii="Times New Roman" w:hAnsi="Times New Roman" w:cs="Times New Roman"/>
                <w:b/>
                <w:sz w:val="24"/>
                <w:szCs w:val="24"/>
              </w:rPr>
              <w:t xml:space="preserve"> iš dalies</w:t>
            </w:r>
            <w:r w:rsidR="006E7B10">
              <w:rPr>
                <w:rFonts w:ascii="Times New Roman" w:hAnsi="Times New Roman" w:cs="Times New Roman"/>
                <w:b/>
                <w:sz w:val="24"/>
                <w:szCs w:val="24"/>
              </w:rPr>
              <w:t>.</w:t>
            </w:r>
            <w:r w:rsidR="006E7B10" w:rsidRPr="00FD3D85">
              <w:rPr>
                <w:rFonts w:ascii="Times New Roman" w:hAnsi="Times New Roman" w:cs="Times New Roman"/>
                <w:sz w:val="24"/>
                <w:szCs w:val="24"/>
              </w:rPr>
              <w:t xml:space="preserve"> </w:t>
            </w:r>
            <w:r w:rsidR="00745393">
              <w:rPr>
                <w:rFonts w:ascii="Times New Roman" w:hAnsi="Times New Roman" w:cs="Times New Roman"/>
                <w:sz w:val="24"/>
                <w:szCs w:val="24"/>
              </w:rPr>
              <w:t xml:space="preserve">Projektas patikslintas, </w:t>
            </w:r>
            <w:r w:rsidR="00A83892">
              <w:rPr>
                <w:rFonts w:ascii="Times New Roman" w:hAnsi="Times New Roman" w:cs="Times New Roman"/>
                <w:sz w:val="24"/>
                <w:szCs w:val="24"/>
              </w:rPr>
              <w:t>suteikiant</w:t>
            </w:r>
            <w:r w:rsidR="00745393">
              <w:rPr>
                <w:rFonts w:ascii="Times New Roman" w:hAnsi="Times New Roman" w:cs="Times New Roman"/>
                <w:sz w:val="24"/>
                <w:szCs w:val="24"/>
              </w:rPr>
              <w:t xml:space="preserve"> </w:t>
            </w:r>
            <w:r w:rsidR="00745393" w:rsidRPr="00ED0642">
              <w:rPr>
                <w:rFonts w:ascii="Times New Roman" w:hAnsi="Times New Roman" w:cs="Times New Roman"/>
                <w:sz w:val="24"/>
                <w:szCs w:val="24"/>
              </w:rPr>
              <w:t>Lietuvos bank</w:t>
            </w:r>
            <w:r w:rsidR="00A83892">
              <w:rPr>
                <w:rFonts w:ascii="Times New Roman" w:hAnsi="Times New Roman" w:cs="Times New Roman"/>
                <w:sz w:val="24"/>
                <w:szCs w:val="24"/>
              </w:rPr>
              <w:t xml:space="preserve">ui įgaliojimus taikyti poveikio priemones visiems </w:t>
            </w:r>
            <w:r w:rsidR="00A83892" w:rsidRPr="004A050E">
              <w:rPr>
                <w:rFonts w:ascii="Times New Roman" w:hAnsi="Times New Roman" w:cs="Times New Roman"/>
                <w:color w:val="000000"/>
                <w:sz w:val="24"/>
                <w:szCs w:val="24"/>
              </w:rPr>
              <w:t>finansinių paslaugų teikėjams ar jų tarpininkams</w:t>
            </w:r>
            <w:r w:rsidR="00A83892">
              <w:rPr>
                <w:rFonts w:ascii="Times New Roman" w:hAnsi="Times New Roman" w:cs="Times New Roman"/>
                <w:color w:val="000000"/>
                <w:sz w:val="24"/>
                <w:szCs w:val="24"/>
              </w:rPr>
              <w:t>.</w:t>
            </w:r>
            <w:r w:rsidR="00A83892" w:rsidRPr="004A050E">
              <w:rPr>
                <w:rFonts w:ascii="Times New Roman" w:hAnsi="Times New Roman" w:cs="Times New Roman"/>
                <w:color w:val="000000"/>
                <w:sz w:val="24"/>
                <w:szCs w:val="24"/>
              </w:rPr>
              <w:t xml:space="preserve"> </w:t>
            </w:r>
          </w:p>
          <w:p w:rsidR="00ED0642" w:rsidRDefault="00B601AB" w:rsidP="00745393">
            <w:pPr>
              <w:jc w:val="both"/>
              <w:rPr>
                <w:rFonts w:ascii="Times New Roman" w:hAnsi="Times New Roman" w:cs="Times New Roman"/>
                <w:sz w:val="24"/>
                <w:szCs w:val="24"/>
              </w:rPr>
            </w:pPr>
            <w:r>
              <w:rPr>
                <w:rFonts w:ascii="Times New Roman" w:hAnsi="Times New Roman" w:cs="Times New Roman"/>
                <w:sz w:val="24"/>
                <w:szCs w:val="24"/>
              </w:rPr>
              <w:t xml:space="preserve">Vartotojų teisių apsaugos įstatymo aštuntasis skirsnis įgyvendina </w:t>
            </w:r>
            <w:r w:rsidR="00ED0642" w:rsidRPr="00745393">
              <w:rPr>
                <w:rFonts w:ascii="Times New Roman" w:hAnsi="Times New Roman" w:cs="Times New Roman"/>
                <w:sz w:val="24"/>
                <w:szCs w:val="24"/>
              </w:rPr>
              <w:t>Europos Parlamento ir Tarybos direktyv</w:t>
            </w:r>
            <w:r>
              <w:rPr>
                <w:rFonts w:ascii="Times New Roman" w:hAnsi="Times New Roman" w:cs="Times New Roman"/>
                <w:sz w:val="24"/>
                <w:szCs w:val="24"/>
              </w:rPr>
              <w:t>ą</w:t>
            </w:r>
            <w:r w:rsidR="00ED0642" w:rsidRPr="00745393">
              <w:rPr>
                <w:rFonts w:ascii="Times New Roman" w:hAnsi="Times New Roman" w:cs="Times New Roman"/>
                <w:sz w:val="24"/>
                <w:szCs w:val="24"/>
              </w:rPr>
              <w:t xml:space="preserve"> 2002/65/EB</w:t>
            </w:r>
            <w:r>
              <w:rPr>
                <w:rFonts w:ascii="Times New Roman" w:hAnsi="Times New Roman" w:cs="Times New Roman"/>
                <w:sz w:val="24"/>
                <w:szCs w:val="24"/>
              </w:rPr>
              <w:t xml:space="preserve">. Pagal šią direktyvą </w:t>
            </w:r>
            <w:r w:rsidR="00ED0642" w:rsidRPr="00745393">
              <w:rPr>
                <w:rFonts w:ascii="Times New Roman" w:hAnsi="Times New Roman" w:cs="Times New Roman"/>
                <w:sz w:val="24"/>
                <w:szCs w:val="24"/>
              </w:rPr>
              <w:t>finansinė paslauga – tai bet kokia bankinio, kreditinio, draudimo, asmeninės pensijos, investicinio ar moka</w:t>
            </w:r>
            <w:r>
              <w:rPr>
                <w:rFonts w:ascii="Times New Roman" w:hAnsi="Times New Roman" w:cs="Times New Roman"/>
                <w:sz w:val="24"/>
                <w:szCs w:val="24"/>
              </w:rPr>
              <w:t>mojo pobūdžio paslauga (2 straipsnio 2 dalis)</w:t>
            </w:r>
            <w:r w:rsidR="00ED0642" w:rsidRPr="00745393">
              <w:rPr>
                <w:rFonts w:ascii="Times New Roman" w:hAnsi="Times New Roman" w:cs="Times New Roman"/>
                <w:sz w:val="24"/>
                <w:szCs w:val="24"/>
              </w:rPr>
              <w:t>.</w:t>
            </w:r>
          </w:p>
          <w:p w:rsidR="00AC1E4B" w:rsidRDefault="00AC1E4B" w:rsidP="00AC1E4B">
            <w:pPr>
              <w:jc w:val="both"/>
              <w:rPr>
                <w:rFonts w:ascii="Times New Roman" w:hAnsi="Times New Roman" w:cs="Times New Roman"/>
                <w:sz w:val="24"/>
                <w:szCs w:val="24"/>
              </w:rPr>
            </w:pPr>
            <w:r>
              <w:rPr>
                <w:rFonts w:ascii="Times New Roman" w:hAnsi="Times New Roman" w:cs="Times New Roman"/>
                <w:sz w:val="24"/>
                <w:szCs w:val="24"/>
              </w:rPr>
              <w:t>Pažymėtina, kad būtų netikslinga ir neefektyvu n</w:t>
            </w:r>
            <w:r w:rsidRPr="00E021C6">
              <w:rPr>
                <w:rFonts w:ascii="Times New Roman" w:hAnsi="Times New Roman" w:cs="Times New Roman"/>
                <w:sz w:val="24"/>
                <w:szCs w:val="24"/>
              </w:rPr>
              <w:t xml:space="preserve">uotoliniu būdu sudaromų finansinių paslaugų </w:t>
            </w:r>
            <w:r w:rsidR="00A83892">
              <w:rPr>
                <w:rFonts w:ascii="Times New Roman" w:hAnsi="Times New Roman" w:cs="Times New Roman"/>
                <w:sz w:val="24"/>
                <w:szCs w:val="24"/>
              </w:rPr>
              <w:t xml:space="preserve">teikimo </w:t>
            </w:r>
            <w:r w:rsidRPr="00E021C6">
              <w:rPr>
                <w:rFonts w:ascii="Times New Roman" w:hAnsi="Times New Roman" w:cs="Times New Roman"/>
                <w:sz w:val="24"/>
                <w:szCs w:val="24"/>
              </w:rPr>
              <w:t>sutarčių priežiūr</w:t>
            </w:r>
            <w:r>
              <w:rPr>
                <w:rFonts w:ascii="Times New Roman" w:hAnsi="Times New Roman" w:cs="Times New Roman"/>
                <w:sz w:val="24"/>
                <w:szCs w:val="24"/>
              </w:rPr>
              <w:t>ą</w:t>
            </w:r>
            <w:r w:rsidRPr="00E021C6">
              <w:rPr>
                <w:rFonts w:ascii="Times New Roman" w:hAnsi="Times New Roman" w:cs="Times New Roman"/>
                <w:sz w:val="24"/>
                <w:szCs w:val="24"/>
              </w:rPr>
              <w:t xml:space="preserve"> </w:t>
            </w:r>
            <w:r>
              <w:rPr>
                <w:rFonts w:ascii="Times New Roman" w:hAnsi="Times New Roman" w:cs="Times New Roman"/>
                <w:sz w:val="24"/>
                <w:szCs w:val="24"/>
              </w:rPr>
              <w:t>pavesti vykdyti dviem institucijoms</w:t>
            </w:r>
            <w:r w:rsidR="00A83892">
              <w:rPr>
                <w:rFonts w:ascii="Times New Roman" w:hAnsi="Times New Roman" w:cs="Times New Roman"/>
                <w:sz w:val="24"/>
                <w:szCs w:val="24"/>
              </w:rPr>
              <w:t xml:space="preserve"> (Lietuvos bankui ir Valstybinei vartotojų teisių apsaugos tarnybai)</w:t>
            </w:r>
            <w:r w:rsidRPr="00E021C6">
              <w:rPr>
                <w:rFonts w:ascii="Times New Roman" w:hAnsi="Times New Roman" w:cs="Times New Roman"/>
                <w:sz w:val="24"/>
                <w:szCs w:val="24"/>
              </w:rPr>
              <w:t>.</w:t>
            </w:r>
            <w:r>
              <w:rPr>
                <w:rFonts w:ascii="Times New Roman" w:hAnsi="Times New Roman" w:cs="Times New Roman"/>
                <w:sz w:val="24"/>
                <w:szCs w:val="24"/>
              </w:rPr>
              <w:t xml:space="preserve"> </w:t>
            </w:r>
          </w:p>
          <w:p w:rsidR="00ED0642" w:rsidRDefault="00A83892" w:rsidP="00AC1E4B">
            <w:pPr>
              <w:jc w:val="both"/>
              <w:rPr>
                <w:rFonts w:ascii="Times New Roman" w:hAnsi="Times New Roman" w:cs="Times New Roman"/>
                <w:sz w:val="24"/>
                <w:szCs w:val="24"/>
              </w:rPr>
            </w:pPr>
            <w:r>
              <w:rPr>
                <w:rFonts w:ascii="Times New Roman" w:hAnsi="Times New Roman" w:cs="Times New Roman"/>
                <w:sz w:val="24"/>
                <w:szCs w:val="24"/>
              </w:rPr>
              <w:t>Kadangi</w:t>
            </w:r>
            <w:r w:rsidR="00AC1E4B">
              <w:rPr>
                <w:rFonts w:ascii="Times New Roman" w:hAnsi="Times New Roman" w:cs="Times New Roman"/>
                <w:sz w:val="24"/>
                <w:szCs w:val="24"/>
              </w:rPr>
              <w:t xml:space="preserve"> </w:t>
            </w:r>
            <w:r w:rsidR="00ED0642">
              <w:rPr>
                <w:rFonts w:ascii="Times New Roman" w:hAnsi="Times New Roman" w:cs="Times New Roman"/>
                <w:sz w:val="24"/>
                <w:szCs w:val="24"/>
              </w:rPr>
              <w:t xml:space="preserve">sparčiai didėja naujų </w:t>
            </w:r>
            <w:r>
              <w:rPr>
                <w:rFonts w:ascii="Times New Roman" w:hAnsi="Times New Roman" w:cs="Times New Roman"/>
                <w:sz w:val="24"/>
                <w:szCs w:val="24"/>
              </w:rPr>
              <w:t xml:space="preserve">ir kompleksinių </w:t>
            </w:r>
            <w:r w:rsidR="00ED0642">
              <w:rPr>
                <w:rFonts w:ascii="Times New Roman" w:hAnsi="Times New Roman" w:cs="Times New Roman"/>
                <w:sz w:val="24"/>
                <w:szCs w:val="24"/>
              </w:rPr>
              <w:t xml:space="preserve">finansinių </w:t>
            </w:r>
            <w:r>
              <w:rPr>
                <w:rFonts w:ascii="Times New Roman" w:hAnsi="Times New Roman" w:cs="Times New Roman"/>
                <w:sz w:val="24"/>
                <w:szCs w:val="24"/>
              </w:rPr>
              <w:t>paslaugų</w:t>
            </w:r>
            <w:r w:rsidR="00ED0642">
              <w:rPr>
                <w:rFonts w:ascii="Times New Roman" w:hAnsi="Times New Roman" w:cs="Times New Roman"/>
                <w:sz w:val="24"/>
                <w:szCs w:val="24"/>
              </w:rPr>
              <w:t xml:space="preserve"> įvairovė, </w:t>
            </w:r>
            <w:r>
              <w:rPr>
                <w:rFonts w:ascii="Times New Roman" w:hAnsi="Times New Roman" w:cs="Times New Roman"/>
                <w:sz w:val="24"/>
                <w:szCs w:val="24"/>
              </w:rPr>
              <w:t xml:space="preserve">tai </w:t>
            </w:r>
            <w:r w:rsidR="00ED0642">
              <w:rPr>
                <w:rFonts w:ascii="Times New Roman" w:hAnsi="Times New Roman" w:cs="Times New Roman"/>
                <w:sz w:val="24"/>
                <w:szCs w:val="24"/>
              </w:rPr>
              <w:t xml:space="preserve">reikalauja </w:t>
            </w:r>
            <w:r w:rsidR="00AC1E4B">
              <w:rPr>
                <w:rFonts w:ascii="Times New Roman" w:hAnsi="Times New Roman" w:cs="Times New Roman"/>
                <w:sz w:val="24"/>
                <w:szCs w:val="24"/>
              </w:rPr>
              <w:t>priežiūros</w:t>
            </w:r>
            <w:r w:rsidR="00ED0642">
              <w:rPr>
                <w:rFonts w:ascii="Times New Roman" w:hAnsi="Times New Roman" w:cs="Times New Roman"/>
                <w:sz w:val="24"/>
                <w:szCs w:val="24"/>
              </w:rPr>
              <w:t xml:space="preserve"> institucij</w:t>
            </w:r>
            <w:r w:rsidR="00AC1E4B">
              <w:rPr>
                <w:rFonts w:ascii="Times New Roman" w:hAnsi="Times New Roman" w:cs="Times New Roman"/>
                <w:sz w:val="24"/>
                <w:szCs w:val="24"/>
              </w:rPr>
              <w:t xml:space="preserve">os </w:t>
            </w:r>
            <w:r>
              <w:rPr>
                <w:rFonts w:ascii="Times New Roman" w:hAnsi="Times New Roman" w:cs="Times New Roman"/>
                <w:sz w:val="24"/>
                <w:szCs w:val="24"/>
              </w:rPr>
              <w:t xml:space="preserve">darbuotojų tinkamos </w:t>
            </w:r>
            <w:r w:rsidR="00AC1E4B">
              <w:rPr>
                <w:rFonts w:ascii="Times New Roman" w:hAnsi="Times New Roman" w:cs="Times New Roman"/>
                <w:sz w:val="24"/>
                <w:szCs w:val="24"/>
              </w:rPr>
              <w:t>kvalifikacijos ir kompetencijos, siekiant</w:t>
            </w:r>
            <w:r w:rsidR="00ED0642">
              <w:rPr>
                <w:rFonts w:ascii="Times New Roman" w:hAnsi="Times New Roman" w:cs="Times New Roman"/>
                <w:sz w:val="24"/>
                <w:szCs w:val="24"/>
              </w:rPr>
              <w:t xml:space="preserve"> užtikrinti finansinių pas</w:t>
            </w:r>
            <w:r w:rsidR="00AC1E4B">
              <w:rPr>
                <w:rFonts w:ascii="Times New Roman" w:hAnsi="Times New Roman" w:cs="Times New Roman"/>
                <w:sz w:val="24"/>
                <w:szCs w:val="24"/>
              </w:rPr>
              <w:t xml:space="preserve">laugų vartotojų interesus. Įvertinant </w:t>
            </w:r>
            <w:r w:rsidR="00ED0642">
              <w:rPr>
                <w:rFonts w:ascii="Times New Roman" w:hAnsi="Times New Roman" w:cs="Times New Roman"/>
                <w:sz w:val="24"/>
                <w:szCs w:val="24"/>
              </w:rPr>
              <w:t>finans</w:t>
            </w:r>
            <w:r w:rsidR="00AC1E4B">
              <w:rPr>
                <w:rFonts w:ascii="Times New Roman" w:hAnsi="Times New Roman" w:cs="Times New Roman"/>
                <w:sz w:val="24"/>
                <w:szCs w:val="24"/>
              </w:rPr>
              <w:t>inių</w:t>
            </w:r>
            <w:r w:rsidR="00ED0642">
              <w:rPr>
                <w:rFonts w:ascii="Times New Roman" w:hAnsi="Times New Roman" w:cs="Times New Roman"/>
                <w:sz w:val="24"/>
                <w:szCs w:val="24"/>
              </w:rPr>
              <w:t xml:space="preserve"> </w:t>
            </w:r>
            <w:r w:rsidR="00AC1E4B">
              <w:rPr>
                <w:rFonts w:ascii="Times New Roman" w:hAnsi="Times New Roman" w:cs="Times New Roman"/>
                <w:sz w:val="24"/>
                <w:szCs w:val="24"/>
              </w:rPr>
              <w:t xml:space="preserve">paslaugų </w:t>
            </w:r>
            <w:r w:rsidR="00ED0642">
              <w:rPr>
                <w:rFonts w:ascii="Times New Roman" w:hAnsi="Times New Roman" w:cs="Times New Roman"/>
                <w:sz w:val="24"/>
                <w:szCs w:val="24"/>
              </w:rPr>
              <w:t xml:space="preserve">sektoriaus specifiką, </w:t>
            </w:r>
            <w:r w:rsidR="00AC1E4B">
              <w:rPr>
                <w:rFonts w:ascii="Times New Roman" w:hAnsi="Times New Roman" w:cs="Times New Roman"/>
                <w:sz w:val="24"/>
                <w:szCs w:val="24"/>
              </w:rPr>
              <w:t>Valstybinė vartotojų teisių apsaugos tarnyba neturi realių galimybių užtikrinti</w:t>
            </w:r>
            <w:r w:rsidR="00ED0642">
              <w:rPr>
                <w:rFonts w:ascii="Times New Roman" w:hAnsi="Times New Roman" w:cs="Times New Roman"/>
                <w:sz w:val="24"/>
                <w:szCs w:val="24"/>
              </w:rPr>
              <w:t xml:space="preserve"> </w:t>
            </w:r>
            <w:r>
              <w:rPr>
                <w:rFonts w:ascii="Times New Roman" w:hAnsi="Times New Roman" w:cs="Times New Roman"/>
                <w:sz w:val="24"/>
                <w:szCs w:val="24"/>
              </w:rPr>
              <w:t>specializuotą</w:t>
            </w:r>
            <w:r w:rsidR="002929B5">
              <w:rPr>
                <w:rFonts w:ascii="Times New Roman" w:hAnsi="Times New Roman" w:cs="Times New Roman"/>
                <w:sz w:val="24"/>
                <w:szCs w:val="24"/>
              </w:rPr>
              <w:t xml:space="preserve"> </w:t>
            </w:r>
            <w:r w:rsidR="00ED0642">
              <w:rPr>
                <w:rFonts w:ascii="Times New Roman" w:hAnsi="Times New Roman" w:cs="Times New Roman"/>
                <w:sz w:val="24"/>
                <w:szCs w:val="24"/>
              </w:rPr>
              <w:t>darbuotojų kompetenciją</w:t>
            </w:r>
            <w:r w:rsidR="00AC1E4B">
              <w:rPr>
                <w:rFonts w:ascii="Times New Roman" w:hAnsi="Times New Roman" w:cs="Times New Roman"/>
                <w:sz w:val="24"/>
                <w:szCs w:val="24"/>
              </w:rPr>
              <w:t xml:space="preserve"> finansinių paslaugų srityje. </w:t>
            </w:r>
            <w:r w:rsidR="002929B5">
              <w:rPr>
                <w:rFonts w:ascii="Times New Roman" w:hAnsi="Times New Roman" w:cs="Times New Roman"/>
                <w:sz w:val="24"/>
                <w:szCs w:val="24"/>
              </w:rPr>
              <w:t>Be to, konsolidavus finansinių paslaugų priežiūrą, būtų veiksmingai išnaudojama</w:t>
            </w:r>
            <w:r w:rsidR="00ED0642">
              <w:rPr>
                <w:rFonts w:ascii="Times New Roman" w:hAnsi="Times New Roman" w:cs="Times New Roman"/>
                <w:sz w:val="24"/>
                <w:szCs w:val="24"/>
              </w:rPr>
              <w:t xml:space="preserve"> masto ekonomija</w:t>
            </w:r>
            <w:r w:rsidR="002929B5">
              <w:rPr>
                <w:rFonts w:ascii="Times New Roman" w:hAnsi="Times New Roman" w:cs="Times New Roman"/>
                <w:sz w:val="24"/>
                <w:szCs w:val="24"/>
              </w:rPr>
              <w:t>,</w:t>
            </w:r>
            <w:r w:rsidR="00ED0642">
              <w:rPr>
                <w:rFonts w:ascii="Times New Roman" w:hAnsi="Times New Roman" w:cs="Times New Roman"/>
                <w:sz w:val="24"/>
                <w:szCs w:val="24"/>
              </w:rPr>
              <w:t xml:space="preserve"> efektyviau paskirstyti finansini</w:t>
            </w:r>
            <w:r w:rsidR="002929B5">
              <w:rPr>
                <w:rFonts w:ascii="Times New Roman" w:hAnsi="Times New Roman" w:cs="Times New Roman"/>
                <w:sz w:val="24"/>
                <w:szCs w:val="24"/>
              </w:rPr>
              <w:t>ai</w:t>
            </w:r>
            <w:r w:rsidR="00ED0642">
              <w:rPr>
                <w:rFonts w:ascii="Times New Roman" w:hAnsi="Times New Roman" w:cs="Times New Roman"/>
                <w:sz w:val="24"/>
                <w:szCs w:val="24"/>
              </w:rPr>
              <w:t xml:space="preserve"> ir žmogišk</w:t>
            </w:r>
            <w:r w:rsidR="002929B5">
              <w:rPr>
                <w:rFonts w:ascii="Times New Roman" w:hAnsi="Times New Roman" w:cs="Times New Roman"/>
                <w:sz w:val="24"/>
                <w:szCs w:val="24"/>
              </w:rPr>
              <w:t>ieji</w:t>
            </w:r>
            <w:r w:rsidR="00ED0642">
              <w:rPr>
                <w:rFonts w:ascii="Times New Roman" w:hAnsi="Times New Roman" w:cs="Times New Roman"/>
                <w:sz w:val="24"/>
                <w:szCs w:val="24"/>
              </w:rPr>
              <w:t xml:space="preserve"> ištekliai finans</w:t>
            </w:r>
            <w:r w:rsidR="002929B5">
              <w:rPr>
                <w:rFonts w:ascii="Times New Roman" w:hAnsi="Times New Roman" w:cs="Times New Roman"/>
                <w:sz w:val="24"/>
                <w:szCs w:val="24"/>
              </w:rPr>
              <w:t xml:space="preserve">inių paslaugų priežiūros srityje. </w:t>
            </w:r>
          </w:p>
          <w:p w:rsidR="00937A4B" w:rsidRPr="00E55D90" w:rsidRDefault="00964A8A" w:rsidP="00A83892">
            <w:pPr>
              <w:jc w:val="both"/>
              <w:rPr>
                <w:rFonts w:ascii="Times New Roman" w:hAnsi="Times New Roman" w:cs="Times New Roman"/>
                <w:sz w:val="24"/>
                <w:szCs w:val="24"/>
              </w:rPr>
            </w:pPr>
            <w:r>
              <w:rPr>
                <w:rFonts w:ascii="Times New Roman" w:hAnsi="Times New Roman" w:cs="Times New Roman"/>
                <w:sz w:val="24"/>
                <w:szCs w:val="24"/>
              </w:rPr>
              <w:t>Atkreiptinas dėmesys į tai</w:t>
            </w:r>
            <w:r w:rsidR="00ED0642">
              <w:rPr>
                <w:rFonts w:ascii="Times New Roman" w:hAnsi="Times New Roman" w:cs="Times New Roman"/>
                <w:sz w:val="24"/>
                <w:szCs w:val="24"/>
              </w:rPr>
              <w:t>, kad vadovaujantis Vartojimo kredito įstatym</w:t>
            </w:r>
            <w:r w:rsidR="00A83892">
              <w:rPr>
                <w:rFonts w:ascii="Times New Roman" w:hAnsi="Times New Roman" w:cs="Times New Roman"/>
                <w:sz w:val="24"/>
                <w:szCs w:val="24"/>
              </w:rPr>
              <w:t>u ir Mokėjimų įstatymu</w:t>
            </w:r>
            <w:r w:rsidR="00ED0642">
              <w:rPr>
                <w:rFonts w:ascii="Times New Roman" w:hAnsi="Times New Roman" w:cs="Times New Roman"/>
                <w:sz w:val="24"/>
                <w:szCs w:val="24"/>
              </w:rPr>
              <w:t xml:space="preserve">, Lietuvos </w:t>
            </w:r>
            <w:r w:rsidR="00745393">
              <w:rPr>
                <w:rFonts w:ascii="Times New Roman" w:hAnsi="Times New Roman" w:cs="Times New Roman"/>
                <w:sz w:val="24"/>
                <w:szCs w:val="24"/>
              </w:rPr>
              <w:t>b</w:t>
            </w:r>
            <w:r w:rsidR="00ED0642">
              <w:rPr>
                <w:rFonts w:ascii="Times New Roman" w:hAnsi="Times New Roman" w:cs="Times New Roman"/>
                <w:sz w:val="24"/>
                <w:szCs w:val="24"/>
              </w:rPr>
              <w:t xml:space="preserve">ankas </w:t>
            </w:r>
            <w:r>
              <w:rPr>
                <w:rFonts w:ascii="Times New Roman" w:hAnsi="Times New Roman" w:cs="Times New Roman"/>
                <w:sz w:val="24"/>
                <w:szCs w:val="24"/>
              </w:rPr>
              <w:t xml:space="preserve">gali </w:t>
            </w:r>
            <w:r w:rsidR="00ED0642">
              <w:rPr>
                <w:rFonts w:ascii="Times New Roman" w:hAnsi="Times New Roman" w:cs="Times New Roman"/>
                <w:sz w:val="24"/>
                <w:szCs w:val="24"/>
              </w:rPr>
              <w:t xml:space="preserve">taikyti </w:t>
            </w:r>
            <w:r w:rsidR="00ED0642">
              <w:rPr>
                <w:rFonts w:ascii="Times New Roman" w:hAnsi="Times New Roman" w:cs="Times New Roman"/>
                <w:sz w:val="24"/>
                <w:szCs w:val="24"/>
              </w:rPr>
              <w:lastRenderedPageBreak/>
              <w:t xml:space="preserve">poveikio priemones </w:t>
            </w:r>
            <w:r>
              <w:rPr>
                <w:rFonts w:ascii="Times New Roman" w:hAnsi="Times New Roman" w:cs="Times New Roman"/>
                <w:sz w:val="24"/>
                <w:szCs w:val="24"/>
              </w:rPr>
              <w:t xml:space="preserve">ir </w:t>
            </w:r>
            <w:r w:rsidR="00ED0642">
              <w:rPr>
                <w:rFonts w:ascii="Times New Roman" w:hAnsi="Times New Roman" w:cs="Times New Roman"/>
                <w:sz w:val="24"/>
                <w:szCs w:val="24"/>
              </w:rPr>
              <w:t xml:space="preserve">neprižiūrimiems finansų </w:t>
            </w:r>
            <w:r>
              <w:rPr>
                <w:rFonts w:ascii="Times New Roman" w:hAnsi="Times New Roman" w:cs="Times New Roman"/>
                <w:sz w:val="24"/>
                <w:szCs w:val="24"/>
              </w:rPr>
              <w:t>rinkos dalyviams</w:t>
            </w:r>
            <w:r w:rsidR="00ED0642">
              <w:rPr>
                <w:rFonts w:ascii="Times New Roman" w:hAnsi="Times New Roman" w:cs="Times New Roman"/>
                <w:sz w:val="24"/>
                <w:szCs w:val="24"/>
              </w:rPr>
              <w:t>.</w:t>
            </w:r>
          </w:p>
        </w:tc>
      </w:tr>
      <w:tr w:rsidR="006E7B10" w:rsidRPr="00835D10" w:rsidTr="00614D4E">
        <w:tc>
          <w:tcPr>
            <w:tcW w:w="560" w:type="dxa"/>
          </w:tcPr>
          <w:p w:rsidR="006E7B10" w:rsidRPr="00E55D90" w:rsidRDefault="001B1FCA" w:rsidP="002E6C10">
            <w:pPr>
              <w:autoSpaceDE w:val="0"/>
              <w:autoSpaceDN w:val="0"/>
              <w:adjustRightInd w:val="0"/>
              <w:spacing w:line="264" w:lineRule="auto"/>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635" w:type="dxa"/>
          </w:tcPr>
          <w:p w:rsidR="006E7B10" w:rsidRPr="001B1FCA" w:rsidRDefault="001B1FCA" w:rsidP="001B1FCA">
            <w:pPr>
              <w:rPr>
                <w:rFonts w:ascii="Times New Roman" w:hAnsi="Times New Roman" w:cs="Times New Roman"/>
                <w:sz w:val="24"/>
                <w:szCs w:val="24"/>
              </w:rPr>
            </w:pPr>
            <w:r w:rsidRPr="001B1FCA">
              <w:rPr>
                <w:rFonts w:ascii="Times New Roman" w:hAnsi="Times New Roman" w:cs="Times New Roman"/>
                <w:sz w:val="24"/>
                <w:szCs w:val="24"/>
              </w:rPr>
              <w:t xml:space="preserve">Finansų ministerija (2019-05-24 </w:t>
            </w:r>
            <w:r>
              <w:rPr>
                <w:rFonts w:ascii="Times New Roman" w:hAnsi="Times New Roman" w:cs="Times New Roman"/>
                <w:sz w:val="24"/>
                <w:szCs w:val="24"/>
              </w:rPr>
              <w:t xml:space="preserve">raštas </w:t>
            </w:r>
            <w:r w:rsidRPr="001B1FCA">
              <w:rPr>
                <w:rFonts w:ascii="Times New Roman" w:hAnsi="Times New Roman" w:cs="Times New Roman"/>
                <w:sz w:val="24"/>
                <w:szCs w:val="24"/>
              </w:rPr>
              <w:t>Nr. (1.8E) 2T-459)</w:t>
            </w:r>
          </w:p>
        </w:tc>
        <w:tc>
          <w:tcPr>
            <w:tcW w:w="6164" w:type="dxa"/>
          </w:tcPr>
          <w:p w:rsidR="001B1FCA" w:rsidRPr="001B1FCA" w:rsidRDefault="001B1FCA" w:rsidP="001B1FCA">
            <w:pPr>
              <w:jc w:val="both"/>
              <w:rPr>
                <w:rFonts w:ascii="Times New Roman" w:hAnsi="Times New Roman" w:cs="Times New Roman"/>
                <w:sz w:val="24"/>
                <w:szCs w:val="24"/>
              </w:rPr>
            </w:pPr>
            <w:r w:rsidRPr="001B1FCA">
              <w:rPr>
                <w:rFonts w:ascii="Times New Roman" w:hAnsi="Times New Roman" w:cs="Times New Roman"/>
                <w:sz w:val="24"/>
                <w:szCs w:val="24"/>
              </w:rPr>
              <w:t xml:space="preserve">VTAĮ projektu siūloma Lietuvos Respublikos vartotojų teisių apsaugos įstatymo </w:t>
            </w:r>
            <w:r w:rsidR="00745393">
              <w:rPr>
                <w:rFonts w:ascii="Times New Roman" w:hAnsi="Times New Roman" w:cs="Times New Roman"/>
                <w:sz w:val="24"/>
                <w:szCs w:val="24"/>
              </w:rPr>
              <w:t>a</w:t>
            </w:r>
            <w:r w:rsidRPr="001B1FCA">
              <w:rPr>
                <w:rFonts w:ascii="Times New Roman" w:hAnsi="Times New Roman" w:cs="Times New Roman"/>
                <w:sz w:val="24"/>
                <w:szCs w:val="24"/>
              </w:rPr>
              <w:t>štuntojo skirsnio, reglamentuojančio finansinių paslaugų teikimą pagal sutartis sudaromas naudojant ryšio priemones, nuostatų laikymosi priežiūros funkciją perduoti Lietuvos bankui</w:t>
            </w:r>
            <w:r w:rsidR="00745393">
              <w:rPr>
                <w:rFonts w:ascii="Times New Roman" w:hAnsi="Times New Roman" w:cs="Times New Roman"/>
                <w:sz w:val="24"/>
                <w:szCs w:val="24"/>
              </w:rPr>
              <w:t>,</w:t>
            </w:r>
            <w:r w:rsidRPr="001B1FCA">
              <w:rPr>
                <w:rFonts w:ascii="Times New Roman" w:hAnsi="Times New Roman" w:cs="Times New Roman"/>
                <w:sz w:val="24"/>
                <w:szCs w:val="24"/>
              </w:rPr>
              <w:t xml:space="preserve"> taip konsoliduojant vartotojams skirtų finansinių paslaugų priežiūrą. </w:t>
            </w:r>
          </w:p>
          <w:p w:rsidR="001B1FCA" w:rsidRPr="001B1FCA" w:rsidRDefault="00745393" w:rsidP="001B1FCA">
            <w:pPr>
              <w:jc w:val="both"/>
              <w:rPr>
                <w:rFonts w:ascii="Times New Roman" w:hAnsi="Times New Roman" w:cs="Times New Roman"/>
                <w:sz w:val="24"/>
                <w:szCs w:val="24"/>
              </w:rPr>
            </w:pPr>
            <w:r>
              <w:rPr>
                <w:rFonts w:ascii="Times New Roman" w:hAnsi="Times New Roman" w:cs="Times New Roman"/>
                <w:sz w:val="24"/>
                <w:szCs w:val="24"/>
              </w:rPr>
              <w:t>P</w:t>
            </w:r>
            <w:r w:rsidR="001B1FCA" w:rsidRPr="001B1FCA">
              <w:rPr>
                <w:rFonts w:ascii="Times New Roman" w:hAnsi="Times New Roman" w:cs="Times New Roman"/>
                <w:sz w:val="24"/>
                <w:szCs w:val="24"/>
              </w:rPr>
              <w:t>ritariame ir siūlome vadovautis Lietuvos banko parengtu ir Teisingumo ministerijai pateiktu su Finansų ministerija suderintu Lietuvos Respublikos vartotojų teisių apsaugos įstatymo Nr. I-657 papildymo 39</w:t>
            </w:r>
            <w:r w:rsidR="001B1FCA" w:rsidRPr="001B1FCA">
              <w:rPr>
                <w:rFonts w:ascii="Times New Roman" w:hAnsi="Times New Roman" w:cs="Times New Roman"/>
                <w:sz w:val="24"/>
                <w:szCs w:val="24"/>
                <w:vertAlign w:val="superscript"/>
              </w:rPr>
              <w:t>1</w:t>
            </w:r>
            <w:r w:rsidR="001B1FCA" w:rsidRPr="001B1FCA">
              <w:rPr>
                <w:rFonts w:ascii="Times New Roman" w:hAnsi="Times New Roman" w:cs="Times New Roman"/>
                <w:sz w:val="24"/>
                <w:szCs w:val="24"/>
              </w:rPr>
              <w:t xml:space="preserve"> straipsniu ir 40 straipsnio pakeitimo įstatymo projektu, kuriuo siūloma įstatymo </w:t>
            </w:r>
            <w:r>
              <w:rPr>
                <w:rFonts w:ascii="Times New Roman" w:hAnsi="Times New Roman" w:cs="Times New Roman"/>
                <w:sz w:val="24"/>
                <w:szCs w:val="24"/>
              </w:rPr>
              <w:t>a</w:t>
            </w:r>
            <w:r w:rsidR="001B1FCA" w:rsidRPr="001B1FCA">
              <w:rPr>
                <w:rFonts w:ascii="Times New Roman" w:hAnsi="Times New Roman" w:cs="Times New Roman"/>
                <w:sz w:val="24"/>
                <w:szCs w:val="24"/>
              </w:rPr>
              <w:t xml:space="preserve">štuntojo skirsnio, reglamentuojančio finansinių paslaugų teikimą pagal sutartis sudaromas naudojant ryšio priemones, nuostatų laikymosi priežiūrą, ta apimtimi, kiek tai susiję su Lietuvos banko prižiūrimais finansų rinkos dalyviais, nurodytais Lietuvos Respublikos Lietuvos banko įstatymo 42 straipsnio 1 dalyje, perduoti Lietuvos bankui. </w:t>
            </w:r>
          </w:p>
          <w:p w:rsidR="006E7B10" w:rsidRPr="001B1FCA" w:rsidRDefault="001B1FCA" w:rsidP="001B1FCA">
            <w:pPr>
              <w:tabs>
                <w:tab w:val="left" w:pos="449"/>
                <w:tab w:val="left" w:pos="669"/>
              </w:tabs>
              <w:spacing w:after="80"/>
              <w:jc w:val="both"/>
              <w:rPr>
                <w:rFonts w:ascii="Times New Roman" w:hAnsi="Times New Roman" w:cs="Times New Roman"/>
                <w:bCs/>
                <w:sz w:val="24"/>
                <w:szCs w:val="24"/>
              </w:rPr>
            </w:pPr>
            <w:r w:rsidRPr="001B1FCA">
              <w:rPr>
                <w:rFonts w:ascii="Times New Roman" w:hAnsi="Times New Roman" w:cs="Times New Roman"/>
                <w:sz w:val="24"/>
                <w:szCs w:val="24"/>
              </w:rPr>
              <w:t>Jeigu visgi būtų nuspręsta nepritarti Finansų ministerijos ir Lietuvos banko pozicijai, reikėtų pašalinti VTAĮ projekto nenuoseklumą tuo aspektu, kad pagal VTAĮ projektą Lietuvos bankui priskiriama Lietuvos banko neprižiūrimų subjektų nuotoliniu būdu teikiamų finansinių paslaugų priežiūra, tačiau nesuteikiamas įgaliojimas tokiems subjektams taikyti atsakomybę už Vartotojų teisių apsaugos įstatymo 8 skirsnio pažeidimus.</w:t>
            </w:r>
          </w:p>
        </w:tc>
        <w:tc>
          <w:tcPr>
            <w:tcW w:w="6378" w:type="dxa"/>
          </w:tcPr>
          <w:p w:rsidR="00491FFE" w:rsidRPr="00E55D90" w:rsidRDefault="001B1FCA" w:rsidP="00491FFE">
            <w:pPr>
              <w:jc w:val="both"/>
              <w:rPr>
                <w:rFonts w:ascii="Times New Roman" w:hAnsi="Times New Roman" w:cs="Times New Roman"/>
                <w:sz w:val="24"/>
                <w:szCs w:val="24"/>
              </w:rPr>
            </w:pPr>
            <w:r>
              <w:rPr>
                <w:rFonts w:ascii="Times New Roman" w:hAnsi="Times New Roman" w:cs="Times New Roman"/>
                <w:b/>
                <w:sz w:val="24"/>
                <w:szCs w:val="24"/>
              </w:rPr>
              <w:t>Atsižvelgta iš dalies.</w:t>
            </w:r>
            <w:r w:rsidRPr="00FD3D85">
              <w:rPr>
                <w:rFonts w:ascii="Times New Roman" w:hAnsi="Times New Roman" w:cs="Times New Roman"/>
                <w:sz w:val="24"/>
                <w:szCs w:val="24"/>
              </w:rPr>
              <w:t xml:space="preserve"> </w:t>
            </w:r>
            <w:r w:rsidR="00491FFE">
              <w:rPr>
                <w:rFonts w:ascii="Times New Roman" w:hAnsi="Times New Roman" w:cs="Times New Roman"/>
                <w:sz w:val="24"/>
                <w:szCs w:val="24"/>
              </w:rPr>
              <w:t xml:space="preserve">Projektas patikslintas, suteikiant </w:t>
            </w:r>
            <w:r w:rsidR="00491FFE" w:rsidRPr="00ED0642">
              <w:rPr>
                <w:rFonts w:ascii="Times New Roman" w:hAnsi="Times New Roman" w:cs="Times New Roman"/>
                <w:sz w:val="24"/>
                <w:szCs w:val="24"/>
              </w:rPr>
              <w:t>Lietuvos bank</w:t>
            </w:r>
            <w:r w:rsidR="00491FFE">
              <w:rPr>
                <w:rFonts w:ascii="Times New Roman" w:hAnsi="Times New Roman" w:cs="Times New Roman"/>
                <w:sz w:val="24"/>
                <w:szCs w:val="24"/>
              </w:rPr>
              <w:t xml:space="preserve">ui įgaliojimus taikyti poveikio priemones visiems </w:t>
            </w:r>
            <w:r w:rsidR="00491FFE" w:rsidRPr="004A050E">
              <w:rPr>
                <w:rFonts w:ascii="Times New Roman" w:hAnsi="Times New Roman" w:cs="Times New Roman"/>
                <w:color w:val="000000"/>
                <w:sz w:val="24"/>
                <w:szCs w:val="24"/>
              </w:rPr>
              <w:t>finansinių paslaugų teikėjams ar jų tarpininkams</w:t>
            </w:r>
            <w:r w:rsidR="00491FFE">
              <w:rPr>
                <w:rFonts w:ascii="Times New Roman" w:hAnsi="Times New Roman" w:cs="Times New Roman"/>
                <w:color w:val="000000"/>
                <w:sz w:val="24"/>
                <w:szCs w:val="24"/>
              </w:rPr>
              <w:t>.</w:t>
            </w:r>
            <w:r w:rsidR="00491FFE" w:rsidRPr="004A050E">
              <w:rPr>
                <w:rFonts w:ascii="Times New Roman" w:hAnsi="Times New Roman" w:cs="Times New Roman"/>
                <w:color w:val="000000"/>
                <w:sz w:val="24"/>
                <w:szCs w:val="24"/>
              </w:rPr>
              <w:t xml:space="preserve"> </w:t>
            </w:r>
          </w:p>
          <w:p w:rsidR="00491FFE" w:rsidRDefault="00491FFE" w:rsidP="00491FFE">
            <w:pPr>
              <w:jc w:val="both"/>
              <w:rPr>
                <w:rFonts w:ascii="Times New Roman" w:hAnsi="Times New Roman" w:cs="Times New Roman"/>
                <w:sz w:val="24"/>
                <w:szCs w:val="24"/>
              </w:rPr>
            </w:pPr>
            <w:r>
              <w:rPr>
                <w:rFonts w:ascii="Times New Roman" w:hAnsi="Times New Roman" w:cs="Times New Roman"/>
                <w:sz w:val="24"/>
                <w:szCs w:val="24"/>
              </w:rPr>
              <w:t xml:space="preserve">Vartotojų teisių apsaugos įstatymo aštuntasis skirsnis įgyvendina </w:t>
            </w:r>
            <w:r w:rsidRPr="00745393">
              <w:rPr>
                <w:rFonts w:ascii="Times New Roman" w:hAnsi="Times New Roman" w:cs="Times New Roman"/>
                <w:sz w:val="24"/>
                <w:szCs w:val="24"/>
              </w:rPr>
              <w:t>Europos Parlamento ir Tarybos direktyv</w:t>
            </w:r>
            <w:r>
              <w:rPr>
                <w:rFonts w:ascii="Times New Roman" w:hAnsi="Times New Roman" w:cs="Times New Roman"/>
                <w:sz w:val="24"/>
                <w:szCs w:val="24"/>
              </w:rPr>
              <w:t>ą</w:t>
            </w:r>
            <w:r w:rsidRPr="00745393">
              <w:rPr>
                <w:rFonts w:ascii="Times New Roman" w:hAnsi="Times New Roman" w:cs="Times New Roman"/>
                <w:sz w:val="24"/>
                <w:szCs w:val="24"/>
              </w:rPr>
              <w:t xml:space="preserve"> 2002/65/EB</w:t>
            </w:r>
            <w:r>
              <w:rPr>
                <w:rFonts w:ascii="Times New Roman" w:hAnsi="Times New Roman" w:cs="Times New Roman"/>
                <w:sz w:val="24"/>
                <w:szCs w:val="24"/>
              </w:rPr>
              <w:t xml:space="preserve">. Pagal šią direktyvą </w:t>
            </w:r>
            <w:r w:rsidRPr="00745393">
              <w:rPr>
                <w:rFonts w:ascii="Times New Roman" w:hAnsi="Times New Roman" w:cs="Times New Roman"/>
                <w:sz w:val="24"/>
                <w:szCs w:val="24"/>
              </w:rPr>
              <w:t>finansinė paslauga – tai bet kokia bankinio, kreditinio, draudimo, asmeninės pensijos, investicinio ar moka</w:t>
            </w:r>
            <w:r>
              <w:rPr>
                <w:rFonts w:ascii="Times New Roman" w:hAnsi="Times New Roman" w:cs="Times New Roman"/>
                <w:sz w:val="24"/>
                <w:szCs w:val="24"/>
              </w:rPr>
              <w:t>mojo pobūdžio paslauga (2 straipsnio 2 dalis)</w:t>
            </w:r>
            <w:r w:rsidRPr="00745393">
              <w:rPr>
                <w:rFonts w:ascii="Times New Roman" w:hAnsi="Times New Roman" w:cs="Times New Roman"/>
                <w:sz w:val="24"/>
                <w:szCs w:val="24"/>
              </w:rPr>
              <w:t>.</w:t>
            </w:r>
          </w:p>
          <w:p w:rsidR="00491FFE" w:rsidRDefault="00491FFE" w:rsidP="00491FFE">
            <w:pPr>
              <w:jc w:val="both"/>
              <w:rPr>
                <w:rFonts w:ascii="Times New Roman" w:hAnsi="Times New Roman" w:cs="Times New Roman"/>
                <w:sz w:val="24"/>
                <w:szCs w:val="24"/>
              </w:rPr>
            </w:pPr>
            <w:r>
              <w:rPr>
                <w:rFonts w:ascii="Times New Roman" w:hAnsi="Times New Roman" w:cs="Times New Roman"/>
                <w:sz w:val="24"/>
                <w:szCs w:val="24"/>
              </w:rPr>
              <w:t>Pažymėtina, kad būtų netikslinga ir neefektyvu n</w:t>
            </w:r>
            <w:r w:rsidRPr="00E021C6">
              <w:rPr>
                <w:rFonts w:ascii="Times New Roman" w:hAnsi="Times New Roman" w:cs="Times New Roman"/>
                <w:sz w:val="24"/>
                <w:szCs w:val="24"/>
              </w:rPr>
              <w:t xml:space="preserve">uotoliniu būdu sudaromų finansinių paslaugų </w:t>
            </w:r>
            <w:r>
              <w:rPr>
                <w:rFonts w:ascii="Times New Roman" w:hAnsi="Times New Roman" w:cs="Times New Roman"/>
                <w:sz w:val="24"/>
                <w:szCs w:val="24"/>
              </w:rPr>
              <w:t xml:space="preserve">teikimo </w:t>
            </w:r>
            <w:r w:rsidRPr="00E021C6">
              <w:rPr>
                <w:rFonts w:ascii="Times New Roman" w:hAnsi="Times New Roman" w:cs="Times New Roman"/>
                <w:sz w:val="24"/>
                <w:szCs w:val="24"/>
              </w:rPr>
              <w:t>sutarčių priežiūr</w:t>
            </w:r>
            <w:r>
              <w:rPr>
                <w:rFonts w:ascii="Times New Roman" w:hAnsi="Times New Roman" w:cs="Times New Roman"/>
                <w:sz w:val="24"/>
                <w:szCs w:val="24"/>
              </w:rPr>
              <w:t>ą</w:t>
            </w:r>
            <w:r w:rsidRPr="00E021C6">
              <w:rPr>
                <w:rFonts w:ascii="Times New Roman" w:hAnsi="Times New Roman" w:cs="Times New Roman"/>
                <w:sz w:val="24"/>
                <w:szCs w:val="24"/>
              </w:rPr>
              <w:t xml:space="preserve"> </w:t>
            </w:r>
            <w:r>
              <w:rPr>
                <w:rFonts w:ascii="Times New Roman" w:hAnsi="Times New Roman" w:cs="Times New Roman"/>
                <w:sz w:val="24"/>
                <w:szCs w:val="24"/>
              </w:rPr>
              <w:t>pavesti vykdyti dviem institucijoms (Lietuvos bankui ir Valstybinei vartotojų teisių apsaugos tarnybai)</w:t>
            </w:r>
            <w:r w:rsidRPr="00E021C6">
              <w:rPr>
                <w:rFonts w:ascii="Times New Roman" w:hAnsi="Times New Roman" w:cs="Times New Roman"/>
                <w:sz w:val="24"/>
                <w:szCs w:val="24"/>
              </w:rPr>
              <w:t>.</w:t>
            </w:r>
            <w:r>
              <w:rPr>
                <w:rFonts w:ascii="Times New Roman" w:hAnsi="Times New Roman" w:cs="Times New Roman"/>
                <w:sz w:val="24"/>
                <w:szCs w:val="24"/>
              </w:rPr>
              <w:t xml:space="preserve"> </w:t>
            </w:r>
          </w:p>
          <w:p w:rsidR="00491FFE" w:rsidRDefault="00491FFE" w:rsidP="00491FFE">
            <w:pPr>
              <w:jc w:val="both"/>
              <w:rPr>
                <w:rFonts w:ascii="Times New Roman" w:hAnsi="Times New Roman" w:cs="Times New Roman"/>
                <w:sz w:val="24"/>
                <w:szCs w:val="24"/>
              </w:rPr>
            </w:pPr>
            <w:r>
              <w:rPr>
                <w:rFonts w:ascii="Times New Roman" w:hAnsi="Times New Roman" w:cs="Times New Roman"/>
                <w:sz w:val="24"/>
                <w:szCs w:val="24"/>
              </w:rPr>
              <w:t xml:space="preserve">Kadangi sparčiai didėja naujų ir kompleksinių finansinių paslaugų įvairovė, tai reikalauja priežiūros institucijos darbuotojų tinkamos kvalifikacijos ir kompetencijos, siekiant užtikrinti finansinių paslaugų vartotojų interesus. Įvertinant finansinių paslaugų sektoriaus specifiką, Valstybinė vartotojų teisių apsaugos tarnyba neturi realių galimybių užtikrinti specializuotą darbuotojų kompetenciją finansinių paslaugų srityje. Be to, konsolidavus finansinių paslaugų priežiūrą, būtų veiksmingai išnaudojama masto ekonomija, efektyviau paskirstyti finansiniai ir žmogiškieji ištekliai finansinių paslaugų priežiūros srityje. </w:t>
            </w:r>
          </w:p>
          <w:p w:rsidR="006E7B10" w:rsidRPr="00FD1D5E" w:rsidRDefault="00491FFE" w:rsidP="00491FFE">
            <w:pPr>
              <w:jc w:val="both"/>
              <w:rPr>
                <w:rFonts w:ascii="Times New Roman" w:hAnsi="Times New Roman" w:cs="Times New Roman"/>
                <w:b/>
                <w:sz w:val="24"/>
                <w:szCs w:val="24"/>
              </w:rPr>
            </w:pPr>
            <w:r>
              <w:rPr>
                <w:rFonts w:ascii="Times New Roman" w:hAnsi="Times New Roman" w:cs="Times New Roman"/>
                <w:sz w:val="24"/>
                <w:szCs w:val="24"/>
              </w:rPr>
              <w:t>Atkreiptinas dėmesys į tai, kad vadovaujantis Vartojimo kredito įstatymu ir Mokėjimų įstatymu, Lietuvos bankas gali taikyti poveikio priemones ir neprižiūrimiems finansų rinkos dalyviams.</w:t>
            </w:r>
          </w:p>
        </w:tc>
      </w:tr>
    </w:tbl>
    <w:p w:rsidR="006E04B1" w:rsidRPr="00745393" w:rsidRDefault="0005772C">
      <w:pPr>
        <w:rPr>
          <w:rFonts w:ascii="Times New Roman" w:hAnsi="Times New Roman" w:cs="Times New Roman"/>
          <w:sz w:val="24"/>
          <w:szCs w:val="24"/>
        </w:rPr>
      </w:pPr>
    </w:p>
    <w:sectPr w:rsidR="006E04B1" w:rsidRPr="00745393" w:rsidSect="00C12AFA">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72C" w:rsidRDefault="0005772C" w:rsidP="00937A4B">
      <w:pPr>
        <w:spacing w:after="0" w:line="240" w:lineRule="auto"/>
      </w:pPr>
      <w:r>
        <w:separator/>
      </w:r>
    </w:p>
  </w:endnote>
  <w:endnote w:type="continuationSeparator" w:id="0">
    <w:p w:rsidR="0005772C" w:rsidRDefault="0005772C"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72C" w:rsidRDefault="0005772C" w:rsidP="00937A4B">
      <w:pPr>
        <w:spacing w:after="0" w:line="240" w:lineRule="auto"/>
      </w:pPr>
      <w:r>
        <w:separator/>
      </w:r>
    </w:p>
  </w:footnote>
  <w:footnote w:type="continuationSeparator" w:id="0">
    <w:p w:rsidR="0005772C" w:rsidRDefault="0005772C"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8F1485">
          <w:rPr>
            <w:rFonts w:ascii="Times New Roman" w:hAnsi="Times New Roman" w:cs="Times New Roman"/>
            <w:noProof/>
            <w:sz w:val="24"/>
            <w:szCs w:val="24"/>
          </w:rPr>
          <w:t>2</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5772C"/>
    <w:rsid w:val="000A4574"/>
    <w:rsid w:val="0018631F"/>
    <w:rsid w:val="001B1FCA"/>
    <w:rsid w:val="002929B5"/>
    <w:rsid w:val="00394A2A"/>
    <w:rsid w:val="00491FFE"/>
    <w:rsid w:val="0050704D"/>
    <w:rsid w:val="005B20B0"/>
    <w:rsid w:val="005B47C1"/>
    <w:rsid w:val="00614D4E"/>
    <w:rsid w:val="006E7B10"/>
    <w:rsid w:val="00714586"/>
    <w:rsid w:val="00745393"/>
    <w:rsid w:val="007D5AB7"/>
    <w:rsid w:val="00846126"/>
    <w:rsid w:val="008F1485"/>
    <w:rsid w:val="00937A4B"/>
    <w:rsid w:val="009475E6"/>
    <w:rsid w:val="00964A8A"/>
    <w:rsid w:val="009E2D98"/>
    <w:rsid w:val="00A15AE3"/>
    <w:rsid w:val="00A73CBE"/>
    <w:rsid w:val="00A83892"/>
    <w:rsid w:val="00AC1E4B"/>
    <w:rsid w:val="00B601AB"/>
    <w:rsid w:val="00BE57EF"/>
    <w:rsid w:val="00C00035"/>
    <w:rsid w:val="00C12AFA"/>
    <w:rsid w:val="00D03EDD"/>
    <w:rsid w:val="00DA55D5"/>
    <w:rsid w:val="00E021C6"/>
    <w:rsid w:val="00ED0642"/>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semiHidden/>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937A4B"/>
    <w:rPr>
      <w:rFonts w:ascii="Times New Roman" w:eastAsia="Times New Roman" w:hAnsi="Times New Roman" w:cs="Times New Roman"/>
      <w:sz w:val="20"/>
      <w:szCs w:val="20"/>
    </w:rPr>
  </w:style>
  <w:style w:type="character" w:styleId="Puslapioinaosnuoroda">
    <w:name w:val="footnote reference"/>
    <w:semiHidden/>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3564</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2019-06-26T06:44:00Z</dcterms:created>
  <dc:creator>Rosita Pletienė</dc:creator>
  <cp:lastModifiedBy>Rosita Pletienė</cp:lastModifiedBy>
  <dcterms:modified xsi:type="dcterms:W3CDTF">2019-06-26T06:44:00Z</dcterms:modified>
  <cp:revision>2</cp:revision>
</cp:coreProperties>
</file>