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888D2" w14:textId="77777777" w:rsidR="009A67CE" w:rsidRDefault="009A67CE" w:rsidP="00735F6A">
      <w:pPr>
        <w:spacing w:after="0"/>
        <w:jc w:val="center"/>
        <w:rPr>
          <w:rFonts w:ascii="Times New Roman" w:hAnsi="Times New Roman"/>
          <w:b/>
          <w:color w:val="000000"/>
          <w:sz w:val="24"/>
          <w:szCs w:val="24"/>
        </w:rPr>
      </w:pPr>
    </w:p>
    <w:p w14:paraId="36B1A3FC" w14:textId="77777777" w:rsidR="00735F6A" w:rsidRPr="008D6FD1" w:rsidRDefault="00735F6A" w:rsidP="00735F6A">
      <w:pPr>
        <w:spacing w:after="0"/>
        <w:jc w:val="center"/>
        <w:rPr>
          <w:rFonts w:ascii="Times New Roman" w:hAnsi="Times New Roman"/>
          <w:b/>
          <w:color w:val="000000"/>
          <w:sz w:val="24"/>
          <w:szCs w:val="24"/>
        </w:rPr>
      </w:pPr>
      <w:bookmarkStart w:id="0" w:name="_GoBack"/>
      <w:bookmarkEnd w:id="0"/>
      <w:r w:rsidRPr="008D6FD1">
        <w:rPr>
          <w:rFonts w:ascii="Times New Roman" w:hAnsi="Times New Roman"/>
          <w:b/>
          <w:color w:val="000000"/>
          <w:sz w:val="24"/>
          <w:szCs w:val="24"/>
        </w:rPr>
        <w:t>NUMATOMO TEISINIO REGULIAVIMO POVEIKIO VERTINIMO PAŽYMA</w:t>
      </w:r>
    </w:p>
    <w:p w14:paraId="36B1A3FD" w14:textId="77777777" w:rsidR="0005529F" w:rsidRDefault="0005529F" w:rsidP="00B9167D">
      <w:pPr>
        <w:spacing w:after="0"/>
        <w:jc w:val="center"/>
        <w:rPr>
          <w:rFonts w:ascii="Times New Roman" w:hAnsi="Times New Roman"/>
          <w:b/>
          <w:color w:val="000000"/>
          <w:sz w:val="24"/>
          <w:szCs w:val="24"/>
        </w:rPr>
      </w:pPr>
    </w:p>
    <w:p w14:paraId="15039B46" w14:textId="77777777" w:rsidR="009A67CE" w:rsidRPr="008D6FD1" w:rsidRDefault="009A67CE" w:rsidP="00B9167D">
      <w:pPr>
        <w:spacing w:after="0"/>
        <w:jc w:val="center"/>
        <w:rPr>
          <w:rFonts w:ascii="Times New Roman" w:hAnsi="Times New Roman"/>
          <w:b/>
          <w:color w:val="000000"/>
          <w:sz w:val="24"/>
          <w:szCs w:val="24"/>
        </w:rPr>
      </w:pPr>
    </w:p>
    <w:tbl>
      <w:tblPr>
        <w:tblW w:w="9781" w:type="dxa"/>
        <w:jc w:val="center"/>
        <w:tblLook w:val="00A0" w:firstRow="1" w:lastRow="0" w:firstColumn="1" w:lastColumn="0" w:noHBand="0" w:noVBand="0"/>
      </w:tblPr>
      <w:tblGrid>
        <w:gridCol w:w="2268"/>
        <w:gridCol w:w="7513"/>
      </w:tblGrid>
      <w:tr w:rsidR="00C15ADA" w:rsidRPr="007A2F19" w14:paraId="36B1A400" w14:textId="77777777" w:rsidTr="00F81AAB">
        <w:trPr>
          <w:jc w:val="center"/>
        </w:trPr>
        <w:tc>
          <w:tcPr>
            <w:tcW w:w="2268" w:type="dxa"/>
            <w:shd w:val="clear" w:color="auto" w:fill="auto"/>
            <w:hideMark/>
          </w:tcPr>
          <w:p w14:paraId="36B1A3FE" w14:textId="77777777" w:rsidR="00C15ADA" w:rsidRPr="007A2F19" w:rsidRDefault="00C15ADA" w:rsidP="00040982">
            <w:pPr>
              <w:spacing w:after="0"/>
              <w:rPr>
                <w:rFonts w:ascii="Times New Roman" w:hAnsi="Times New Roman"/>
                <w:sz w:val="24"/>
                <w:szCs w:val="24"/>
                <w:shd w:val="clear" w:color="auto" w:fill="DBE5F1"/>
              </w:rPr>
            </w:pPr>
            <w:r w:rsidRPr="007A2F19">
              <w:rPr>
                <w:rFonts w:ascii="Times New Roman" w:hAnsi="Times New Roman"/>
                <w:b/>
                <w:sz w:val="24"/>
                <w:szCs w:val="24"/>
              </w:rPr>
              <w:t>Projekto</w:t>
            </w:r>
            <w:r w:rsidRPr="007A2F19">
              <w:rPr>
                <w:rFonts w:ascii="Times New Roman" w:hAnsi="Times New Roman"/>
                <w:b/>
                <w:sz w:val="24"/>
                <w:szCs w:val="24"/>
                <w:shd w:val="clear" w:color="auto" w:fill="DBE5F1"/>
              </w:rPr>
              <w:t xml:space="preserve"> </w:t>
            </w:r>
            <w:r w:rsidRPr="007A2F19">
              <w:rPr>
                <w:rFonts w:ascii="Times New Roman" w:hAnsi="Times New Roman"/>
                <w:b/>
                <w:sz w:val="24"/>
                <w:szCs w:val="24"/>
              </w:rPr>
              <w:t>pavadinimas</w:t>
            </w:r>
          </w:p>
        </w:tc>
        <w:tc>
          <w:tcPr>
            <w:tcW w:w="7513" w:type="dxa"/>
            <w:shd w:val="clear" w:color="auto" w:fill="auto"/>
          </w:tcPr>
          <w:p w14:paraId="36B1A3FF" w14:textId="77777777" w:rsidR="00664346" w:rsidRPr="007A2F19" w:rsidRDefault="007A408D" w:rsidP="00040982">
            <w:pPr>
              <w:spacing w:after="0"/>
              <w:jc w:val="both"/>
              <w:rPr>
                <w:rFonts w:ascii="Times New Roman" w:hAnsi="Times New Roman"/>
                <w:sz w:val="24"/>
                <w:szCs w:val="24"/>
              </w:rPr>
            </w:pPr>
            <w:r w:rsidRPr="007A2F19">
              <w:rPr>
                <w:rFonts w:ascii="Times New Roman" w:hAnsi="Times New Roman"/>
                <w:color w:val="000000"/>
                <w:sz w:val="24"/>
                <w:szCs w:val="24"/>
              </w:rPr>
              <w:t xml:space="preserve">Lietuvos Respublikos Vyriausybės nutarimo „Dėl </w:t>
            </w:r>
            <w:r w:rsidR="00F00896" w:rsidRPr="007A2F19">
              <w:rPr>
                <w:rFonts w:ascii="Times New Roman" w:hAnsi="Times New Roman"/>
                <w:color w:val="000000"/>
                <w:sz w:val="24"/>
                <w:szCs w:val="24"/>
              </w:rPr>
              <w:t xml:space="preserve">Lietuvos Respublikos </w:t>
            </w:r>
            <w:r w:rsidRPr="007A2F19">
              <w:rPr>
                <w:rFonts w:ascii="Times New Roman" w:hAnsi="Times New Roman"/>
                <w:color w:val="000000"/>
                <w:sz w:val="24"/>
                <w:szCs w:val="24"/>
              </w:rPr>
              <w:t xml:space="preserve">Vyriausybės 2005 m. balandžio 21 d. nutarimo Nr. 447 „Dėl Lietuvos Respublikos kelių priežiūros ir plėtros programos finansavimo įstatymo įgyvendinimo“ pakeitimo“ projektas (toliau – nutarimo projektas). </w:t>
            </w:r>
          </w:p>
        </w:tc>
      </w:tr>
    </w:tbl>
    <w:p w14:paraId="36B1A401" w14:textId="77777777" w:rsidR="00C15ADA" w:rsidRPr="00040982" w:rsidRDefault="00C15ADA" w:rsidP="00040982">
      <w:pPr>
        <w:shd w:val="clear" w:color="auto" w:fill="FFFFFF"/>
        <w:spacing w:after="0"/>
        <w:rPr>
          <w:rFonts w:ascii="Times New Roman" w:hAnsi="Times New Roman"/>
          <w:sz w:val="16"/>
          <w:szCs w:val="16"/>
        </w:rPr>
      </w:pPr>
    </w:p>
    <w:tbl>
      <w:tblPr>
        <w:tblW w:w="9781" w:type="dxa"/>
        <w:jc w:val="center"/>
        <w:tblLook w:val="00A0" w:firstRow="1" w:lastRow="0" w:firstColumn="1" w:lastColumn="0" w:noHBand="0" w:noVBand="0"/>
      </w:tblPr>
      <w:tblGrid>
        <w:gridCol w:w="2268"/>
        <w:gridCol w:w="7513"/>
      </w:tblGrid>
      <w:tr w:rsidR="00C15ADA" w:rsidRPr="007A2F19" w14:paraId="36B1A404" w14:textId="77777777" w:rsidTr="00F81AAB">
        <w:trPr>
          <w:jc w:val="center"/>
        </w:trPr>
        <w:tc>
          <w:tcPr>
            <w:tcW w:w="2268" w:type="dxa"/>
            <w:shd w:val="clear" w:color="auto" w:fill="auto"/>
            <w:hideMark/>
          </w:tcPr>
          <w:p w14:paraId="36B1A402" w14:textId="77777777" w:rsidR="00C15ADA" w:rsidRPr="007A2F19" w:rsidRDefault="00C15ADA" w:rsidP="00040982">
            <w:pPr>
              <w:shd w:val="clear" w:color="auto" w:fill="FFFFFF"/>
              <w:spacing w:after="0"/>
              <w:rPr>
                <w:rFonts w:ascii="Times New Roman" w:hAnsi="Times New Roman"/>
                <w:sz w:val="24"/>
                <w:szCs w:val="24"/>
              </w:rPr>
            </w:pPr>
            <w:r w:rsidRPr="007A2F19">
              <w:rPr>
                <w:rFonts w:ascii="Times New Roman" w:hAnsi="Times New Roman"/>
                <w:b/>
                <w:sz w:val="24"/>
                <w:szCs w:val="24"/>
              </w:rPr>
              <w:t>Projekto rengėjas</w:t>
            </w:r>
          </w:p>
        </w:tc>
        <w:tc>
          <w:tcPr>
            <w:tcW w:w="7513" w:type="dxa"/>
            <w:shd w:val="clear" w:color="auto" w:fill="auto"/>
            <w:hideMark/>
          </w:tcPr>
          <w:p w14:paraId="36B1A403" w14:textId="77777777" w:rsidR="00C15ADA" w:rsidRPr="007A2F19" w:rsidRDefault="00C15ADA" w:rsidP="00040982">
            <w:pPr>
              <w:shd w:val="clear" w:color="auto" w:fill="FFFFFF"/>
              <w:spacing w:after="0"/>
              <w:jc w:val="both"/>
              <w:rPr>
                <w:rFonts w:ascii="Times New Roman" w:hAnsi="Times New Roman"/>
                <w:b/>
                <w:sz w:val="24"/>
                <w:szCs w:val="24"/>
              </w:rPr>
            </w:pPr>
            <w:r w:rsidRPr="007A2F19">
              <w:rPr>
                <w:rFonts w:ascii="Times New Roman" w:hAnsi="Times New Roman"/>
                <w:sz w:val="24"/>
                <w:szCs w:val="24"/>
              </w:rPr>
              <w:t xml:space="preserve">Lietuvos Respublikos </w:t>
            </w:r>
            <w:r w:rsidR="007A408D" w:rsidRPr="007A2F19">
              <w:rPr>
                <w:rFonts w:ascii="Times New Roman" w:hAnsi="Times New Roman"/>
                <w:sz w:val="24"/>
                <w:szCs w:val="24"/>
              </w:rPr>
              <w:t>susisiekimo</w:t>
            </w:r>
            <w:r w:rsidRPr="007A2F19">
              <w:rPr>
                <w:rFonts w:ascii="Times New Roman" w:hAnsi="Times New Roman"/>
                <w:sz w:val="24"/>
                <w:szCs w:val="24"/>
              </w:rPr>
              <w:t xml:space="preserve"> ministerija</w:t>
            </w:r>
          </w:p>
        </w:tc>
      </w:tr>
    </w:tbl>
    <w:p w14:paraId="36B1A405" w14:textId="77777777" w:rsidR="00C15ADA" w:rsidRPr="00040982" w:rsidRDefault="00C15ADA" w:rsidP="00040982">
      <w:pPr>
        <w:spacing w:after="0"/>
        <w:rPr>
          <w:rFonts w:ascii="Times New Roman" w:hAnsi="Times New Roman"/>
          <w:sz w:val="16"/>
          <w:szCs w:val="16"/>
        </w:rPr>
      </w:pPr>
    </w:p>
    <w:tbl>
      <w:tblPr>
        <w:tblW w:w="9782" w:type="dxa"/>
        <w:jc w:val="center"/>
        <w:tblLook w:val="00A0" w:firstRow="1" w:lastRow="0" w:firstColumn="1" w:lastColumn="0" w:noHBand="0" w:noVBand="0"/>
      </w:tblPr>
      <w:tblGrid>
        <w:gridCol w:w="2268"/>
        <w:gridCol w:w="7514"/>
      </w:tblGrid>
      <w:tr w:rsidR="00C15ADA" w:rsidRPr="007A2F19" w14:paraId="36B1A408" w14:textId="77777777" w:rsidTr="00040982">
        <w:trPr>
          <w:jc w:val="center"/>
        </w:trPr>
        <w:tc>
          <w:tcPr>
            <w:tcW w:w="2268" w:type="dxa"/>
            <w:shd w:val="clear" w:color="auto" w:fill="auto"/>
            <w:hideMark/>
          </w:tcPr>
          <w:p w14:paraId="36B1A406" w14:textId="77777777"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Projekto tikslas</w:t>
            </w:r>
          </w:p>
        </w:tc>
        <w:tc>
          <w:tcPr>
            <w:tcW w:w="7514" w:type="dxa"/>
            <w:shd w:val="clear" w:color="auto" w:fill="auto"/>
            <w:hideMark/>
          </w:tcPr>
          <w:p w14:paraId="36B1A407" w14:textId="77777777" w:rsidR="00C15ADA" w:rsidRPr="007A2F19" w:rsidRDefault="007A2F19" w:rsidP="009504E9">
            <w:pPr>
              <w:spacing w:after="0"/>
              <w:jc w:val="both"/>
              <w:rPr>
                <w:rFonts w:ascii="Times New Roman" w:eastAsia="Times New Roman" w:hAnsi="Times New Roman"/>
                <w:sz w:val="24"/>
                <w:szCs w:val="24"/>
                <w:lang w:eastAsia="lt-LT"/>
              </w:rPr>
            </w:pPr>
            <w:r w:rsidRPr="007A2F19">
              <w:rPr>
                <w:rFonts w:ascii="Times New Roman" w:hAnsi="Times New Roman"/>
                <w:sz w:val="24"/>
                <w:szCs w:val="24"/>
              </w:rPr>
              <w:t xml:space="preserve">Nutarimo projekto tikslas – </w:t>
            </w:r>
            <w:r w:rsidR="009B6D8A" w:rsidRPr="009B6D8A">
              <w:rPr>
                <w:rFonts w:ascii="Times New Roman" w:hAnsi="Times New Roman"/>
                <w:color w:val="000000" w:themeColor="text1"/>
                <w:sz w:val="24"/>
                <w:szCs w:val="24"/>
                <w:lang w:eastAsia="lt-LT"/>
              </w:rPr>
              <w:t>įgyvendinti Lietuvos Respublikos Vyriausybės 1999 m. birželio 9 d. nutarimo Nr. 757 „Dėl Valstybinės reikšmės automobilių kelių sąrašo patvirtinimo“ (toliau – Nutarimas Nr. 757), Lietuvos Respublikos kelių priežiūros ir plėtros programos finansavimo įstatymo Nr. VIII-2032 6 ir 9 straipsnių pakeitimo įstatymo (toliau – Įstatymas Nr. XIII-2119), Lietuvos Respublikos kelių priežiūros ir plėtros programos finansavimo įstatymo Nr. VIII-2032 3, 5, 6, 7, 9 straipsnių ir 3 priedo pakeitimo įstatymo (toliau – Įstatymas Nr. XIII-2242)  ir Lietuvos Respublikos Vyriausybės 2016 m. sausio 6 d. nutarimo Nr. 5 „Dėl Sostinės regiono ir Vidurio ir vakarų Lietuvos regiono sudarymo“ (toliau – Nutarimas Nr. 5) nuostatas</w:t>
            </w:r>
            <w:r w:rsidR="009B6D8A">
              <w:rPr>
                <w:rFonts w:ascii="Times New Roman" w:hAnsi="Times New Roman"/>
                <w:color w:val="000000" w:themeColor="text1"/>
                <w:sz w:val="24"/>
                <w:szCs w:val="24"/>
                <w:lang w:eastAsia="lt-LT"/>
              </w:rPr>
              <w:t>.</w:t>
            </w:r>
          </w:p>
        </w:tc>
      </w:tr>
    </w:tbl>
    <w:p w14:paraId="36B1A409" w14:textId="77777777" w:rsidR="00C15ADA" w:rsidRPr="007A2F19" w:rsidRDefault="00C15ADA" w:rsidP="00040982">
      <w:pPr>
        <w:spacing w:after="0"/>
        <w:rPr>
          <w:rFonts w:ascii="Times New Roman" w:hAnsi="Times New Roman"/>
          <w:sz w:val="24"/>
          <w:szCs w:val="24"/>
        </w:rPr>
      </w:pPr>
    </w:p>
    <w:tbl>
      <w:tblPr>
        <w:tblW w:w="9639" w:type="dxa"/>
        <w:jc w:val="center"/>
        <w:tblLook w:val="00A0" w:firstRow="1" w:lastRow="0" w:firstColumn="1" w:lastColumn="0" w:noHBand="0" w:noVBand="0"/>
      </w:tblPr>
      <w:tblGrid>
        <w:gridCol w:w="2268"/>
        <w:gridCol w:w="7371"/>
      </w:tblGrid>
      <w:tr w:rsidR="00C15ADA" w:rsidRPr="007A2F19" w14:paraId="36B1A40C" w14:textId="77777777" w:rsidTr="00B92F5C">
        <w:trPr>
          <w:trHeight w:val="415"/>
          <w:jc w:val="center"/>
        </w:trPr>
        <w:tc>
          <w:tcPr>
            <w:tcW w:w="2267" w:type="dxa"/>
            <w:shd w:val="clear" w:color="auto" w:fill="FFFFFF"/>
          </w:tcPr>
          <w:p w14:paraId="36B1A40A" w14:textId="77777777" w:rsidR="00C15ADA" w:rsidRPr="007A2F19" w:rsidRDefault="00C15ADA" w:rsidP="00040982">
            <w:pPr>
              <w:shd w:val="clear" w:color="auto" w:fill="FFFFFF"/>
              <w:spacing w:after="0"/>
              <w:rPr>
                <w:rFonts w:ascii="Times New Roman" w:hAnsi="Times New Roman"/>
                <w:sz w:val="24"/>
                <w:szCs w:val="24"/>
              </w:rPr>
            </w:pPr>
          </w:p>
        </w:tc>
        <w:tc>
          <w:tcPr>
            <w:tcW w:w="7371" w:type="dxa"/>
            <w:shd w:val="clear" w:color="auto" w:fill="FFFFFF"/>
            <w:hideMark/>
          </w:tcPr>
          <w:p w14:paraId="36B1A40B" w14:textId="77777777" w:rsidR="00C15ADA" w:rsidRPr="007A2F19" w:rsidRDefault="00C15ADA" w:rsidP="00040982">
            <w:pPr>
              <w:shd w:val="clear" w:color="auto" w:fill="FFFFFF"/>
              <w:spacing w:after="0"/>
              <w:jc w:val="center"/>
              <w:rPr>
                <w:rFonts w:ascii="Times New Roman" w:hAnsi="Times New Roman"/>
                <w:b/>
                <w:sz w:val="24"/>
                <w:szCs w:val="24"/>
              </w:rPr>
            </w:pPr>
            <w:r w:rsidRPr="007A2F19">
              <w:rPr>
                <w:rFonts w:ascii="Times New Roman" w:hAnsi="Times New Roman"/>
                <w:b/>
                <w:sz w:val="24"/>
                <w:szCs w:val="24"/>
              </w:rPr>
              <w:t xml:space="preserve">Siūlomo projekto poveikio įvertinimas </w:t>
            </w:r>
          </w:p>
        </w:tc>
      </w:tr>
      <w:tr w:rsidR="00C15ADA" w:rsidRPr="007A2F19" w14:paraId="36B1A41E" w14:textId="77777777" w:rsidTr="00B92F5C">
        <w:trPr>
          <w:jc w:val="center"/>
        </w:trPr>
        <w:tc>
          <w:tcPr>
            <w:tcW w:w="2268" w:type="dxa"/>
            <w:shd w:val="clear" w:color="auto" w:fill="FFFFFF"/>
          </w:tcPr>
          <w:p w14:paraId="36B1A40D" w14:textId="77777777"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 xml:space="preserve">Poveikis atitinkamai </w:t>
            </w:r>
          </w:p>
          <w:p w14:paraId="36B1A40E" w14:textId="77777777"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sričiai</w:t>
            </w:r>
          </w:p>
        </w:tc>
        <w:tc>
          <w:tcPr>
            <w:tcW w:w="7371" w:type="dxa"/>
            <w:shd w:val="clear" w:color="auto" w:fill="FFFFFF"/>
          </w:tcPr>
          <w:p w14:paraId="36B1A40F" w14:textId="77777777" w:rsidR="009B6D8A" w:rsidRPr="009B6D8A" w:rsidRDefault="009B6D8A" w:rsidP="009B6D8A">
            <w:pPr>
              <w:spacing w:after="0"/>
              <w:jc w:val="both"/>
              <w:rPr>
                <w:rFonts w:ascii="Times New Roman" w:hAnsi="Times New Roman"/>
                <w:sz w:val="24"/>
                <w:szCs w:val="24"/>
              </w:rPr>
            </w:pPr>
            <w:r w:rsidRPr="009B6D8A">
              <w:rPr>
                <w:rFonts w:ascii="Times New Roman" w:hAnsi="Times New Roman"/>
                <w:sz w:val="24"/>
                <w:szCs w:val="24"/>
              </w:rPr>
              <w:t xml:space="preserve">Atsižvelgiant į Nutarimu Nr. 757 patvirtinto valstybinės reikšmės automobilių kelių sąrašo pakeitimus, siūloma patikslinti magistralinių kelių, kuriais sumokėję kelių naudotojo mokestį įgyja teisę važiuoti kelių naudotojai, ilgius.  </w:t>
            </w:r>
          </w:p>
          <w:p w14:paraId="36B1A410" w14:textId="77777777" w:rsidR="009B6D8A" w:rsidRDefault="009B6D8A" w:rsidP="009B6D8A">
            <w:pPr>
              <w:spacing w:after="0"/>
              <w:jc w:val="both"/>
              <w:rPr>
                <w:rFonts w:ascii="Times New Roman" w:hAnsi="Times New Roman"/>
                <w:sz w:val="24"/>
                <w:szCs w:val="24"/>
              </w:rPr>
            </w:pPr>
          </w:p>
          <w:p w14:paraId="3853D4FF" w14:textId="77777777" w:rsidR="00CE50D1" w:rsidRDefault="00CE50D1" w:rsidP="009B6D8A">
            <w:pPr>
              <w:spacing w:after="0"/>
              <w:jc w:val="both"/>
              <w:rPr>
                <w:rFonts w:ascii="Times New Roman" w:hAnsi="Times New Roman"/>
                <w:sz w:val="24"/>
                <w:szCs w:val="24"/>
              </w:rPr>
            </w:pPr>
            <w:r w:rsidRPr="00CE50D1">
              <w:rPr>
                <w:rFonts w:ascii="Times New Roman" w:hAnsi="Times New Roman"/>
                <w:sz w:val="24"/>
                <w:szCs w:val="24"/>
              </w:rPr>
              <w:t>Įgyvendinant Įstatymo Nr. XIII-2242 nuostatas, nutarimo projektu siūloma Mokesčio už naudojimąsi valstybinės reikšmės keliais važiuojant didžiagabaritėmis ir (ar) sunkiasvorėmis transporto priemonėmis ar jų junginiais dydžių ir šio mokesčio mokėjimo, administravimo ir priežiūros tvarkos aprašą išdėstyti nauja redakcija – atlikti redakcinio pobūdžio pakeitimus ir nustatyti mokesčio už naudojimąsi keliais važiuojant šešių ar daugiau ašių transporto priemonėmis, kurias sudaro motorinė transporto priemonė su suporintais galiniais ratais ir priekaba (puspriekabė) su suporintais ratais ir kurių ašies (ašių) apkrova yra ne didesnė už didžiausiąją leidžiamąją ašies (ašių) apkrovą, bendroji masė yra didesnė už didžiausiąją leidžiamąją bendrąją masę ir yra ne didesnė kaip 48 t, metų ribinius tarifus 1152 Eur (metų tarifas apskaičiuotas įvertinus mėnesio tarifo dydžio skaičiavimo formulę (173 Eur + 115 Eur/2), tai yra 1384 Eur + 920 Eur/2).</w:t>
            </w:r>
          </w:p>
          <w:p w14:paraId="36B1A412" w14:textId="031F092A" w:rsidR="009B6D8A" w:rsidRDefault="00CE50D1" w:rsidP="009B6D8A">
            <w:pPr>
              <w:spacing w:after="0"/>
              <w:jc w:val="both"/>
              <w:rPr>
                <w:rFonts w:ascii="Times New Roman" w:hAnsi="Times New Roman"/>
                <w:sz w:val="24"/>
                <w:szCs w:val="24"/>
              </w:rPr>
            </w:pPr>
            <w:r w:rsidRPr="00CE50D1">
              <w:rPr>
                <w:rFonts w:ascii="Times New Roman" w:hAnsi="Times New Roman"/>
                <w:sz w:val="24"/>
                <w:szCs w:val="24"/>
              </w:rPr>
              <w:t xml:space="preserve"> </w:t>
            </w:r>
          </w:p>
          <w:p w14:paraId="794B4C6D" w14:textId="77777777" w:rsidR="00CE50D1" w:rsidRPr="00CE50D1" w:rsidRDefault="00CE50D1" w:rsidP="00CE50D1">
            <w:pPr>
              <w:spacing w:after="0"/>
              <w:jc w:val="both"/>
              <w:rPr>
                <w:rFonts w:ascii="Times New Roman" w:hAnsi="Times New Roman"/>
                <w:b/>
                <w:bCs/>
                <w:sz w:val="24"/>
                <w:szCs w:val="24"/>
                <w:u w:val="single"/>
              </w:rPr>
            </w:pPr>
            <w:r w:rsidRPr="00CE50D1">
              <w:rPr>
                <w:rFonts w:ascii="Times New Roman" w:hAnsi="Times New Roman"/>
                <w:sz w:val="24"/>
                <w:szCs w:val="24"/>
              </w:rPr>
              <w:t>Įgyvendinant Įstatymo Nr. XIII-2119 nuostatas, tikslinamos Kelių priežiūros ir plėtros programos finansavimo lėšų naudojimo tvarkos aprašo nuostatos. Nutarimo projektu siūloma p</w:t>
            </w:r>
            <w:r w:rsidRPr="00CE50D1">
              <w:rPr>
                <w:rFonts w:ascii="Times New Roman" w:hAnsi="Times New Roman"/>
                <w:bCs/>
                <w:sz w:val="24"/>
                <w:szCs w:val="24"/>
              </w:rPr>
              <w:t xml:space="preserve">atikslinti, kokiems tikslams gali būti naudojamos Kelių priežiūros ir plėtros programos (toliau – Programas) </w:t>
            </w:r>
            <w:r w:rsidRPr="00CE50D1">
              <w:rPr>
                <w:rFonts w:ascii="Times New Roman" w:hAnsi="Times New Roman"/>
                <w:bCs/>
                <w:sz w:val="24"/>
                <w:szCs w:val="24"/>
              </w:rPr>
              <w:lastRenderedPageBreak/>
              <w:t>finansavimo lėšos, ir paskatinti savivaldybių administracijas aktyviau registruoti vietinės reikšmės kelius, stiprinti savivaldą ir spręsti mėgėjų sodų kelių problemą. Programos finansavimo lėšų rezervas būtų skiriamas sodininkų kelių, kelių statinių ir jų užimamos žemės teisinei registracijai būtinoms procedūroms atlikti, daiktinėms teisėms į žemę, šių teisių suvaržymams, juridiniams faktams registruoti, šiems keliams ar jų ruožams taisyti (remontuoti) ar rekonstruoti.</w:t>
            </w:r>
          </w:p>
          <w:p w14:paraId="6FB9347B" w14:textId="06E90DD9" w:rsidR="00CE50D1" w:rsidRDefault="00CE50D1" w:rsidP="009B6D8A">
            <w:pPr>
              <w:spacing w:after="0"/>
              <w:jc w:val="both"/>
              <w:rPr>
                <w:rFonts w:ascii="Times New Roman" w:hAnsi="Times New Roman"/>
                <w:sz w:val="24"/>
                <w:szCs w:val="24"/>
              </w:rPr>
            </w:pPr>
          </w:p>
          <w:p w14:paraId="36B1A415" w14:textId="7B489202" w:rsidR="009B6D8A" w:rsidRDefault="00CE50D1" w:rsidP="009B6D8A">
            <w:pPr>
              <w:spacing w:after="0"/>
              <w:jc w:val="both"/>
              <w:rPr>
                <w:rFonts w:ascii="Times New Roman" w:hAnsi="Times New Roman"/>
                <w:sz w:val="24"/>
                <w:szCs w:val="24"/>
              </w:rPr>
            </w:pPr>
            <w:r w:rsidRPr="00CE50D1">
              <w:rPr>
                <w:rFonts w:ascii="Times New Roman" w:eastAsia="Times New Roman" w:hAnsi="Times New Roman"/>
                <w:bCs/>
                <w:color w:val="000000"/>
                <w:sz w:val="24"/>
                <w:szCs w:val="24"/>
                <w:lang w:eastAsia="lt-LT"/>
              </w:rPr>
              <w:t>Nutarimo projektu siekiama patikslinti, kad Programos finansavimo lėšų rezervas gali būti skiriamas valstybės ir savivaldybių institucijų valdomų vietinės reikšmės kelių, nukentėjusių nuo ekstremaliųjų situacijų, skubaus taisymo (remonto) ar rekonstravimo dėl avarijos grėsmės, išlaidoms kompensuoti.</w:t>
            </w:r>
            <w:r w:rsidRPr="00CE50D1">
              <w:rPr>
                <w:rFonts w:ascii="Times New Roman" w:eastAsia="Times New Roman" w:hAnsi="Times New Roman"/>
                <w:color w:val="000000"/>
                <w:sz w:val="24"/>
                <w:szCs w:val="24"/>
              </w:rPr>
              <w:t xml:space="preserve"> Finansavimas nebūtų skiriamas, jeigu kelių ir kelių statinių avarinė būklė susidarė ne dėl ekstremaliosios situacijos</w:t>
            </w:r>
            <w:r>
              <w:rPr>
                <w:rFonts w:ascii="Times New Roman" w:eastAsia="Times New Roman" w:hAnsi="Times New Roman"/>
                <w:color w:val="000000"/>
                <w:sz w:val="24"/>
                <w:szCs w:val="24"/>
              </w:rPr>
              <w:t>,</w:t>
            </w:r>
            <w:r w:rsidRPr="00CE50D1">
              <w:rPr>
                <w:rFonts w:ascii="Times New Roman" w:eastAsia="Times New Roman" w:hAnsi="Times New Roman"/>
                <w:color w:val="000000"/>
                <w:sz w:val="24"/>
                <w:szCs w:val="24"/>
              </w:rPr>
              <w:t xml:space="preserve"> </w:t>
            </w:r>
            <w:r w:rsidR="009B6D8A">
              <w:rPr>
                <w:rFonts w:ascii="Times New Roman" w:hAnsi="Times New Roman"/>
                <w:sz w:val="24"/>
                <w:szCs w:val="24"/>
              </w:rPr>
              <w:t>o dėl netinkamos jų priežiūros.</w:t>
            </w:r>
          </w:p>
          <w:p w14:paraId="36B1A416" w14:textId="77777777" w:rsidR="009B6D8A" w:rsidRDefault="009B6D8A" w:rsidP="009B6D8A">
            <w:pPr>
              <w:spacing w:after="0"/>
              <w:jc w:val="both"/>
              <w:rPr>
                <w:rFonts w:ascii="Times New Roman" w:hAnsi="Times New Roman"/>
                <w:sz w:val="24"/>
                <w:szCs w:val="24"/>
              </w:rPr>
            </w:pPr>
          </w:p>
          <w:p w14:paraId="1071A22B" w14:textId="229A021B" w:rsidR="009A67CE" w:rsidRPr="009A67CE" w:rsidRDefault="009A67CE" w:rsidP="009A67CE">
            <w:pPr>
              <w:spacing w:after="0"/>
              <w:jc w:val="both"/>
              <w:rPr>
                <w:rFonts w:ascii="Times New Roman" w:hAnsi="Times New Roman"/>
                <w:sz w:val="24"/>
                <w:szCs w:val="24"/>
              </w:rPr>
            </w:pPr>
            <w:r w:rsidRPr="009A67CE">
              <w:rPr>
                <w:rFonts w:ascii="Times New Roman" w:hAnsi="Times New Roman"/>
                <w:sz w:val="24"/>
                <w:szCs w:val="24"/>
              </w:rPr>
              <w:t xml:space="preserve">Pažymėtina, kad Lietuvos Respublikos kelių priežiūros ir plėtros programos finansavimo įstatymo Nr. VIII-2032 9 straipsnio pakeitimo įstatyme Nr. XIII-2118 </w:t>
            </w:r>
            <w:r>
              <w:rPr>
                <w:rFonts w:ascii="Times New Roman" w:hAnsi="Times New Roman"/>
                <w:sz w:val="24"/>
                <w:szCs w:val="24"/>
              </w:rPr>
              <w:t xml:space="preserve">(toliau – Įstatymas </w:t>
            </w:r>
            <w:r w:rsidRPr="009A67CE">
              <w:rPr>
                <w:rFonts w:ascii="Times New Roman" w:hAnsi="Times New Roman"/>
                <w:sz w:val="24"/>
                <w:szCs w:val="24"/>
              </w:rPr>
              <w:t>Nr. XIII-2118) nustatyta, kad Programos finansavimo lėšos naudojamos pagal iki atitinkamų metų vasario 1 dienos Vyriausybės patvirtintą metinę lėšų naudojimo sąmatą, o Kelių priežiūros ir plėtros programos finansavimo lėšų naudojimo tvarkos aprašo (toliau – Aprašas) 3 punkte nustatyta, kad Susisiekimo ministerija kasmet, per mėnesį po to, kai patvirtinamas biudžetas, pateikia Vyriausybei ateinančių metų Programos finansavimo lėšų naudojimo sąmatos projektą. Nutarimo projektu siūloma tikslinti Aprašo formuluotę ir, atsižvelgiant į Įstatymą Nr. XIII-2118, nustatyti konkrečią datą iki atitinkamų metų sausio 5 d.</w:t>
            </w:r>
          </w:p>
          <w:p w14:paraId="71516CFA" w14:textId="77777777" w:rsidR="00CE50D1" w:rsidRDefault="00CE50D1" w:rsidP="009B6D8A">
            <w:pPr>
              <w:spacing w:after="0"/>
              <w:jc w:val="both"/>
              <w:rPr>
                <w:rFonts w:ascii="Times New Roman" w:hAnsi="Times New Roman"/>
                <w:sz w:val="24"/>
                <w:szCs w:val="24"/>
              </w:rPr>
            </w:pPr>
            <w:commentRangeStart w:id="1"/>
          </w:p>
          <w:commentRangeEnd w:id="1"/>
          <w:p w14:paraId="273D621A" w14:textId="2764419D" w:rsidR="009A67CE" w:rsidRPr="009A67CE" w:rsidRDefault="009A67CE" w:rsidP="009A67CE">
            <w:pPr>
              <w:spacing w:after="0"/>
              <w:jc w:val="both"/>
              <w:rPr>
                <w:rFonts w:ascii="Times New Roman" w:hAnsi="Times New Roman"/>
                <w:sz w:val="24"/>
                <w:szCs w:val="24"/>
              </w:rPr>
            </w:pPr>
            <w:r w:rsidRPr="009A67CE">
              <w:rPr>
                <w:rFonts w:ascii="Times New Roman" w:hAnsi="Times New Roman"/>
                <w:sz w:val="24"/>
                <w:szCs w:val="24"/>
              </w:rPr>
              <w:t>Nutarimo projektu siūloma papildyti Aprašą atsižvelgiant į nuo 2020 m. sausio 1 d. įsigaliosiančią Lietuvos Respublikos kelių įstatymo Nr. I-891 16 straipsnio pakeitimo įstatymo Nr. XIII-1788 nuostatą, kad nepanaudota atitinkamų metų Programos finansavimo lėšų dalis, kuri yra ne mažesnė kaip 25 procentai visų nepanaudotų atitinkamų metų Programos finansavimo lėšų, naudojama vietinės reikšmės keliams ir gatvėms tiesti, rekonstruoti, taisyti (remontuoti) ir prižiūrėti.</w:t>
            </w:r>
          </w:p>
          <w:p w14:paraId="3A60D060" w14:textId="77777777" w:rsidR="00CE50D1" w:rsidRDefault="00CE50D1" w:rsidP="009B6D8A">
            <w:pPr>
              <w:spacing w:after="0"/>
              <w:jc w:val="both"/>
              <w:rPr>
                <w:rFonts w:ascii="Times New Roman" w:hAnsi="Times New Roman"/>
                <w:sz w:val="24"/>
                <w:szCs w:val="24"/>
              </w:rPr>
            </w:pPr>
          </w:p>
          <w:p w14:paraId="36B1A418" w14:textId="51F73E9C" w:rsidR="009B6D8A" w:rsidRDefault="00CE50D1" w:rsidP="009B6D8A">
            <w:pPr>
              <w:spacing w:after="0"/>
              <w:jc w:val="both"/>
              <w:rPr>
                <w:rFonts w:ascii="Times New Roman" w:eastAsia="Times New Roman" w:hAnsi="Times New Roman"/>
                <w:sz w:val="24"/>
                <w:szCs w:val="24"/>
              </w:rPr>
            </w:pPr>
            <w:r w:rsidRPr="00CE50D1">
              <w:rPr>
                <w:rFonts w:ascii="Times New Roman" w:eastAsia="Times New Roman" w:hAnsi="Times New Roman"/>
                <w:color w:val="000000"/>
                <w:sz w:val="24"/>
                <w:szCs w:val="24"/>
              </w:rPr>
              <w:t xml:space="preserve">Nutarimo projektu taip pat siekiama suteikti teisę Lietuvos Respublikos ekonomikos ir inovacijų ministerijai atrinkti finansuoti iš Programos finansavimo lėšų rezervo ne tik vietinės reikšmės, </w:t>
            </w:r>
            <w:r w:rsidRPr="00CE50D1">
              <w:rPr>
                <w:rFonts w:ascii="Times New Roman" w:eastAsia="Times New Roman" w:hAnsi="Times New Roman"/>
                <w:sz w:val="24"/>
                <w:szCs w:val="24"/>
              </w:rPr>
              <w:t>bet ir valstybinės reikšmės</w:t>
            </w:r>
            <w:r w:rsidRPr="00CE50D1">
              <w:rPr>
                <w:rFonts w:ascii="Times New Roman" w:eastAsia="Times New Roman" w:hAnsi="Times New Roman"/>
                <w:color w:val="000000"/>
                <w:sz w:val="24"/>
                <w:szCs w:val="24"/>
              </w:rPr>
              <w:t xml:space="preserve"> kelių objektus, vedančius į </w:t>
            </w:r>
            <w:r w:rsidRPr="00CE50D1">
              <w:rPr>
                <w:rFonts w:ascii="Times New Roman" w:eastAsia="Times New Roman" w:hAnsi="Times New Roman"/>
                <w:sz w:val="24"/>
                <w:szCs w:val="24"/>
              </w:rPr>
              <w:t xml:space="preserve">teritorijas, kuriose kuriamos darbo vietos. </w:t>
            </w:r>
          </w:p>
          <w:p w14:paraId="1529D917" w14:textId="77777777" w:rsidR="00CE50D1" w:rsidRDefault="00CE50D1" w:rsidP="009B6D8A">
            <w:pPr>
              <w:spacing w:after="0"/>
              <w:jc w:val="both"/>
              <w:rPr>
                <w:rFonts w:ascii="Times New Roman" w:hAnsi="Times New Roman"/>
                <w:sz w:val="24"/>
                <w:szCs w:val="24"/>
              </w:rPr>
            </w:pPr>
          </w:p>
          <w:p w14:paraId="6F7343B2" w14:textId="77777777" w:rsidR="00CE50D1" w:rsidRPr="00CE50D1" w:rsidRDefault="00CE50D1" w:rsidP="00CE50D1">
            <w:pPr>
              <w:spacing w:after="0"/>
              <w:jc w:val="both"/>
              <w:rPr>
                <w:rFonts w:ascii="Times New Roman" w:hAnsi="Times New Roman"/>
                <w:sz w:val="24"/>
                <w:szCs w:val="24"/>
              </w:rPr>
            </w:pPr>
            <w:r w:rsidRPr="00CE50D1">
              <w:rPr>
                <w:rFonts w:ascii="Times New Roman" w:hAnsi="Times New Roman"/>
                <w:sz w:val="24"/>
                <w:szCs w:val="24"/>
              </w:rPr>
              <w:t xml:space="preserve">2019 metų duomenimis, dauguma savivaldybių administracijų dar neįregistravo Nekilnojamojo turto registre savo valdomų vietinės reikšmės kelių. Įvertinus tai, nutarimo projektu siūloma nuo 2020 metų Programos </w:t>
            </w:r>
            <w:r w:rsidRPr="00CE50D1">
              <w:rPr>
                <w:rFonts w:ascii="Times New Roman" w:hAnsi="Times New Roman"/>
                <w:sz w:val="24"/>
                <w:szCs w:val="24"/>
              </w:rPr>
              <w:lastRenderedPageBreak/>
              <w:t xml:space="preserve">finansavimo skaičiuojamųjų lėšų savivaldybių institucijoms paskirstymui planuotą naudoti naują kriterijų „Nekilnojamojo turto registre įregistruotų kelių ilgis“ pradėti taikyti 2021 metais. </w:t>
            </w:r>
          </w:p>
          <w:p w14:paraId="36B1A41A" w14:textId="77777777" w:rsidR="009B6D8A" w:rsidRDefault="009B6D8A" w:rsidP="009B6D8A">
            <w:pPr>
              <w:spacing w:after="0"/>
              <w:jc w:val="both"/>
              <w:rPr>
                <w:rFonts w:ascii="Times New Roman" w:hAnsi="Times New Roman"/>
                <w:sz w:val="24"/>
                <w:szCs w:val="24"/>
              </w:rPr>
            </w:pPr>
          </w:p>
          <w:p w14:paraId="149034AD" w14:textId="14B11AC1" w:rsidR="00CE50D1" w:rsidRPr="00CE50D1" w:rsidRDefault="00CE50D1" w:rsidP="00CE50D1">
            <w:pPr>
              <w:spacing w:after="0"/>
              <w:jc w:val="both"/>
              <w:rPr>
                <w:rFonts w:ascii="Times New Roman" w:hAnsi="Times New Roman"/>
                <w:sz w:val="24"/>
                <w:szCs w:val="24"/>
              </w:rPr>
            </w:pPr>
            <w:r w:rsidRPr="00CE50D1">
              <w:rPr>
                <w:rFonts w:ascii="Times New Roman" w:hAnsi="Times New Roman"/>
                <w:sz w:val="24"/>
                <w:szCs w:val="24"/>
              </w:rPr>
              <w:t>Vietinės reikšmės keliams ir toliau bus skiriama 30 proc. Programos finansavimo lėšų, tačiau nutarimo projektu siūloma aiškiau nustatyti lėšų skyrimo savivaldybių institucijų valdomiems vietinės reikšmės keliams tvarką. Įgyvendinant Nutarimą Nr. 5 ir siekiant sumažinti Sostinės regione esančius vidinius socialinius ir ekonominius skirtumus, užtikrinti pradėtų vykdyti Sostinės regione nacionalinės regioninės politikos įgyvendinimo priemonių ilgalaikį poveikį tolygiai ir tvariai plėtrai, Sostinės regione esančių savivaldybių, išskyrus Vilniaus miesto savivaldyb</w:t>
            </w:r>
            <w:r w:rsidR="00CF4DB5">
              <w:rPr>
                <w:rFonts w:ascii="Times New Roman" w:hAnsi="Times New Roman"/>
                <w:sz w:val="24"/>
                <w:szCs w:val="24"/>
              </w:rPr>
              <w:t>ę</w:t>
            </w:r>
            <w:r w:rsidRPr="00CE50D1">
              <w:rPr>
                <w:rFonts w:ascii="Times New Roman" w:hAnsi="Times New Roman"/>
                <w:sz w:val="24"/>
                <w:szCs w:val="24"/>
              </w:rPr>
              <w:t xml:space="preserve">, vietinės reikšmės keliams siūloma numatyti 2 proc. iš 30 proc. </w:t>
            </w:r>
            <w:r w:rsidRPr="00CE50D1">
              <w:rPr>
                <w:rFonts w:ascii="Times New Roman" w:hAnsi="Times New Roman"/>
                <w:sz w:val="24"/>
                <w:szCs w:val="24"/>
                <w:lang w:val="pl-PL"/>
              </w:rPr>
              <w:t>P</w:t>
            </w:r>
            <w:r w:rsidRPr="00CE50D1">
              <w:rPr>
                <w:rFonts w:ascii="Times New Roman" w:hAnsi="Times New Roman"/>
                <w:sz w:val="24"/>
                <w:szCs w:val="24"/>
              </w:rPr>
              <w:t xml:space="preserve">rogramos finansavimo lėšų. </w:t>
            </w:r>
          </w:p>
          <w:p w14:paraId="36B1A41C" w14:textId="77777777" w:rsidR="009B6D8A" w:rsidRDefault="009B6D8A" w:rsidP="009B6D8A">
            <w:pPr>
              <w:spacing w:after="0"/>
              <w:jc w:val="both"/>
              <w:rPr>
                <w:rFonts w:ascii="Times New Roman" w:hAnsi="Times New Roman"/>
                <w:sz w:val="24"/>
                <w:szCs w:val="24"/>
              </w:rPr>
            </w:pPr>
          </w:p>
          <w:p w14:paraId="287E35F5" w14:textId="695C0C0B" w:rsidR="00CE50D1" w:rsidRPr="00CE50D1" w:rsidRDefault="00CE50D1" w:rsidP="00CE50D1">
            <w:pPr>
              <w:spacing w:after="0"/>
              <w:jc w:val="both"/>
              <w:rPr>
                <w:rFonts w:ascii="Times New Roman" w:hAnsi="Times New Roman"/>
                <w:sz w:val="24"/>
                <w:szCs w:val="24"/>
              </w:rPr>
            </w:pPr>
            <w:r w:rsidRPr="00CE50D1">
              <w:rPr>
                <w:rFonts w:ascii="Times New Roman" w:hAnsi="Times New Roman"/>
                <w:sz w:val="24"/>
                <w:szCs w:val="24"/>
              </w:rPr>
              <w:t xml:space="preserve">Taip pat nutarimo projektu siūloma numatyti </w:t>
            </w:r>
            <w:r w:rsidRPr="00CE50D1">
              <w:rPr>
                <w:rFonts w:ascii="Times New Roman" w:hAnsi="Times New Roman"/>
                <w:sz w:val="24"/>
                <w:szCs w:val="24"/>
                <w:lang w:val="pl-PL"/>
              </w:rPr>
              <w:t xml:space="preserve">2 </w:t>
            </w:r>
            <w:r w:rsidRPr="00CE50D1">
              <w:rPr>
                <w:rFonts w:ascii="Times New Roman" w:hAnsi="Times New Roman"/>
                <w:sz w:val="24"/>
                <w:szCs w:val="24"/>
              </w:rPr>
              <w:t xml:space="preserve">proc. iš </w:t>
            </w:r>
            <w:r w:rsidRPr="00CE50D1">
              <w:rPr>
                <w:rFonts w:ascii="Times New Roman" w:hAnsi="Times New Roman"/>
                <w:sz w:val="24"/>
                <w:szCs w:val="24"/>
                <w:lang w:val="pl-PL"/>
              </w:rPr>
              <w:t>30 proc. P</w:t>
            </w:r>
            <w:r w:rsidRPr="00CE50D1">
              <w:rPr>
                <w:rFonts w:ascii="Times New Roman" w:hAnsi="Times New Roman"/>
                <w:sz w:val="24"/>
                <w:szCs w:val="24"/>
              </w:rPr>
              <w:t xml:space="preserve">rogramos finansavimo lėšų vietinės reikšmės keliams žiedinėse savivaldybėse, kurios yra šalia didžiųjų miestų, tačiau nepatenka į tų miestų teritoriją. Lėšos būtų skiriamos Vilniaus rajono, Trakų rajono, Kauno rajono, Klaipėdos rajono, Panevėžio rajono, Šiaulių rajono ir Alytaus rajono savivaldybėse esantiems vietinės reikšmės keliams. Planuojama, kad įgyvendinus šį siūlymą bus sumažinti socialiniai ir ekonominiai skirtumai, užtikrinta gyvenimo kokybė žiedinėse savivaldybėse, kurių didelė dalis gyventojų kasdien vyksta į didžiuosius miestus darbo reikalais.  </w:t>
            </w:r>
          </w:p>
          <w:p w14:paraId="5A7980A2" w14:textId="77777777" w:rsidR="009B6D8A" w:rsidRDefault="009B6D8A" w:rsidP="009B6D8A">
            <w:pPr>
              <w:spacing w:after="0"/>
              <w:jc w:val="both"/>
              <w:rPr>
                <w:rFonts w:ascii="Times New Roman" w:hAnsi="Times New Roman"/>
                <w:sz w:val="24"/>
                <w:szCs w:val="24"/>
              </w:rPr>
            </w:pPr>
          </w:p>
          <w:p w14:paraId="35E5F770" w14:textId="77777777" w:rsidR="009A67CE" w:rsidRPr="009A67CE" w:rsidRDefault="009A67CE" w:rsidP="009A67CE">
            <w:pPr>
              <w:spacing w:after="0"/>
              <w:jc w:val="both"/>
              <w:rPr>
                <w:rFonts w:ascii="Times New Roman" w:hAnsi="Times New Roman"/>
                <w:sz w:val="24"/>
                <w:szCs w:val="24"/>
              </w:rPr>
            </w:pPr>
            <w:r w:rsidRPr="009A67CE">
              <w:rPr>
                <w:rFonts w:ascii="Times New Roman" w:hAnsi="Times New Roman"/>
                <w:sz w:val="24"/>
                <w:szCs w:val="24"/>
              </w:rPr>
              <w:t>Galiojančiame Apraše nustatyta Programos finansavimo lėšų rezervo paskirstymo tvarka, tačiau kiekvienais metais susidaro situacija, kai dėl sutaupytų ar nepanaudotų lėšų rezervo lėšos turi būti perskirstomos. Nutarimo projektu siūloma Apraše nustatyti ir Programos finansavimo lėšų rezervo perskirstymo tvarką.</w:t>
            </w:r>
          </w:p>
          <w:p w14:paraId="36B1A41D" w14:textId="2DD03B43" w:rsidR="00CE50D1" w:rsidRPr="007A2F19" w:rsidRDefault="00CE50D1" w:rsidP="009B6D8A">
            <w:pPr>
              <w:spacing w:after="0"/>
              <w:jc w:val="both"/>
              <w:rPr>
                <w:rFonts w:ascii="Times New Roman" w:hAnsi="Times New Roman"/>
                <w:sz w:val="24"/>
                <w:szCs w:val="24"/>
              </w:rPr>
            </w:pPr>
          </w:p>
        </w:tc>
      </w:tr>
    </w:tbl>
    <w:p w14:paraId="36B1A41F" w14:textId="77777777" w:rsidR="00C15ADA" w:rsidRPr="00040982" w:rsidRDefault="00C15ADA" w:rsidP="00040982">
      <w:pPr>
        <w:spacing w:after="0"/>
        <w:rPr>
          <w:rFonts w:ascii="Times New Roman" w:hAnsi="Times New Roman"/>
          <w:sz w:val="16"/>
          <w:szCs w:val="16"/>
        </w:rPr>
      </w:pPr>
    </w:p>
    <w:tbl>
      <w:tblPr>
        <w:tblW w:w="9639" w:type="dxa"/>
        <w:jc w:val="center"/>
        <w:tblLook w:val="00A0" w:firstRow="1" w:lastRow="0" w:firstColumn="1" w:lastColumn="0" w:noHBand="0" w:noVBand="0"/>
      </w:tblPr>
      <w:tblGrid>
        <w:gridCol w:w="2268"/>
        <w:gridCol w:w="7371"/>
      </w:tblGrid>
      <w:tr w:rsidR="00C15ADA" w:rsidRPr="007A2F19" w14:paraId="36B1A423" w14:textId="77777777" w:rsidTr="0050389F">
        <w:trPr>
          <w:jc w:val="center"/>
        </w:trPr>
        <w:tc>
          <w:tcPr>
            <w:tcW w:w="2268" w:type="dxa"/>
            <w:shd w:val="clear" w:color="auto" w:fill="FFFFFF"/>
            <w:hideMark/>
          </w:tcPr>
          <w:p w14:paraId="36B1A420" w14:textId="77777777"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 xml:space="preserve">Poveikis </w:t>
            </w:r>
          </w:p>
          <w:p w14:paraId="36B1A421" w14:textId="77777777"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valstybės finansams</w:t>
            </w:r>
          </w:p>
        </w:tc>
        <w:tc>
          <w:tcPr>
            <w:tcW w:w="7371" w:type="dxa"/>
            <w:shd w:val="clear" w:color="auto" w:fill="auto"/>
            <w:hideMark/>
          </w:tcPr>
          <w:p w14:paraId="36B1A422" w14:textId="77777777" w:rsidR="00C15ADA" w:rsidRPr="007A2F19" w:rsidRDefault="00D43E88" w:rsidP="00040982">
            <w:pPr>
              <w:spacing w:after="0"/>
              <w:jc w:val="both"/>
              <w:rPr>
                <w:rFonts w:ascii="Times New Roman" w:hAnsi="Times New Roman"/>
                <w:sz w:val="24"/>
                <w:szCs w:val="24"/>
              </w:rPr>
            </w:pPr>
            <w:r w:rsidRPr="007A2F19">
              <w:rPr>
                <w:rFonts w:ascii="Times New Roman" w:hAnsi="Times New Roman"/>
                <w:sz w:val="24"/>
                <w:szCs w:val="24"/>
              </w:rPr>
              <w:t>Nenumatomas</w:t>
            </w:r>
            <w:r w:rsidR="004D607F" w:rsidRPr="007A2F19">
              <w:rPr>
                <w:rFonts w:ascii="Times New Roman" w:hAnsi="Times New Roman"/>
                <w:sz w:val="24"/>
                <w:szCs w:val="24"/>
              </w:rPr>
              <w:t>.</w:t>
            </w:r>
          </w:p>
        </w:tc>
      </w:tr>
    </w:tbl>
    <w:p w14:paraId="36B1A424" w14:textId="77777777" w:rsidR="00C15ADA" w:rsidRPr="007A2F19" w:rsidRDefault="00C15ADA" w:rsidP="00040982">
      <w:pPr>
        <w:spacing w:after="0"/>
        <w:rPr>
          <w:rFonts w:ascii="Times New Roman" w:hAnsi="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371"/>
      </w:tblGrid>
      <w:tr w:rsidR="00C15ADA" w:rsidRPr="007A2F19" w14:paraId="36B1A427" w14:textId="77777777" w:rsidTr="00B9167D">
        <w:trPr>
          <w:jc w:val="center"/>
        </w:trPr>
        <w:tc>
          <w:tcPr>
            <w:tcW w:w="2268" w:type="dxa"/>
            <w:tcBorders>
              <w:top w:val="nil"/>
              <w:left w:val="nil"/>
              <w:bottom w:val="nil"/>
              <w:right w:val="nil"/>
            </w:tcBorders>
            <w:shd w:val="clear" w:color="auto" w:fill="FFFFFF"/>
          </w:tcPr>
          <w:p w14:paraId="36B1A425" w14:textId="77777777"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Poveikis administracinei naštai</w:t>
            </w:r>
          </w:p>
        </w:tc>
        <w:tc>
          <w:tcPr>
            <w:tcW w:w="7371" w:type="dxa"/>
            <w:tcBorders>
              <w:top w:val="nil"/>
              <w:left w:val="nil"/>
              <w:bottom w:val="nil"/>
              <w:right w:val="nil"/>
            </w:tcBorders>
            <w:shd w:val="clear" w:color="auto" w:fill="FFFFFF"/>
            <w:hideMark/>
          </w:tcPr>
          <w:p w14:paraId="36B1A426" w14:textId="77777777" w:rsidR="00C15ADA" w:rsidRPr="007A2F19" w:rsidRDefault="00D43E88" w:rsidP="00040982">
            <w:pPr>
              <w:spacing w:after="0"/>
              <w:jc w:val="both"/>
              <w:rPr>
                <w:rFonts w:ascii="Times New Roman" w:hAnsi="Times New Roman"/>
                <w:sz w:val="24"/>
                <w:szCs w:val="24"/>
              </w:rPr>
            </w:pPr>
            <w:r w:rsidRPr="007A2F19">
              <w:rPr>
                <w:rFonts w:ascii="Times New Roman" w:hAnsi="Times New Roman"/>
                <w:sz w:val="24"/>
                <w:szCs w:val="24"/>
              </w:rPr>
              <w:t>Nenumatomas</w:t>
            </w:r>
            <w:r w:rsidR="005F563B" w:rsidRPr="007A2F19">
              <w:rPr>
                <w:rFonts w:ascii="Times New Roman" w:hAnsi="Times New Roman"/>
                <w:sz w:val="24"/>
                <w:szCs w:val="24"/>
              </w:rPr>
              <w:t>.</w:t>
            </w:r>
          </w:p>
        </w:tc>
      </w:tr>
    </w:tbl>
    <w:p w14:paraId="36B1A428" w14:textId="77777777" w:rsidR="00C15ADA" w:rsidRPr="00040982" w:rsidRDefault="00C15ADA" w:rsidP="00040982">
      <w:pPr>
        <w:shd w:val="clear" w:color="auto" w:fill="FFFFFF"/>
        <w:spacing w:after="0"/>
        <w:rPr>
          <w:rFonts w:ascii="Times New Roman" w:hAnsi="Times New Roman"/>
          <w:i/>
          <w:sz w:val="16"/>
          <w:szCs w:val="16"/>
        </w:rPr>
      </w:pPr>
    </w:p>
    <w:tbl>
      <w:tblPr>
        <w:tblW w:w="9639" w:type="dxa"/>
        <w:jc w:val="center"/>
        <w:shd w:val="clear" w:color="auto" w:fill="FFFFFF"/>
        <w:tblLook w:val="00A0" w:firstRow="1" w:lastRow="0" w:firstColumn="1" w:lastColumn="0" w:noHBand="0" w:noVBand="0"/>
      </w:tblPr>
      <w:tblGrid>
        <w:gridCol w:w="9639"/>
      </w:tblGrid>
      <w:tr w:rsidR="00C15ADA" w:rsidRPr="007A2F19" w14:paraId="36B1A42A" w14:textId="77777777" w:rsidTr="00B9167D">
        <w:trPr>
          <w:trHeight w:val="379"/>
          <w:jc w:val="center"/>
        </w:trPr>
        <w:tc>
          <w:tcPr>
            <w:tcW w:w="9639" w:type="dxa"/>
            <w:vMerge w:val="restart"/>
            <w:shd w:val="clear" w:color="auto" w:fill="FFFFFF"/>
            <w:hideMark/>
          </w:tcPr>
          <w:p w14:paraId="36B1A429" w14:textId="77777777" w:rsidR="00C15ADA" w:rsidRPr="007A2F19" w:rsidRDefault="00C15ADA" w:rsidP="00040982">
            <w:pPr>
              <w:shd w:val="clear" w:color="auto" w:fill="FFFFFF"/>
              <w:spacing w:after="0"/>
              <w:rPr>
                <w:rFonts w:ascii="Times New Roman" w:hAnsi="Times New Roman"/>
                <w:b/>
                <w:sz w:val="24"/>
                <w:szCs w:val="24"/>
              </w:rPr>
            </w:pPr>
            <w:r w:rsidRPr="007A2F19">
              <w:rPr>
                <w:rFonts w:ascii="Times New Roman" w:hAnsi="Times New Roman"/>
                <w:b/>
                <w:sz w:val="24"/>
                <w:szCs w:val="24"/>
              </w:rPr>
              <w:t>Kita svarbi informacija</w:t>
            </w:r>
            <w:r w:rsidR="00664346" w:rsidRPr="007A2F19">
              <w:rPr>
                <w:rFonts w:ascii="Times New Roman" w:hAnsi="Times New Roman"/>
                <w:sz w:val="24"/>
                <w:szCs w:val="24"/>
              </w:rPr>
              <w:t xml:space="preserve"> Nėra.</w:t>
            </w:r>
          </w:p>
        </w:tc>
      </w:tr>
      <w:tr w:rsidR="00C15ADA" w:rsidRPr="007A2F19" w14:paraId="36B1A42C" w14:textId="77777777" w:rsidTr="00040982">
        <w:trPr>
          <w:trHeight w:val="317"/>
          <w:jc w:val="center"/>
        </w:trPr>
        <w:tc>
          <w:tcPr>
            <w:tcW w:w="0" w:type="auto"/>
            <w:vMerge/>
            <w:shd w:val="clear" w:color="auto" w:fill="FFFFFF"/>
            <w:vAlign w:val="center"/>
            <w:hideMark/>
          </w:tcPr>
          <w:p w14:paraId="36B1A42B" w14:textId="77777777" w:rsidR="00C15ADA" w:rsidRPr="007A2F19" w:rsidRDefault="00C15ADA" w:rsidP="00040982">
            <w:pPr>
              <w:spacing w:after="0"/>
              <w:rPr>
                <w:rFonts w:ascii="Times New Roman" w:hAnsi="Times New Roman"/>
                <w:b/>
                <w:sz w:val="24"/>
                <w:szCs w:val="24"/>
              </w:rPr>
            </w:pPr>
          </w:p>
        </w:tc>
      </w:tr>
    </w:tbl>
    <w:p w14:paraId="36B1A42D" w14:textId="77777777" w:rsidR="00C15ADA" w:rsidRPr="007A2F19" w:rsidRDefault="00C15ADA" w:rsidP="00040982">
      <w:pPr>
        <w:pStyle w:val="ListParagraph1"/>
        <w:spacing w:line="276" w:lineRule="auto"/>
        <w:ind w:left="0" w:firstLine="142"/>
        <w:jc w:val="both"/>
        <w:rPr>
          <w:b/>
          <w:szCs w:val="24"/>
        </w:rPr>
      </w:pPr>
      <w:r w:rsidRPr="007A2F19">
        <w:rPr>
          <w:b/>
          <w:szCs w:val="24"/>
        </w:rPr>
        <w:t>Informacija apie asmenį ir instituciją, atsakingą už poveikio vertinimą</w:t>
      </w:r>
    </w:p>
    <w:p w14:paraId="36B1A42E" w14:textId="77777777" w:rsidR="00C15ADA" w:rsidRPr="00040982" w:rsidRDefault="00C15ADA" w:rsidP="00040982">
      <w:pPr>
        <w:spacing w:after="0"/>
        <w:jc w:val="both"/>
        <w:rPr>
          <w:rFonts w:ascii="Times New Roman" w:hAnsi="Times New Roman"/>
          <w:sz w:val="16"/>
          <w:szCs w:val="16"/>
        </w:rPr>
      </w:pPr>
    </w:p>
    <w:tbl>
      <w:tblPr>
        <w:tblW w:w="9639" w:type="dxa"/>
        <w:jc w:val="center"/>
        <w:tblLook w:val="00A0" w:firstRow="1" w:lastRow="0" w:firstColumn="1" w:lastColumn="0" w:noHBand="0" w:noVBand="0"/>
      </w:tblPr>
      <w:tblGrid>
        <w:gridCol w:w="2835"/>
        <w:gridCol w:w="6804"/>
      </w:tblGrid>
      <w:tr w:rsidR="001C1659" w:rsidRPr="007A2F19" w14:paraId="36B1A431" w14:textId="77777777" w:rsidTr="00040982">
        <w:trPr>
          <w:trHeight w:val="489"/>
          <w:jc w:val="center"/>
        </w:trPr>
        <w:tc>
          <w:tcPr>
            <w:tcW w:w="2835" w:type="dxa"/>
            <w:tcMar>
              <w:top w:w="28" w:type="dxa"/>
              <w:bottom w:w="28" w:type="dxa"/>
            </w:tcMar>
            <w:hideMark/>
          </w:tcPr>
          <w:p w14:paraId="36B1A42F" w14:textId="77777777" w:rsidR="001C1659" w:rsidRPr="007A2F19" w:rsidRDefault="001C1659" w:rsidP="00040982">
            <w:pPr>
              <w:pStyle w:val="ListParagraph1"/>
              <w:spacing w:line="276" w:lineRule="auto"/>
              <w:ind w:left="0"/>
              <w:rPr>
                <w:szCs w:val="24"/>
              </w:rPr>
            </w:pPr>
            <w:r w:rsidRPr="007A2F19">
              <w:rPr>
                <w:szCs w:val="24"/>
              </w:rPr>
              <w:t>Vardas ir pavardė</w:t>
            </w:r>
          </w:p>
        </w:tc>
        <w:tc>
          <w:tcPr>
            <w:tcW w:w="6804" w:type="dxa"/>
            <w:tcMar>
              <w:top w:w="28" w:type="dxa"/>
              <w:bottom w:w="28" w:type="dxa"/>
            </w:tcMar>
          </w:tcPr>
          <w:p w14:paraId="36B1A430" w14:textId="77777777" w:rsidR="001C1659" w:rsidRPr="007A2F19" w:rsidRDefault="007A408D" w:rsidP="00040982">
            <w:pPr>
              <w:pStyle w:val="ListParagraph1"/>
              <w:spacing w:line="276" w:lineRule="auto"/>
              <w:ind w:left="0"/>
              <w:rPr>
                <w:szCs w:val="24"/>
              </w:rPr>
            </w:pPr>
            <w:r w:rsidRPr="007A2F19">
              <w:rPr>
                <w:szCs w:val="24"/>
              </w:rPr>
              <w:t>Sergėjus Volkovas</w:t>
            </w:r>
          </w:p>
        </w:tc>
      </w:tr>
      <w:tr w:rsidR="001C1659" w:rsidRPr="007A2F19" w14:paraId="36B1A434" w14:textId="77777777" w:rsidTr="00040982">
        <w:trPr>
          <w:trHeight w:val="394"/>
          <w:jc w:val="center"/>
        </w:trPr>
        <w:tc>
          <w:tcPr>
            <w:tcW w:w="2835" w:type="dxa"/>
            <w:tcMar>
              <w:top w:w="28" w:type="dxa"/>
              <w:bottom w:w="28" w:type="dxa"/>
            </w:tcMar>
            <w:hideMark/>
          </w:tcPr>
          <w:p w14:paraId="36B1A432" w14:textId="77777777" w:rsidR="001C1659" w:rsidRPr="007A2F19" w:rsidRDefault="001C1659" w:rsidP="00040982">
            <w:pPr>
              <w:pStyle w:val="ListParagraph1"/>
              <w:spacing w:line="276" w:lineRule="auto"/>
              <w:ind w:left="0"/>
              <w:rPr>
                <w:b/>
                <w:szCs w:val="24"/>
              </w:rPr>
            </w:pPr>
            <w:r w:rsidRPr="007A2F19">
              <w:rPr>
                <w:szCs w:val="24"/>
              </w:rPr>
              <w:t>Pareigos</w:t>
            </w:r>
          </w:p>
        </w:tc>
        <w:tc>
          <w:tcPr>
            <w:tcW w:w="6804" w:type="dxa"/>
            <w:tcMar>
              <w:top w:w="28" w:type="dxa"/>
              <w:bottom w:w="28" w:type="dxa"/>
            </w:tcMar>
          </w:tcPr>
          <w:p w14:paraId="36B1A433" w14:textId="77777777" w:rsidR="001C1659" w:rsidRPr="007A2F19" w:rsidRDefault="007A408D" w:rsidP="00040982">
            <w:pPr>
              <w:pStyle w:val="ListParagraph1"/>
              <w:spacing w:line="276" w:lineRule="auto"/>
              <w:ind w:left="0"/>
              <w:rPr>
                <w:szCs w:val="24"/>
              </w:rPr>
            </w:pPr>
            <w:r w:rsidRPr="007A2F19">
              <w:rPr>
                <w:szCs w:val="24"/>
              </w:rPr>
              <w:t xml:space="preserve">Vyresnysis patarėjas </w:t>
            </w:r>
          </w:p>
        </w:tc>
      </w:tr>
      <w:tr w:rsidR="001C1659" w:rsidRPr="007A2F19" w14:paraId="36B1A437" w14:textId="77777777" w:rsidTr="00040982">
        <w:trPr>
          <w:trHeight w:val="672"/>
          <w:jc w:val="center"/>
        </w:trPr>
        <w:tc>
          <w:tcPr>
            <w:tcW w:w="2835" w:type="dxa"/>
            <w:tcMar>
              <w:top w:w="28" w:type="dxa"/>
              <w:bottom w:w="28" w:type="dxa"/>
            </w:tcMar>
            <w:hideMark/>
          </w:tcPr>
          <w:p w14:paraId="36B1A435" w14:textId="77777777" w:rsidR="001C1659" w:rsidRPr="007A2F19" w:rsidRDefault="001C1659" w:rsidP="00040982">
            <w:pPr>
              <w:pStyle w:val="ListParagraph1"/>
              <w:spacing w:line="276" w:lineRule="auto"/>
              <w:ind w:left="0"/>
              <w:rPr>
                <w:b/>
                <w:szCs w:val="24"/>
              </w:rPr>
            </w:pPr>
            <w:r w:rsidRPr="007A2F19">
              <w:rPr>
                <w:szCs w:val="24"/>
              </w:rPr>
              <w:lastRenderedPageBreak/>
              <w:t>Institucija (padalinys)</w:t>
            </w:r>
          </w:p>
        </w:tc>
        <w:tc>
          <w:tcPr>
            <w:tcW w:w="6804" w:type="dxa"/>
            <w:tcMar>
              <w:top w:w="28" w:type="dxa"/>
              <w:bottom w:w="28" w:type="dxa"/>
            </w:tcMar>
          </w:tcPr>
          <w:p w14:paraId="36B1A436" w14:textId="77777777" w:rsidR="001C1659" w:rsidRPr="007A2F19" w:rsidRDefault="001C1659" w:rsidP="00040982">
            <w:pPr>
              <w:pStyle w:val="ListParagraph1"/>
              <w:spacing w:line="276" w:lineRule="auto"/>
              <w:ind w:left="0"/>
              <w:rPr>
                <w:szCs w:val="24"/>
              </w:rPr>
            </w:pPr>
            <w:r w:rsidRPr="007A2F19">
              <w:rPr>
                <w:szCs w:val="24"/>
              </w:rPr>
              <w:t xml:space="preserve">Lietuvos Respublikos </w:t>
            </w:r>
            <w:r w:rsidR="006631A6" w:rsidRPr="007A2F19">
              <w:rPr>
                <w:szCs w:val="24"/>
              </w:rPr>
              <w:t xml:space="preserve">susisiekimo </w:t>
            </w:r>
            <w:r w:rsidRPr="007A2F19">
              <w:rPr>
                <w:szCs w:val="24"/>
              </w:rPr>
              <w:t xml:space="preserve">ministerijos </w:t>
            </w:r>
            <w:r w:rsidR="007A408D" w:rsidRPr="007A2F19">
              <w:rPr>
                <w:szCs w:val="24"/>
              </w:rPr>
              <w:t xml:space="preserve">Kelių </w:t>
            </w:r>
            <w:r w:rsidR="005F07F9" w:rsidRPr="007A2F19">
              <w:rPr>
                <w:szCs w:val="24"/>
              </w:rPr>
              <w:t xml:space="preserve">ir oro </w:t>
            </w:r>
            <w:r w:rsidR="007A408D" w:rsidRPr="007A2F19">
              <w:rPr>
                <w:szCs w:val="24"/>
              </w:rPr>
              <w:t xml:space="preserve">transporto politikos </w:t>
            </w:r>
            <w:r w:rsidR="005F07F9" w:rsidRPr="007A2F19">
              <w:rPr>
                <w:szCs w:val="24"/>
              </w:rPr>
              <w:t xml:space="preserve">grupė </w:t>
            </w:r>
          </w:p>
        </w:tc>
      </w:tr>
      <w:tr w:rsidR="001C1659" w:rsidRPr="007A2F19" w14:paraId="36B1A43A" w14:textId="77777777" w:rsidTr="00F81AAB">
        <w:trPr>
          <w:trHeight w:val="491"/>
          <w:jc w:val="center"/>
        </w:trPr>
        <w:tc>
          <w:tcPr>
            <w:tcW w:w="2835" w:type="dxa"/>
            <w:tcMar>
              <w:top w:w="28" w:type="dxa"/>
              <w:bottom w:w="28" w:type="dxa"/>
            </w:tcMar>
            <w:hideMark/>
          </w:tcPr>
          <w:p w14:paraId="36B1A438" w14:textId="77777777" w:rsidR="001C1659" w:rsidRPr="007A2F19" w:rsidRDefault="001C1659" w:rsidP="00040982">
            <w:pPr>
              <w:pStyle w:val="ListParagraph1"/>
              <w:spacing w:line="276" w:lineRule="auto"/>
              <w:ind w:left="0"/>
              <w:rPr>
                <w:szCs w:val="24"/>
              </w:rPr>
            </w:pPr>
            <w:r w:rsidRPr="007A2F19">
              <w:rPr>
                <w:szCs w:val="24"/>
              </w:rPr>
              <w:t>Telefono numeris ir elektroninio pašto adresas</w:t>
            </w:r>
          </w:p>
        </w:tc>
        <w:tc>
          <w:tcPr>
            <w:tcW w:w="6804" w:type="dxa"/>
            <w:tcMar>
              <w:top w:w="28" w:type="dxa"/>
              <w:bottom w:w="28" w:type="dxa"/>
            </w:tcMar>
          </w:tcPr>
          <w:p w14:paraId="36B1A439" w14:textId="77777777" w:rsidR="001C1659" w:rsidRPr="007A2F19" w:rsidRDefault="001C1659" w:rsidP="00040982">
            <w:pPr>
              <w:pStyle w:val="ListParagraph1"/>
              <w:spacing w:line="276" w:lineRule="auto"/>
              <w:ind w:left="0"/>
              <w:rPr>
                <w:szCs w:val="24"/>
              </w:rPr>
            </w:pPr>
            <w:r w:rsidRPr="007A2F19">
              <w:rPr>
                <w:szCs w:val="24"/>
              </w:rPr>
              <w:t xml:space="preserve">Tel. </w:t>
            </w:r>
            <w:r w:rsidR="007A408D" w:rsidRPr="007A2F19">
              <w:rPr>
                <w:szCs w:val="24"/>
              </w:rPr>
              <w:t>(</w:t>
            </w:r>
            <w:r w:rsidRPr="007A2F19">
              <w:rPr>
                <w:szCs w:val="24"/>
              </w:rPr>
              <w:t xml:space="preserve">8 </w:t>
            </w:r>
            <w:r w:rsidR="007A408D" w:rsidRPr="007A2F19">
              <w:rPr>
                <w:szCs w:val="24"/>
              </w:rPr>
              <w:t>5) 239 3877</w:t>
            </w:r>
            <w:r w:rsidR="00B2700D" w:rsidRPr="007A2F19">
              <w:rPr>
                <w:szCs w:val="24"/>
              </w:rPr>
              <w:t>,</w:t>
            </w:r>
            <w:r w:rsidRPr="007A2F19">
              <w:rPr>
                <w:szCs w:val="24"/>
              </w:rPr>
              <w:t xml:space="preserve"> el. paštas </w:t>
            </w:r>
            <w:r w:rsidR="0037290F" w:rsidRPr="007A2F19">
              <w:rPr>
                <w:szCs w:val="24"/>
              </w:rPr>
              <w:t>serge</w:t>
            </w:r>
            <w:r w:rsidR="007A408D" w:rsidRPr="007A2F19">
              <w:rPr>
                <w:szCs w:val="24"/>
              </w:rPr>
              <w:t>jus</w:t>
            </w:r>
            <w:r w:rsidR="00DE6568" w:rsidRPr="007A2F19">
              <w:rPr>
                <w:szCs w:val="24"/>
              </w:rPr>
              <w:t>.</w:t>
            </w:r>
            <w:r w:rsidR="007A408D" w:rsidRPr="007A2F19">
              <w:rPr>
                <w:szCs w:val="24"/>
              </w:rPr>
              <w:t>volkovas</w:t>
            </w:r>
            <w:r w:rsidRPr="007A2F19">
              <w:rPr>
                <w:szCs w:val="24"/>
              </w:rPr>
              <w:t>@</w:t>
            </w:r>
            <w:r w:rsidR="007A408D" w:rsidRPr="007A2F19">
              <w:rPr>
                <w:szCs w:val="24"/>
              </w:rPr>
              <w:t>sumin</w:t>
            </w:r>
            <w:r w:rsidRPr="007A2F19">
              <w:rPr>
                <w:szCs w:val="24"/>
              </w:rPr>
              <w:t xml:space="preserve">.lt </w:t>
            </w:r>
          </w:p>
        </w:tc>
      </w:tr>
    </w:tbl>
    <w:p w14:paraId="36B1A43B" w14:textId="77777777" w:rsidR="00C15ADA" w:rsidRPr="008D6FD1" w:rsidRDefault="00C15ADA" w:rsidP="00040982">
      <w:pPr>
        <w:pStyle w:val="Antrats"/>
        <w:tabs>
          <w:tab w:val="clear" w:pos="4153"/>
          <w:tab w:val="clear" w:pos="8306"/>
          <w:tab w:val="left" w:pos="6237"/>
        </w:tabs>
        <w:spacing w:line="276" w:lineRule="auto"/>
        <w:rPr>
          <w:szCs w:val="24"/>
        </w:rPr>
      </w:pPr>
    </w:p>
    <w:sectPr w:rsidR="00C15ADA" w:rsidRPr="008D6FD1" w:rsidSect="00040982">
      <w:pgSz w:w="11906" w:h="16838"/>
      <w:pgMar w:top="851"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7E6579" w16cid:durableId="217CF6F6"/>
  <w16cid:commentId w16cid:paraId="0B46E91A" w16cid:durableId="217CF75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0NDewMDY1MTQ0szBT0lEKTi0uzszPAykwrAUA9zZSWCwAAAA="/>
  </w:docVars>
  <w:rsids>
    <w:rsidRoot w:val="00C15ADA"/>
    <w:rsid w:val="00006AC3"/>
    <w:rsid w:val="00033998"/>
    <w:rsid w:val="00040982"/>
    <w:rsid w:val="00044851"/>
    <w:rsid w:val="00045506"/>
    <w:rsid w:val="0005529F"/>
    <w:rsid w:val="00097F64"/>
    <w:rsid w:val="000C30F8"/>
    <w:rsid w:val="000D746A"/>
    <w:rsid w:val="00125C9D"/>
    <w:rsid w:val="00133A34"/>
    <w:rsid w:val="00147C5F"/>
    <w:rsid w:val="00180BD6"/>
    <w:rsid w:val="00185596"/>
    <w:rsid w:val="001B7EA3"/>
    <w:rsid w:val="001C1659"/>
    <w:rsid w:val="001C28CC"/>
    <w:rsid w:val="002044B8"/>
    <w:rsid w:val="00224D60"/>
    <w:rsid w:val="00225FAE"/>
    <w:rsid w:val="00231EFF"/>
    <w:rsid w:val="0023413B"/>
    <w:rsid w:val="0025522A"/>
    <w:rsid w:val="002D0499"/>
    <w:rsid w:val="002D0BB7"/>
    <w:rsid w:val="002D48B7"/>
    <w:rsid w:val="0030780F"/>
    <w:rsid w:val="0033233F"/>
    <w:rsid w:val="00342792"/>
    <w:rsid w:val="00344B2D"/>
    <w:rsid w:val="00344F17"/>
    <w:rsid w:val="00353932"/>
    <w:rsid w:val="0037290F"/>
    <w:rsid w:val="00375C23"/>
    <w:rsid w:val="003777CA"/>
    <w:rsid w:val="003A3EDB"/>
    <w:rsid w:val="003E564C"/>
    <w:rsid w:val="003E6DDA"/>
    <w:rsid w:val="003F475B"/>
    <w:rsid w:val="00426CC8"/>
    <w:rsid w:val="00431C9D"/>
    <w:rsid w:val="00465B39"/>
    <w:rsid w:val="004765E1"/>
    <w:rsid w:val="004A0B9D"/>
    <w:rsid w:val="004A38EB"/>
    <w:rsid w:val="004B7D91"/>
    <w:rsid w:val="004C3697"/>
    <w:rsid w:val="004C4DAE"/>
    <w:rsid w:val="004D52BA"/>
    <w:rsid w:val="004D607F"/>
    <w:rsid w:val="004E34E3"/>
    <w:rsid w:val="0050389F"/>
    <w:rsid w:val="00505468"/>
    <w:rsid w:val="00505541"/>
    <w:rsid w:val="00534D7B"/>
    <w:rsid w:val="005435E9"/>
    <w:rsid w:val="00577378"/>
    <w:rsid w:val="00581CC9"/>
    <w:rsid w:val="005C1C87"/>
    <w:rsid w:val="005E457A"/>
    <w:rsid w:val="005F07F9"/>
    <w:rsid w:val="005F563B"/>
    <w:rsid w:val="006019BB"/>
    <w:rsid w:val="006432A2"/>
    <w:rsid w:val="00655068"/>
    <w:rsid w:val="0066060D"/>
    <w:rsid w:val="006631A6"/>
    <w:rsid w:val="00664346"/>
    <w:rsid w:val="00674470"/>
    <w:rsid w:val="00681DA3"/>
    <w:rsid w:val="006C0AA6"/>
    <w:rsid w:val="006C2029"/>
    <w:rsid w:val="006F3DB3"/>
    <w:rsid w:val="00735F6A"/>
    <w:rsid w:val="0074398C"/>
    <w:rsid w:val="00754E77"/>
    <w:rsid w:val="007A2F19"/>
    <w:rsid w:val="007A408D"/>
    <w:rsid w:val="007B3CC6"/>
    <w:rsid w:val="007C5C02"/>
    <w:rsid w:val="007D2BDD"/>
    <w:rsid w:val="0080763B"/>
    <w:rsid w:val="00835E6F"/>
    <w:rsid w:val="00893594"/>
    <w:rsid w:val="008D6FD1"/>
    <w:rsid w:val="008F35E1"/>
    <w:rsid w:val="009238CE"/>
    <w:rsid w:val="0093434E"/>
    <w:rsid w:val="009504E9"/>
    <w:rsid w:val="009A67CE"/>
    <w:rsid w:val="009B6D8A"/>
    <w:rsid w:val="009E76D1"/>
    <w:rsid w:val="009F1C91"/>
    <w:rsid w:val="00A008E0"/>
    <w:rsid w:val="00A7083B"/>
    <w:rsid w:val="00A90717"/>
    <w:rsid w:val="00AA1EE6"/>
    <w:rsid w:val="00AA3664"/>
    <w:rsid w:val="00AA484C"/>
    <w:rsid w:val="00AB0976"/>
    <w:rsid w:val="00AE61E8"/>
    <w:rsid w:val="00AE6B45"/>
    <w:rsid w:val="00B24A43"/>
    <w:rsid w:val="00B2700D"/>
    <w:rsid w:val="00B462AF"/>
    <w:rsid w:val="00B82E43"/>
    <w:rsid w:val="00B91124"/>
    <w:rsid w:val="00B9167D"/>
    <w:rsid w:val="00B92F5C"/>
    <w:rsid w:val="00BA00EB"/>
    <w:rsid w:val="00BB1D20"/>
    <w:rsid w:val="00BC1D13"/>
    <w:rsid w:val="00BC636E"/>
    <w:rsid w:val="00BD2018"/>
    <w:rsid w:val="00C15705"/>
    <w:rsid w:val="00C15ADA"/>
    <w:rsid w:val="00C20F3E"/>
    <w:rsid w:val="00C5414D"/>
    <w:rsid w:val="00C861E2"/>
    <w:rsid w:val="00C964FE"/>
    <w:rsid w:val="00CA0782"/>
    <w:rsid w:val="00CA506A"/>
    <w:rsid w:val="00CB0D0B"/>
    <w:rsid w:val="00CB401A"/>
    <w:rsid w:val="00CD1533"/>
    <w:rsid w:val="00CE50D1"/>
    <w:rsid w:val="00CF4DB5"/>
    <w:rsid w:val="00CF4FA2"/>
    <w:rsid w:val="00CF7FF3"/>
    <w:rsid w:val="00D2394F"/>
    <w:rsid w:val="00D4001F"/>
    <w:rsid w:val="00D43E88"/>
    <w:rsid w:val="00D76AE9"/>
    <w:rsid w:val="00DB1529"/>
    <w:rsid w:val="00DC5F97"/>
    <w:rsid w:val="00DE6568"/>
    <w:rsid w:val="00E148FC"/>
    <w:rsid w:val="00E21229"/>
    <w:rsid w:val="00E60122"/>
    <w:rsid w:val="00E80358"/>
    <w:rsid w:val="00E83F98"/>
    <w:rsid w:val="00EC7614"/>
    <w:rsid w:val="00EE431B"/>
    <w:rsid w:val="00F00896"/>
    <w:rsid w:val="00F20699"/>
    <w:rsid w:val="00F52763"/>
    <w:rsid w:val="00F57041"/>
    <w:rsid w:val="00F81AAB"/>
    <w:rsid w:val="00F86CD9"/>
    <w:rsid w:val="00FC3F54"/>
    <w:rsid w:val="00FE5A07"/>
    <w:rsid w:val="00FF2BFA"/>
    <w:rsid w:val="00FF6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A3FC"/>
  <w15:docId w15:val="{A94A25C4-B7F3-475B-8B10-69EB9BE2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80F"/>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C15ADA"/>
    <w:pPr>
      <w:tabs>
        <w:tab w:val="center" w:pos="4153"/>
        <w:tab w:val="right" w:pos="8306"/>
      </w:tabs>
      <w:spacing w:after="0" w:line="240" w:lineRule="auto"/>
    </w:pPr>
    <w:rPr>
      <w:rFonts w:ascii="Times New Roman" w:eastAsia="Times New Roman" w:hAnsi="Times New Roman"/>
      <w:sz w:val="24"/>
      <w:szCs w:val="20"/>
    </w:rPr>
  </w:style>
  <w:style w:type="character" w:customStyle="1" w:styleId="AntratsDiagrama">
    <w:name w:val="Antraštės Diagrama"/>
    <w:aliases w:val="Char Diagrama,Diagrama Diagrama"/>
    <w:basedOn w:val="Numatytasispastraiposriftas"/>
    <w:link w:val="Antrats"/>
    <w:uiPriority w:val="99"/>
    <w:rsid w:val="00C15ADA"/>
    <w:rPr>
      <w:rFonts w:ascii="Times New Roman" w:eastAsia="Times New Roman" w:hAnsi="Times New Roman" w:cs="Times New Roman"/>
      <w:sz w:val="24"/>
      <w:szCs w:val="20"/>
    </w:rPr>
  </w:style>
  <w:style w:type="paragraph" w:customStyle="1" w:styleId="ListParagraph1">
    <w:name w:val="List Paragraph1"/>
    <w:basedOn w:val="prastasis"/>
    <w:qFormat/>
    <w:rsid w:val="00C15ADA"/>
    <w:pPr>
      <w:spacing w:after="0" w:line="240" w:lineRule="auto"/>
      <w:ind w:left="1296"/>
    </w:pPr>
    <w:rPr>
      <w:rFonts w:ascii="Times New Roman" w:eastAsia="Times New Roman" w:hAnsi="Times New Roman"/>
      <w:sz w:val="24"/>
      <w:szCs w:val="20"/>
    </w:rPr>
  </w:style>
  <w:style w:type="character" w:styleId="Hipersaitas">
    <w:name w:val="Hyperlink"/>
    <w:basedOn w:val="Numatytasispastraiposriftas"/>
    <w:uiPriority w:val="99"/>
    <w:unhideWhenUsed/>
    <w:rsid w:val="00CA506A"/>
    <w:rPr>
      <w:color w:val="0000FF"/>
      <w:u w:val="single"/>
    </w:rPr>
  </w:style>
  <w:style w:type="character" w:styleId="Komentaronuoroda">
    <w:name w:val="annotation reference"/>
    <w:basedOn w:val="Numatytasispastraiposriftas"/>
    <w:uiPriority w:val="99"/>
    <w:semiHidden/>
    <w:unhideWhenUsed/>
    <w:rsid w:val="006F3DB3"/>
    <w:rPr>
      <w:sz w:val="16"/>
      <w:szCs w:val="16"/>
    </w:rPr>
  </w:style>
  <w:style w:type="paragraph" w:styleId="Komentarotekstas">
    <w:name w:val="annotation text"/>
    <w:basedOn w:val="prastasis"/>
    <w:link w:val="KomentarotekstasDiagrama"/>
    <w:uiPriority w:val="99"/>
    <w:semiHidden/>
    <w:unhideWhenUsed/>
    <w:rsid w:val="006F3DB3"/>
    <w:rPr>
      <w:sz w:val="20"/>
      <w:szCs w:val="20"/>
    </w:rPr>
  </w:style>
  <w:style w:type="character" w:customStyle="1" w:styleId="KomentarotekstasDiagrama">
    <w:name w:val="Komentaro tekstas Diagrama"/>
    <w:basedOn w:val="Numatytasispastraiposriftas"/>
    <w:link w:val="Komentarotekstas"/>
    <w:uiPriority w:val="99"/>
    <w:semiHidden/>
    <w:rsid w:val="006F3DB3"/>
    <w:rPr>
      <w:lang w:eastAsia="en-US"/>
    </w:rPr>
  </w:style>
  <w:style w:type="paragraph" w:styleId="Komentarotema">
    <w:name w:val="annotation subject"/>
    <w:basedOn w:val="Komentarotekstas"/>
    <w:next w:val="Komentarotekstas"/>
    <w:link w:val="KomentarotemaDiagrama"/>
    <w:uiPriority w:val="99"/>
    <w:semiHidden/>
    <w:unhideWhenUsed/>
    <w:rsid w:val="006F3DB3"/>
    <w:rPr>
      <w:b/>
      <w:bCs/>
    </w:rPr>
  </w:style>
  <w:style w:type="character" w:customStyle="1" w:styleId="KomentarotemaDiagrama">
    <w:name w:val="Komentaro tema Diagrama"/>
    <w:basedOn w:val="KomentarotekstasDiagrama"/>
    <w:link w:val="Komentarotema"/>
    <w:uiPriority w:val="99"/>
    <w:semiHidden/>
    <w:rsid w:val="006F3DB3"/>
    <w:rPr>
      <w:b/>
      <w:bCs/>
      <w:lang w:eastAsia="en-US"/>
    </w:rPr>
  </w:style>
  <w:style w:type="paragraph" w:styleId="Debesliotekstas">
    <w:name w:val="Balloon Text"/>
    <w:basedOn w:val="prastasis"/>
    <w:link w:val="DebesliotekstasDiagrama"/>
    <w:uiPriority w:val="99"/>
    <w:semiHidden/>
    <w:unhideWhenUsed/>
    <w:rsid w:val="006F3DB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3D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44827">
      <w:bodyDiv w:val="1"/>
      <w:marLeft w:val="0"/>
      <w:marRight w:val="0"/>
      <w:marTop w:val="0"/>
      <w:marBottom w:val="0"/>
      <w:divBdr>
        <w:top w:val="none" w:sz="0" w:space="0" w:color="auto"/>
        <w:left w:val="none" w:sz="0" w:space="0" w:color="auto"/>
        <w:bottom w:val="none" w:sz="0" w:space="0" w:color="auto"/>
        <w:right w:val="none" w:sz="0" w:space="0" w:color="auto"/>
      </w:divBdr>
    </w:div>
    <w:div w:id="8217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 Id="rId6" Target="commentsIds.xml" Type="http://schemas.microsoft.com/office/2016/09/relationships/commentsId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4905</Words>
  <Characters>2797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2019-11-15T13:34:00Z</dcterms:created>
  <dc:creator>Audrius Naktinis</dc:creator>
  <cp:lastModifiedBy>Sergėjus Volkovas</cp:lastModifiedBy>
  <dcterms:modified xsi:type="dcterms:W3CDTF">2019-11-18T13:27:00Z</dcterms:modified>
  <cp:revision>5</cp:revision>
</cp:coreProperties>
</file>