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ee95e7761da4ffa851e8fae8b76b13b"/>
        <w:lock w:val="sdtLocked"/>
        <w:richText/>
      </w:sdtPr>
      <w:sdtContent>
        <w:p>
          <w:pPr>
            <w:tabs>
              <w:tab w:val="center" w:pos="4819"/>
              <w:tab w:val="right" w:pos="9638"/>
            </w:tabs>
            <w:ind w:firstLine="720"/>
            <w:rPr>
              <w:rFonts w:ascii="Arial" w:hAnsi="Arial" w:cs="Arial"/>
              <w:sz w:val="20"/>
              <w:lang w:eastAsia="lt-LT"/>
            </w:rPr>
          </w:pPr>
        </w:p>
        <w:p>
          <w:pPr>
            <w:ind w:left="7230" w:right="-1" w:hanging="30"/>
            <w:rPr>
              <w:b/>
              <w:szCs w:val="24"/>
              <w:lang w:eastAsia="lt-LT"/>
            </w:rPr>
          </w:pPr>
        </w:p>
        <w:p>
          <w:pPr>
            <w:ind w:left="7230" w:right="-1" w:hanging="30"/>
            <w:rPr>
              <w:b/>
              <w:szCs w:val="24"/>
              <w:lang w:eastAsia="lt-LT"/>
            </w:rPr>
          </w:pPr>
          <w:r>
            <w:rPr>
              <w:b/>
              <w:szCs w:val="24"/>
              <w:lang w:eastAsia="lt-LT"/>
            </w:rPr>
            <w:t>Projektas</w:t>
          </w:r>
        </w:p>
        <w:p>
          <w:pPr>
            <w:ind w:firstLine="720"/>
            <w:rPr>
              <w:b/>
              <w:szCs w:val="24"/>
              <w:lang w:eastAsia="lt-LT"/>
            </w:rPr>
          </w:pPr>
        </w:p>
        <w:p>
          <w:pPr>
            <w:jc w:val="center"/>
            <w:rPr>
              <w:b/>
              <w:szCs w:val="24"/>
              <w:lang w:eastAsia="lt-LT"/>
            </w:rPr>
          </w:pPr>
          <w:r>
            <w:rPr>
              <w:b/>
              <w:szCs w:val="24"/>
              <w:lang w:eastAsia="lt-LT"/>
            </w:rPr>
            <w:t>LIETUVOS RESPUBLIKOS VYRIAUSYBĖ</w:t>
          </w:r>
        </w:p>
        <w:p>
          <w:pPr>
            <w:rPr>
              <w:b/>
              <w:szCs w:val="24"/>
              <w:lang w:eastAsia="lt-LT"/>
            </w:rPr>
          </w:pPr>
        </w:p>
        <w:p>
          <w:pPr>
            <w:jc w:val="center"/>
            <w:rPr>
              <w:b/>
              <w:szCs w:val="24"/>
              <w:lang w:eastAsia="lt-LT"/>
            </w:rPr>
          </w:pPr>
          <w:r>
            <w:rPr>
              <w:b/>
              <w:szCs w:val="24"/>
              <w:lang w:eastAsia="lt-LT"/>
            </w:rPr>
            <w:t>NUTARIMAS</w:t>
          </w:r>
        </w:p>
        <w:p>
          <w:pPr>
            <w:jc w:val="center"/>
            <w:rPr>
              <w:b/>
              <w:szCs w:val="24"/>
              <w:lang w:eastAsia="lt-LT"/>
            </w:rPr>
          </w:pPr>
          <w:r>
            <w:rPr>
              <w:b/>
              <w:szCs w:val="24"/>
              <w:lang w:eastAsia="lt-LT"/>
            </w:rPr>
            <w:t>DĖL LIETUVOS RESPUBLIKOS VYRIAUSYBĖS 2015 M. VASARIO 11 D.</w:t>
          </w:r>
        </w:p>
        <w:p>
          <w:pPr>
            <w:tabs>
              <w:tab w:val="left" w:pos="-284"/>
            </w:tabs>
            <w:jc w:val="center"/>
            <w:rPr>
              <w:b/>
              <w:szCs w:val="24"/>
              <w:lang w:eastAsia="lt-LT"/>
            </w:rPr>
          </w:pPr>
          <w:r>
            <w:rPr>
              <w:b/>
              <w:szCs w:val="24"/>
              <w:lang w:eastAsia="lt-LT"/>
            </w:rPr>
            <w:t xml:space="preserve">NUTARIMO </w:t>
          </w:r>
          <w:hyperlink r:id="rId8" w:tgtFrame="FTurinys" w:tooltip="Dėl Valstybės perskolinamų paskolų ir valstybės garantijų teikimo, suteiktų perskolinamų paskolų grąžinimo ir valstybės garantijų administravimo taisyklių patvirtinimo" w:history="1">
            <w:r>
              <w:rPr>
                <w:b/>
                <w:szCs w:val="24"/>
                <w:lang w:eastAsia="lt-LT"/>
              </w:rPr>
              <w:t xml:space="preserve">NR. </w:t>
            </w:r>
          </w:hyperlink>
          <w:r>
            <w:rPr>
              <w:b/>
              <w:szCs w:val="24"/>
              <w:lang w:eastAsia="lt-LT"/>
            </w:rPr>
            <w:t xml:space="preserve">148 „DĖL VALSTYBĖS </w:t>
          </w:r>
          <w:r>
            <w:rPr>
              <w:b/>
              <w:color w:val="000000"/>
              <w:szCs w:val="24"/>
              <w:lang w:eastAsia="lt-LT"/>
            </w:rPr>
            <w:t>NEKILNOJAMOJO TURTO CENTRALIZUOTO VALDYMO ĮGYVENDINIMO</w:t>
          </w:r>
          <w:r>
            <w:rPr>
              <w:b/>
              <w:szCs w:val="24"/>
              <w:lang w:eastAsia="lt-LT"/>
            </w:rPr>
            <w:t>“ PAKEITIMO</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pPr>
            <w:jc w:val="center"/>
            <w:rPr>
              <w:szCs w:val="24"/>
              <w:lang w:eastAsia="lt-LT"/>
            </w:rPr>
          </w:pPr>
          <w:r>
            <w:rPr>
              <w:szCs w:val="24"/>
              <w:lang w:eastAsia="lt-LT"/>
            </w:rPr>
            <w:t xml:space="preserve">2020 m.   </w:t>
            <w:tab/>
            <w:t xml:space="preserve">                d. Nr. </w:t>
          </w:r>
        </w:p>
        <w:p>
          <w:pPr>
            <w:jc w:val="center"/>
            <w:rPr>
              <w:szCs w:val="24"/>
              <w:lang w:eastAsia="lt-LT"/>
            </w:rPr>
          </w:pPr>
          <w:r>
            <w:rPr>
              <w:szCs w:val="24"/>
              <w:lang w:eastAsia="lt-LT"/>
            </w:rPr>
            <w:t>Vilnius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sdt>
          <w:sdtPr>
            <w:alias w:val="preambule"/>
            <w:tag w:val="part_9b2637c8de15422fa91ca4ef02cde043"/>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rPr>
                  <w:szCs w:val="24"/>
                  <w:lang w:eastAsia="lt-LT"/>
                </w:rPr>
              </w:pPr>
              <w:r>
                <w:rPr>
                  <w:szCs w:val="24"/>
                  <w:lang w:eastAsia="lt-LT"/>
                </w:rPr>
                <w:t>Lietuvos Respublikos Vyriausybė n u t a r i a:</w:t>
              </w:r>
            </w:p>
          </w:sdtContent>
        </w:sdt>
        <w:sdt>
          <w:sdtPr>
            <w:alias w:val="1 p."/>
            <w:tag w:val="part_397f90182ccc4928a8d5a0be96d7691f"/>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397f90182ccc4928a8d5a0be96d7691f"/>
                  <w:lock w:val="sdtLocked"/>
                  <w:richText/>
                </w:sdtPr>
                <w:sdtContent>
                  <w:r>
                    <w:rPr>
                      <w:szCs w:val="24"/>
                      <w:lang w:eastAsia="lt-LT"/>
                    </w:rPr>
                    <w:t>1</w:t>
                  </w:r>
                </w:sdtContent>
              </w:sdt>
              <w:r>
                <w:rPr>
                  <w:szCs w:val="24"/>
                  <w:lang w:eastAsia="lt-LT"/>
                </w:rPr>
                <w:t>. Pakeisti Lietuvos Respublikos Vyriausybės 2015 m. vasario 11 d. nutarimą Nr. 148 „Dėl valstybės nekilnojamojo turto centralizuoto valdymo įgyvendinimo“ ir jį išdėstyti nauja redakcija: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sdt>
              <w:sdtPr>
                <w:alias w:val="citata"/>
                <w:tag w:val="part_31ef7dac3f54474d92c94a298378ae20"/>
                <w:lock w:val="sdtLocked"/>
                <w:richText/>
              </w:sdtPr>
              <w:sdtContent>
                <w:sdt>
                  <w:sdtPr>
                    <w:alias w:val="pagrindine"/>
                    <w:tag w:val="part_8195c9c5a14b466b95217e8479b2ce1d"/>
                    <w:lock w:val="sdtLocked"/>
                    <w:richText/>
                  </w:sdtPr>
                  <w:sdtContent>
                    <w:p>
                      <w:pPr>
                        <w:jc w:val="center"/>
                        <w:rPr>
                          <w:b/>
                          <w:bCs/>
                          <w:szCs w:val="24"/>
                          <w:lang w:eastAsia="lt-LT"/>
                        </w:rPr>
                      </w:pPr>
                      <w:r>
                        <w:rPr>
                          <w:szCs w:val="24"/>
                          <w:lang w:eastAsia="lt-LT"/>
                        </w:rPr>
                        <w:t>„</w:t>
                      </w:r>
                      <w:r>
                        <w:rPr>
                          <w:b/>
                          <w:bCs/>
                          <w:szCs w:val="24"/>
                          <w:lang w:eastAsia="lt-LT"/>
                        </w:rPr>
                        <w:t>LIETUVOS RESPUBLIKOS VYRIAUSYBĖ</w:t>
                      </w:r>
                    </w:p>
                    <w:p>
                      <w:pPr>
                        <w:jc w:val="center"/>
                        <w:rPr>
                          <w:b/>
                          <w:szCs w:val="24"/>
                          <w:lang w:eastAsia="lt-LT"/>
                        </w:rPr>
                      </w:pPr>
                    </w:p>
                    <w:p>
                      <w:pPr>
                        <w:jc w:val="center"/>
                        <w:rPr>
                          <w:b/>
                          <w:bCs/>
                          <w:szCs w:val="24"/>
                          <w:lang w:eastAsia="lt-LT"/>
                        </w:rPr>
                      </w:pPr>
                      <w:r>
                        <w:rPr>
                          <w:b/>
                          <w:bCs/>
                          <w:szCs w:val="24"/>
                          <w:lang w:eastAsia="lt-LT"/>
                        </w:rPr>
                        <w:t>NUTARIMAS</w:t>
                      </w:r>
                    </w:p>
                    <w:p>
                      <w:pPr>
                        <w:jc w:val="center"/>
                        <w:rPr>
                          <w:b/>
                          <w:szCs w:val="24"/>
                          <w:lang w:eastAsia="lt-LT"/>
                        </w:rPr>
                      </w:pPr>
                      <w:r>
                        <w:rPr>
                          <w:b/>
                          <w:szCs w:val="24"/>
                          <w:lang w:eastAsia="lt-LT"/>
                        </w:rPr>
                        <w:t>DĖL VALSTYBĖS NEKILNOJAMOJO TURTO CENTRALIZUOTO VALDYMO ĮGYVENDINIMO</w:t>
                      </w:r>
                    </w:p>
                    <w:p>
                      <w:pPr>
                        <w:tabs>
                          <w:tab w:val="left" w:pos="-284"/>
                        </w:tabs>
                        <w:jc w:val="center"/>
                        <w:rPr>
                          <w:color w:val="000000"/>
                          <w:szCs w:val="24"/>
                          <w:lang w:eastAsia="lt-LT"/>
                        </w:rPr>
                      </w:pPr>
                    </w:p>
                    <w:sdt>
                      <w:sdtPr>
                        <w:alias w:val="preambule"/>
                        <w:tag w:val="part_6b64c4e1b436464da43f736ee5f80a81"/>
                        <w:lock w:val="sdtLocked"/>
                        <w:richText/>
                      </w:sdtPr>
                      <w:sdtContent>
                        <w:p>
                          <w:pPr>
                            <w:spacing w:line="360" w:lineRule="atLeast"/>
                            <w:ind w:firstLine="720"/>
                            <w:jc w:val="both"/>
                            <w:rPr>
                              <w:szCs w:val="24"/>
                              <w:lang w:eastAsia="lt-LT"/>
                            </w:rPr>
                          </w:pPr>
                          <w:r>
                            <w:rPr>
                              <w:szCs w:val="24"/>
                              <w:lang w:eastAsia="lt-LT"/>
                            </w:rPr>
                            <w:t>Vadovaudamasi Lietuvos Respublikos valstybės ir savivaldybių turto valdymo, naudojimo ir disponavimo juo įstatymo 19 straipsnio 4 dalies 1 ir 2 punktais, 7 ir 9 dalimis ir Lietuvos Respublikos c</w:t>
                          </w:r>
                          <w:r>
                            <w:rPr>
                              <w:bCs/>
                              <w:szCs w:val="24"/>
                              <w:lang w:eastAsia="lt-LT"/>
                            </w:rPr>
                            <w:t xml:space="preserve">entralizuotai valdomo valstybės turto valdytojo įstatymo </w:t>
                          </w:r>
                          <w:r>
                            <w:rPr>
                              <w:bCs/>
                              <w:szCs w:val="24"/>
                              <w:lang w:val="en-US" w:eastAsia="lt-LT"/>
                            </w:rPr>
                            <w:t>4</w:t>
                          </w:r>
                          <w:r>
                            <w:rPr>
                              <w:bCs/>
                              <w:szCs w:val="24"/>
                              <w:lang w:eastAsia="lt-LT"/>
                            </w:rPr>
                            <w:t xml:space="preserve"> straipsnio 2 dalies 1 punktu, </w:t>
                          </w:r>
                          <w:r>
                            <w:rPr>
                              <w:szCs w:val="24"/>
                              <w:lang w:eastAsia="lt-LT"/>
                            </w:rPr>
                            <w:t>Lietuvos Respublikos Vyriausybė</w:t>
                          </w:r>
                          <w:r>
                            <w:rPr>
                              <w:spacing w:val="100"/>
                              <w:szCs w:val="24"/>
                              <w:lang w:eastAsia="lt-LT"/>
                            </w:rPr>
                            <w:t xml:space="preserve"> </w:t>
                          </w:r>
                          <w:r>
                            <w:rPr>
                              <w:spacing w:val="60"/>
                              <w:szCs w:val="24"/>
                              <w:lang w:eastAsia="lt-LT"/>
                            </w:rPr>
                            <w:t>nutari</w:t>
                          </w:r>
                          <w:r>
                            <w:rPr>
                              <w:szCs w:val="24"/>
                              <w:lang w:eastAsia="lt-LT"/>
                            </w:rPr>
                            <w:t>a:</w:t>
                          </w:r>
                        </w:p>
                      </w:sdtContent>
                    </w:sdt>
                    <w:sdt>
                      <w:sdtPr>
                        <w:alias w:val="1 p."/>
                        <w:tag w:val="part_497dceaff7224debbe0f5e351684f28a"/>
                        <w:lock w:val="sdtLocked"/>
                        <w:richText/>
                      </w:sdtPr>
                      <w:sdtContent>
                        <w:p>
                          <w:pPr>
                            <w:tabs>
                              <w:tab w:val="left" w:pos="993"/>
                            </w:tabs>
                            <w:spacing w:line="360" w:lineRule="atLeast"/>
                            <w:ind w:firstLine="720"/>
                            <w:jc w:val="both"/>
                            <w:rPr>
                              <w:rFonts w:eastAsia="Calibri"/>
                              <w:szCs w:val="24"/>
                              <w:lang w:eastAsia="lt-LT"/>
                            </w:rPr>
                          </w:pPr>
                          <w:sdt>
                            <w:sdtPr>
                              <w:alias w:val="Numeris"/>
                              <w:tag w:val="nr_497dceaff7224debbe0f5e351684f28a"/>
                              <w:lock w:val="sdtLocked"/>
                              <w:richText/>
                            </w:sdtPr>
                            <w:sdtContent>
                              <w:r>
                                <w:rPr>
                                  <w:szCs w:val="24"/>
                                  <w:lang w:eastAsia="lt-LT"/>
                                </w:rPr>
                                <w:t>1</w:t>
                              </w:r>
                            </w:sdtContent>
                          </w:sdt>
                          <w:r>
                            <w:rPr>
                              <w:szCs w:val="24"/>
                              <w:lang w:eastAsia="lt-LT"/>
                            </w:rPr>
                            <w:t xml:space="preserve">. Patvirtinti </w:t>
                          </w:r>
                          <w:r>
                            <w:rPr>
                              <w:rFonts w:eastAsia="Calibri"/>
                              <w:szCs w:val="24"/>
                              <w:lang w:eastAsia="lt-LT"/>
                            </w:rPr>
                            <w:t xml:space="preserve">Valstybės nekilnojamojo turto centralizuoto valdymo, naudojimo, disponavimo juo </w:t>
                          </w:r>
                          <w:r>
                            <w:rPr>
                              <w:szCs w:val="24"/>
                              <w:lang w:eastAsia="lt-LT"/>
                            </w:rPr>
                            <w:t>ir centralizuotai valdomo administracinės paskirties valstybės nekilnojamojo turto atnaujinimo tvarkos apraš</w:t>
                          </w:r>
                          <w:r>
                            <w:rPr>
                              <w:rFonts w:eastAsia="Calibri"/>
                              <w:szCs w:val="24"/>
                              <w:lang w:eastAsia="lt-LT"/>
                            </w:rPr>
                            <w:t>ą (pridedama).</w:t>
                          </w:r>
                        </w:p>
                      </w:sdtContent>
                    </w:sdt>
                    <w:sdt>
                      <w:sdtPr>
                        <w:alias w:val="2 p."/>
                        <w:tag w:val="part_5401b6523f804ed38510860e61b2ced0"/>
                        <w:lock w:val="sdtLocked"/>
                        <w:richText/>
                      </w:sdtPr>
                      <w:sdtContent>
                        <w:p>
                          <w:pPr>
                            <w:tabs>
                              <w:tab w:val="left" w:pos="851"/>
                              <w:tab w:val="left" w:pos="1134"/>
                            </w:tabs>
                            <w:spacing w:line="360" w:lineRule="atLeast"/>
                            <w:ind w:firstLine="720"/>
                            <w:jc w:val="both"/>
                            <w:rPr>
                              <w:szCs w:val="24"/>
                              <w:lang w:eastAsia="lt-LT"/>
                            </w:rPr>
                          </w:pPr>
                          <w:sdt>
                            <w:sdtPr>
                              <w:alias w:val="Numeris"/>
                              <w:tag w:val="nr_5401b6523f804ed38510860e61b2ced0"/>
                              <w:lock w:val="sdtLocked"/>
                              <w:richText/>
                            </w:sdtPr>
                            <w:sdtContent>
                              <w:r>
                                <w:rPr>
                                  <w:szCs w:val="24"/>
                                  <w:lang w:eastAsia="lt-LT"/>
                                </w:rPr>
                                <w:t>2</w:t>
                              </w:r>
                            </w:sdtContent>
                          </w:sdt>
                          <w:r>
                            <w:rPr>
                              <w:szCs w:val="24"/>
                              <w:lang w:eastAsia="lt-LT"/>
                            </w:rPr>
                            <w:t>. Pavesti:</w:t>
                          </w:r>
                        </w:p>
                        <w:sdt>
                          <w:sdtPr>
                            <w:alias w:val="2.1 pp."/>
                            <w:tag w:val="part_b5f93190c5564b69af5a224a7b7b915d"/>
                            <w:lock w:val="sdtLocked"/>
                            <w:richText/>
                          </w:sdtPr>
                          <w:sdtContent>
                            <w:p>
                              <w:pPr>
                                <w:tabs>
                                  <w:tab w:val="left" w:pos="851"/>
                                  <w:tab w:val="left" w:pos="1134"/>
                                </w:tabs>
                                <w:spacing w:line="360" w:lineRule="atLeast"/>
                                <w:ind w:firstLine="720"/>
                                <w:jc w:val="both"/>
                                <w:rPr>
                                  <w:szCs w:val="24"/>
                                  <w:lang w:eastAsia="lt-LT"/>
                                </w:rPr>
                              </w:pPr>
                              <w:sdt>
                                <w:sdtPr>
                                  <w:alias w:val="Numeris"/>
                                  <w:tag w:val="nr_b5f93190c5564b69af5a224a7b7b915d"/>
                                  <w:lock w:val="sdtLocked"/>
                                  <w:richText/>
                                </w:sdtPr>
                                <w:sdtContent>
                                  <w:r>
                                    <w:rPr>
                                      <w:szCs w:val="24"/>
                                      <w:lang w:eastAsia="lt-LT"/>
                                    </w:rPr>
                                    <w:t>2.1</w:t>
                                  </w:r>
                                </w:sdtContent>
                              </w:sdt>
                              <w:r>
                                <w:rPr>
                                  <w:szCs w:val="24"/>
                                  <w:lang w:eastAsia="lt-LT"/>
                                </w:rPr>
                                <w:t xml:space="preserve">. </w:t>
                              </w:r>
                              <w:r>
                                <w:rPr>
                                  <w:rFonts w:eastAsia="Calibri"/>
                                  <w:szCs w:val="24"/>
                                  <w:lang w:eastAsia="lt-LT"/>
                                </w:rPr>
                                <w:t xml:space="preserve">Lietuvos Respublikos finansų ministerijai iki 2020 m. liepos 1 d. pateikti Lietuvos Respublikos Vyriausybei nutarimo dėl likusio, etapais </w:t>
                              </w:r>
                              <w:r>
                                <w:rPr>
                                  <w:color w:val="000000"/>
                                  <w:szCs w:val="24"/>
                                  <w:lang w:eastAsia="lt-LT"/>
                                </w:rPr>
                                <w:t>centralizuotai valdyti neperduoto, administracinės paskirties valstybės nekilnojamojo turto (toliau – administracinis nekilnojamasis turtas), kartu su juo perduodamo kitos paskirties valstybės nekilnojamojo</w:t>
                              </w:r>
                              <w:r>
                                <w:rPr>
                                  <w:rFonts w:eastAsia="Calibri"/>
                                  <w:szCs w:val="24"/>
                                  <w:lang w:eastAsia="lt-LT"/>
                                </w:rPr>
                                <w:t xml:space="preserve"> turto ir šiam nekilnojamajam turtui priskirto valstybinės žemės sklypo (jeigu jis suformuotas)</w:t>
                              </w:r>
                              <w:r>
                                <w:rPr>
                                  <w:color w:val="000000"/>
                                  <w:szCs w:val="24"/>
                                  <w:lang w:eastAsia="lt-LT"/>
                                </w:rPr>
                                <w:t>, taip pat ilgalaikio materialiojo turto, reikalingo administracinio nekilnojamojo turto valdymo ir naudojimo tikslams ir šį turtą naudojančių asmenų poreikiams tenkinti, perdavimo patikėjimo teise centralizuotai valdomo valstybės turto valdytojui projektą.</w:t>
                              </w:r>
                            </w:p>
                          </w:sdtContent>
                        </w:sdt>
                        <w:sdt>
                          <w:sdtPr>
                            <w:alias w:val="2.2 pp."/>
                            <w:tag w:val="part_38a134a442ef44d7a8dad61f16555b3c"/>
                            <w:lock w:val="sdtLocked"/>
                            <w:richText/>
                          </w:sdtPr>
                          <w:sdtContent>
                            <w:p>
                              <w:pPr>
                                <w:tabs>
                                  <w:tab w:val="left" w:pos="851"/>
                                  <w:tab w:val="left" w:pos="1134"/>
                                </w:tabs>
                                <w:spacing w:line="360" w:lineRule="atLeast"/>
                                <w:ind w:firstLine="720"/>
                                <w:jc w:val="both"/>
                                <w:rPr>
                                  <w:color w:val="000000"/>
                                  <w:szCs w:val="24"/>
                                  <w:lang w:eastAsia="lt-LT"/>
                                </w:rPr>
                              </w:pPr>
                              <w:sdt>
                                <w:sdtPr>
                                  <w:alias w:val="Numeris"/>
                                  <w:tag w:val="nr_38a134a442ef44d7a8dad61f16555b3c"/>
                                  <w:lock w:val="sdtLocked"/>
                                  <w:richText/>
                                </w:sdtPr>
                                <w:sdtContent>
                                  <w:r>
                                    <w:rPr>
                                      <w:color w:val="000000"/>
                                      <w:szCs w:val="24"/>
                                      <w:lang w:eastAsia="lt-LT"/>
                                    </w:rPr>
                                    <w:t>2.2</w:t>
                                  </w:r>
                                </w:sdtContent>
                              </w:sdt>
                              <w:r>
                                <w:rPr>
                                  <w:color w:val="000000"/>
                                  <w:szCs w:val="24"/>
                                  <w:lang w:eastAsia="lt-LT"/>
                                </w:rPr>
                                <w:t>. Centralizuotai valdomo valstybės turto valdytojui:</w:t>
                              </w:r>
                            </w:p>
                            <w:sdt>
                              <w:sdtPr>
                                <w:alias w:val="2.2.1 pp."/>
                                <w:tag w:val="part_f5b64dea7feb4cbda0f895efa3b7bc43"/>
                                <w:lock w:val="sdtLocked"/>
                                <w:richText/>
                              </w:sdtPr>
                              <w:sdtContent>
                                <w:p>
                                  <w:pPr>
                                    <w:tabs>
                                      <w:tab w:val="left" w:pos="851"/>
                                      <w:tab w:val="left" w:pos="1134"/>
                                    </w:tabs>
                                    <w:spacing w:line="360" w:lineRule="atLeast"/>
                                    <w:ind w:firstLine="720"/>
                                    <w:jc w:val="both"/>
                                    <w:rPr>
                                      <w:rFonts w:eastAsia="Calibri"/>
                                      <w:szCs w:val="24"/>
                                      <w:lang w:eastAsia="lt-LT"/>
                                    </w:rPr>
                                  </w:pPr>
                                  <w:sdt>
                                    <w:sdtPr>
                                      <w:alias w:val="Numeris"/>
                                      <w:tag w:val="nr_f5b64dea7feb4cbda0f895efa3b7bc43"/>
                                      <w:lock w:val="sdtLocked"/>
                                      <w:richText/>
                                    </w:sdtPr>
                                    <w:sdtContent>
                                      <w:r>
                                        <w:rPr>
                                          <w:color w:val="000000"/>
                                          <w:szCs w:val="24"/>
                                          <w:lang w:eastAsia="lt-LT"/>
                                        </w:rPr>
                                        <w:t>2.2.1</w:t>
                                      </w:r>
                                    </w:sdtContent>
                                  </w:sdt>
                                  <w:r>
                                    <w:rPr>
                                      <w:color w:val="000000"/>
                                      <w:szCs w:val="24"/>
                                      <w:lang w:eastAsia="lt-LT"/>
                                    </w:rPr>
                                    <w:t>. įsigaliojus Vyriausybės nutarimui dėl šio nutarimo 2.1 papunktyje nurodyto turto perdavimo patikėjimo teise, su šio turto naudotojais iki 2020 m. gruodžio 31 d. pasirašyti Vyriausybės nutarime nurodyto turto perdavimo–priėmimo aktus ir centralizuotai valdyti perduoto administracinio nekilnojamojo turto ir kito su juo perduoto valstybės nekilnojamojo</w:t>
                                  </w:r>
                                  <w:r>
                                    <w:rPr>
                                      <w:rFonts w:eastAsia="Calibri"/>
                                      <w:szCs w:val="24"/>
                                      <w:lang w:eastAsia="lt-LT"/>
                                    </w:rPr>
                                    <w:t xml:space="preserve"> turto</w:t>
                                  </w:r>
                                  <w:r>
                                    <w:rPr>
                                      <w:color w:val="000000"/>
                                      <w:szCs w:val="24"/>
                                      <w:lang w:eastAsia="lt-LT"/>
                                    </w:rPr>
                                    <w:t xml:space="preserve"> nuomos sutartis (toliau – nuomos sutartis) </w:t>
                                  </w:r>
                                  <w:r>
                                    <w:rPr>
                                      <w:szCs w:val="24"/>
                                      <w:lang w:eastAsia="lt-LT"/>
                                    </w:rPr>
                                    <w:t xml:space="preserve">šiuo nutarimu patvirtinto Valstybės nekilnojamojo turto centralizuoto valdymo, naudojimo, disponavimo juo ir centralizuotai valdomo administracinės paskirties valstybės nekilnojamojo turto atnaujinimo tvarkos aprašo nustatyta tvarka. </w:t>
                                  </w:r>
                                  <w:r>
                                    <w:rPr>
                                      <w:rFonts w:eastAsia="Calibri"/>
                                      <w:szCs w:val="24"/>
                                      <w:lang w:eastAsia="lt-LT"/>
                                    </w:rPr>
                                    <w:t>Prireikus nuomos sutartyse gali būti nustatyta, kad nuomos mokesčio suma, susidariusi nuo nuomos sutarčių pasirašymo dienos iki 2020 m. gruodžio 31 d., perkeliama ir mokama nuo 2021 m. sausio 1 d. nuomos sutarties šalių sutarimu suderintais terminais;</w:t>
                                  </w:r>
                                </w:p>
                              </w:sdtContent>
                            </w:sdt>
                            <w:sdt>
                              <w:sdtPr>
                                <w:alias w:val="2.2.2 pp."/>
                                <w:tag w:val="part_4fbf10d7fa874b1889907ba570c6a00e"/>
                                <w:lock w:val="sdtLocked"/>
                                <w:richText/>
                              </w:sdtPr>
                              <w:sdtContent>
                                <w:p>
                                  <w:pPr>
                                    <w:tabs>
                                      <w:tab w:val="left" w:pos="851"/>
                                      <w:tab w:val="left" w:pos="1134"/>
                                    </w:tabs>
                                    <w:spacing w:line="360" w:lineRule="atLeast"/>
                                    <w:ind w:firstLine="720"/>
                                    <w:jc w:val="both"/>
                                    <w:rPr>
                                      <w:szCs w:val="24"/>
                                      <w:lang w:eastAsia="lt-LT"/>
                                    </w:rPr>
                                  </w:pPr>
                                  <w:sdt>
                                    <w:sdtPr>
                                      <w:alias w:val="Numeris"/>
                                      <w:tag w:val="nr_4fbf10d7fa874b1889907ba570c6a00e"/>
                                      <w:lock w:val="sdtLocked"/>
                                      <w:richText/>
                                    </w:sdtPr>
                                    <w:sdtContent>
                                      <w:r>
                                        <w:rPr>
                                          <w:szCs w:val="24"/>
                                          <w:lang w:eastAsia="lt-LT"/>
                                        </w:rPr>
                                        <w:t>2.2.2</w:t>
                                      </w:r>
                                    </w:sdtContent>
                                  </w:sdt>
                                  <w:r>
                                    <w:rPr>
                                      <w:szCs w:val="24"/>
                                      <w:lang w:eastAsia="lt-LT"/>
                                    </w:rPr>
                                    <w:t xml:space="preserve">. per 2 mėnesius nuo šio nutarimo įsigaliojimo dienos raštu pranešti valstybės institucijoms ir įstaigoms, kad </w:t>
                                  </w:r>
                                  <w:r>
                                    <w:rPr>
                                      <w:color w:val="000000"/>
                                      <w:szCs w:val="24"/>
                                      <w:lang w:eastAsia="lt-LT"/>
                                    </w:rPr>
                                    <w:t xml:space="preserve">centralizuotai valdyti perduoto administracinio nekilnojamojo turto panaudos ir šio turto </w:t>
                                  </w:r>
                                  <w:r>
                                    <w:rPr>
                                      <w:rFonts w:eastAsia="Calibri"/>
                                      <w:szCs w:val="24"/>
                                      <w:lang w:eastAsia="lt-LT"/>
                                    </w:rPr>
                                    <w:t xml:space="preserve">valdymo ir priežiūros sutartys nutraukiamos nuo 2021 m. sausio 1 d.; </w:t>
                                  </w:r>
                                </w:p>
                              </w:sdtContent>
                            </w:sdt>
                            <w:sdt>
                              <w:sdtPr>
                                <w:alias w:val="2.2.3 pp."/>
                                <w:tag w:val="part_2be5130ad1154c9a82fd5b26abd80017"/>
                                <w:lock w:val="sdtLocked"/>
                                <w:richText/>
                              </w:sdtPr>
                              <w:sdtContent>
                                <w:p>
                                  <w:pPr>
                                    <w:spacing w:line="360" w:lineRule="atLeast"/>
                                    <w:ind w:firstLine="720"/>
                                    <w:jc w:val="both"/>
                                    <w:rPr>
                                      <w:szCs w:val="24"/>
                                      <w:lang w:eastAsia="lt-LT"/>
                                    </w:rPr>
                                  </w:pPr>
                                  <w:sdt>
                                    <w:sdtPr>
                                      <w:alias w:val="Numeris"/>
                                      <w:tag w:val="nr_2be5130ad1154c9a82fd5b26abd80017"/>
                                      <w:lock w:val="sdtLocked"/>
                                      <w:richText/>
                                    </w:sdtPr>
                                    <w:sdtContent>
                                      <w:r>
                                        <w:rPr>
                                          <w:szCs w:val="24"/>
                                          <w:lang w:eastAsia="lt-LT"/>
                                        </w:rPr>
                                        <w:t>2.2.3</w:t>
                                      </w:r>
                                    </w:sdtContent>
                                  </w:sdt>
                                  <w:r>
                                    <w:rPr>
                                      <w:szCs w:val="24"/>
                                      <w:lang w:eastAsia="lt-LT"/>
                                    </w:rPr>
                                    <w:t xml:space="preserve">. iki 2020 m. gruodžio 31 d. su valstybės institucijomis ir įstaigomis </w:t>
                                  </w:r>
                                  <w:r>
                                    <w:rPr>
                                      <w:color w:val="000000"/>
                                      <w:szCs w:val="24"/>
                                      <w:lang w:eastAsia="lt-LT"/>
                                    </w:rPr>
                                    <w:t>– Vyriausybės nutarimais centralizuotai valdyti perduoto administracinio nekilnojamojo turto naudotojomis</w:t>
                                  </w:r>
                                  <w:r>
                                    <w:rPr>
                                      <w:szCs w:val="24"/>
                                      <w:lang w:eastAsia="lt-LT"/>
                                    </w:rPr>
                                    <w:t xml:space="preserve"> – šiuo nutarimu patvirtinto Valstybės nekilnojamojo turto centralizuoto valdymo, naudojimo, disponavimo juo ir centralizuotai valdomo administracinės paskirties valstybės nekilnojamojo turto atnaujinimo tvarkos aprašo nustatyta tvarka sudaryti nuomos sutartis, įsigaliosiančias </w:t>
                                    <w:br/>
                                    <w:t>2021 m. sausio 1 d.“</w:t>
                                  </w:r>
                                </w:p>
                              </w:sdtContent>
                            </w:sdt>
                          </w:sdtContent>
                        </w:sdt>
                      </w:sdtContent>
                    </w:sdt>
                  </w:sdtContent>
                </w:sdt>
              </w:sdtContent>
            </w:sdt>
          </w:sdtContent>
        </w:sdt>
        <w:sdt>
          <w:sdtPr>
            <w:alias w:val="2 p."/>
            <w:tag w:val="part_a8198648a55745d0ad73118e1b87b544"/>
            <w:lock w:val="sdtLocked"/>
            <w:richText/>
          </w:sdtPr>
          <w:sdtContent>
            <w:p>
              <w:pPr>
                <w:spacing w:line="360" w:lineRule="atLeast"/>
                <w:ind w:firstLine="720"/>
                <w:jc w:val="both"/>
                <w:rPr>
                  <w:color w:val="000000"/>
                  <w:szCs w:val="24"/>
                  <w:lang w:eastAsia="lt-LT"/>
                </w:rPr>
              </w:pPr>
              <w:sdt>
                <w:sdtPr>
                  <w:alias w:val="Numeris"/>
                  <w:tag w:val="nr_a8198648a55745d0ad73118e1b87b544"/>
                  <w:lock w:val="sdtLocked"/>
                  <w:richText/>
                </w:sdtPr>
                <w:sdtContent>
                  <w:r>
                    <w:rPr>
                      <w:szCs w:val="24"/>
                      <w:lang w:eastAsia="lt-LT"/>
                    </w:rPr>
                    <w:t>2</w:t>
                  </w:r>
                </w:sdtContent>
              </w:sdt>
              <w:r>
                <w:rPr>
                  <w:szCs w:val="24"/>
                  <w:lang w:eastAsia="lt-LT"/>
                </w:rPr>
                <w:t xml:space="preserve">. Nustatyti, kad </w:t>
              </w:r>
              <w:r>
                <w:rPr>
                  <w:rFonts w:cs="Arial"/>
                  <w:szCs w:val="24"/>
                  <w:lang w:eastAsia="lt-LT"/>
                </w:rPr>
                <w:t xml:space="preserve">Valstybės nekilnojamojo turto centralizuoto valdymo, naudojimo, disponavimo juo ir naujo administracinės paskirties valstybės nekilnojamojo turto įsigijimo tvarkos aprašo, galiojusio iki šio nutarimo įsigaliojimo dienos, nustatyta tvarka pradėtos ir nebaigtos valstybės institucijų ir įstaigų aprūpinimo administracinės paskirties valstybės nekilnojamuoju turtu procedūros, taip pat pradėti, bet nebaigti įgyvendinti administracinės paskirties valstybės nekilnojamojo turto </w:t>
              </w:r>
              <w:r>
                <w:rPr>
                  <w:rFonts w:eastAsia="Calibri"/>
                  <w:szCs w:val="24"/>
                  <w:lang w:eastAsia="lt-LT"/>
                </w:rPr>
                <w:t xml:space="preserve">energinio efektyvumo didinimo projektai </w:t>
              </w:r>
              <w:r>
                <w:rPr>
                  <w:rFonts w:cs="Arial"/>
                  <w:szCs w:val="24"/>
                  <w:lang w:eastAsia="lt-LT"/>
                </w:rPr>
                <w:t>baigiami</w:t>
              </w:r>
              <w:r>
                <w:rPr>
                  <w:rFonts w:cs="Arial"/>
                  <w:color w:val="000000"/>
                  <w:szCs w:val="24"/>
                  <w:lang w:eastAsia="lt-LT"/>
                </w:rPr>
                <w:t xml:space="preserve"> vykdyti </w:t>
              </w:r>
              <w:r>
                <w:rPr>
                  <w:szCs w:val="24"/>
                  <w:lang w:eastAsia="lt-LT"/>
                </w:rPr>
                <w:t xml:space="preserve">šiuo nutarimu nauja redakcija išdėstyto Valstybės nekilnojamojo turto centralizuoto valdymo, naudojimo, disponavimo juo ir centralizuotai valdomo administracinės paskirties valstybės nekilnojamojo turto atnaujinimo tvarkos aprašo nustatyta tvarka. </w:t>
              </w:r>
            </w:p>
            <w:p>
              <w:pPr>
                <w:jc w:val="both"/>
                <w:rPr>
                  <w:szCs w:val="24"/>
                  <w:lang w:eastAsia="lt-LT"/>
                </w:rPr>
              </w:pPr>
            </w:p>
            <w:p>
              <w:pPr>
                <w:jc w:val="both"/>
                <w:rPr>
                  <w:szCs w:val="24"/>
                  <w:lang w:eastAsia="lt-LT"/>
                </w:rPr>
              </w:pPr>
            </w:p>
          </w:sdtContent>
        </w:sdt>
        <w:sdt>
          <w:sdtPr>
            <w:alias w:val="signatura"/>
            <w:tag w:val="part_9162dd43f22d4399b784729507a5f840"/>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Pr>
                  <w:szCs w:val="24"/>
                  <w:lang w:eastAsia="lt-LT"/>
                </w:rPr>
                <w:t>Ministras Pirmininkas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Pr>
                  <w:szCs w:val="24"/>
                  <w:lang w:eastAsia="lt-LT"/>
                </w:rPr>
                <w:t>Finansų ministras</w:t>
              </w:r>
            </w:p>
          </w:sdtContent>
        </w:sdt>
      </w:sdtContent>
    </w:sdt>
    <w:sectPr>
      <w:headerReference w:type="even" r:id="rId9"/>
      <w:headerReference w:type="default" r:id="rId10"/>
      <w:footerReference w:type="even" r:id="rId11"/>
      <w:footerReference w:type="default" r:id="rId12"/>
      <w:headerReference w:type="first" r:id="rId13"/>
      <w:footerReference w:type="first" r:id="rId14"/>
      <w:pgSz w:w="11907" w:h="16839" w:code="9"/>
      <w:pgMar w:top="1134" w:right="850" w:bottom="1134" w:left="1701" w:header="567" w:footer="567" w:gutter="0"/>
      <w:cols w:space="1296"/>
      <w:titlePg/>
      <w:docGrid w:linePitch="272"/>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ind w:firstLine="720"/>
        <w:rPr>
          <w:rFonts w:ascii="Arial" w:hAnsi="Arial" w:cs="Arial"/>
          <w:sz w:val="20"/>
          <w:lang w:eastAsia="lt-LT"/>
        </w:rPr>
      </w:pPr>
      <w:r>
        <w:rPr>
          <w:rFonts w:ascii="Arial" w:hAnsi="Arial" w:cs="Arial"/>
          <w:sz w:val="20"/>
          <w:lang w:eastAsia="lt-LT"/>
        </w:rPr>
        <w:separator/>
      </w:r>
    </w:p>
  </w:endnote>
  <w:endnote w:type="continuationSeparator" w:id="0">
    <w:p>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ind w:firstLine="720"/>
      <w:rPr>
        <w:rFonts w:ascii="Arial" w:hAnsi="Arial" w:cs="Arial"/>
        <w:sz w:val="20"/>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ind w:firstLine="720"/>
      <w:rPr>
        <w:rFonts w:ascii="Arial" w:hAnsi="Arial" w:cs="Arial"/>
        <w:sz w:val="20"/>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ind w:firstLine="720"/>
      <w:rPr>
        <w:rFonts w:ascii="Arial" w:hAnsi="Arial" w:cs="Arial"/>
        <w:sz w:val="20"/>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ind w:firstLine="720"/>
        <w:rPr>
          <w:rFonts w:ascii="Arial" w:hAnsi="Arial" w:cs="Arial"/>
          <w:sz w:val="20"/>
          <w:lang w:eastAsia="lt-LT"/>
        </w:rPr>
      </w:pPr>
      <w:r>
        <w:rPr>
          <w:rFonts w:ascii="Arial" w:hAnsi="Arial" w:cs="Arial"/>
          <w:sz w:val="20"/>
          <w:lang w:eastAsia="lt-LT"/>
        </w:rPr>
        <w:separator/>
      </w:r>
    </w:p>
  </w:footnote>
  <w:footnote w:type="continuationSeparator" w:id="0">
    <w:p>
      <w:pPr>
        <w:ind w:firstLine="720"/>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pPr>
      <w:tabs>
        <w:tab w:val="center" w:pos="4819"/>
        <w:tab w:val="right" w:pos="9638"/>
      </w:tabs>
      <w:ind w:firstLine="720"/>
      <w:rPr>
        <w:rFonts w:ascii="Arial" w:hAnsi="Arial" w:cs="Arial"/>
        <w:sz w:val="20"/>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819"/>
        <w:tab w:val="right" w:pos="9638"/>
      </w:tabs>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separate"/>
    </w:r>
    <w:r>
      <w:rPr>
        <w:rFonts w:ascii="Arial" w:hAnsi="Arial" w:cs="Arial"/>
        <w:sz w:val="20"/>
        <w:lang w:eastAsia="lt-LT"/>
      </w:rPr>
      <w:t>2</w:t>
    </w:r>
    <w:r>
      <w:rPr>
        <w:rFonts w:ascii="Arial" w:hAnsi="Arial" w:cs="Arial"/>
        <w:sz w:val="20"/>
        <w:lang w:eastAsia="lt-LT"/>
      </w:rPr>
      <w:fldChar w:fldCharType="end"/>
    </w:r>
  </w:p>
  <w:p>
    <w:pPr>
      <w:tabs>
        <w:tab w:val="center" w:pos="4819"/>
        <w:tab w:val="right" w:pos="9638"/>
      </w:tabs>
      <w:rPr>
        <w:rFonts w:ascii="Arial" w:hAnsi="Arial" w:cs="Arial"/>
        <w:sz w:val="20"/>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ind w:firstLine="720"/>
      <w:rPr>
        <w:rFonts w:ascii="Arial" w:hAnsi="Arial" w:cs="Arial"/>
        <w:sz w:val="20"/>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129057678">
      <w:bodyDiv w:val="1"/>
      <w:marLeft w:val="0"/>
      <w:marRight w:val="0"/>
      <w:marTop w:val="0"/>
      <w:marBottom w:val="0"/>
      <w:divBdr>
        <w:top w:val="none" w:sz="0" w:space="0" w:color="auto"/>
        <w:left w:val="none" w:sz="0" w:space="0" w:color="auto"/>
        <w:bottom w:val="none" w:sz="0" w:space="0" w:color="auto"/>
        <w:right w:val="none" w:sz="0" w:space="0" w:color="auto"/>
      </w:divBdr>
    </w:div>
    <w:div w:id="1606693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172.16.0.250/Litlex/ll.dll?Tekstas=1&amp;Id=47519&amp;BF=1"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d89c88d915164a059c7bc8fd790e22b9" PartId="dee95e7761da4ffa851e8fae8b76b13b">
    <Part Type="preambule" DocPartId="a99b8f22c1bb443890b6747dcc321e17" PartId="9b2637c8de15422fa91ca4ef02cde043"/>
    <Part Type="punktas" Nr="1" Abbr="1 p." DocPartId="3ed99a8199304dc4a26dea44cd983ae5" PartId="397f90182ccc4928a8d5a0be96d7691f">
      <Part Type="citata" DocPartId="3cf6db22ca6d4a6a9766c6848610f889" PartId="31ef7dac3f54474d92c94a298378ae20">
        <Part Type="pagrindine" DocPartId="63b5c546299643c588a37ad42d485d4f" PartId="8195c9c5a14b466b95217e8479b2ce1d">
          <Part Type="preambule" DocPartId="9a3d4edeb575454f9374df1d82873b60" PartId="6b64c4e1b436464da43f736ee5f80a81"/>
          <Part Type="punktas" Nr="1" Abbr="1 p." DocPartId="f2d78274df754b4a8cecc998f48fe38f" PartId="497dceaff7224debbe0f5e351684f28a"/>
          <Part Type="punktas" Nr="2" Abbr="2 p." DocPartId="3cb035e6a9ef49ae9cba2b253746997d" PartId="5401b6523f804ed38510860e61b2ced0">
            <Part Type="papunktis" Nr="2.1" Abbr="2.1 pp." DocPartId="629f37d8d33c44da8857e05d47bcd2fd" PartId="b5f93190c5564b69af5a224a7b7b915d"/>
            <Part Type="papunktis" Nr="2.2" Abbr="2.2 pp." DocPartId="71bfb53c6efd4ce693cd5a392d536068" PartId="38a134a442ef44d7a8dad61f16555b3c">
              <Part Type="papunktis" Nr="2.2.1" Abbr="2.2.1 pp." DocPartId="3d6275fc99174810b015abbfe3e03e83" PartId="f5b64dea7feb4cbda0f895efa3b7bc43"/>
              <Part Type="papunktis" Nr="2.2.2" Abbr="2.2.2 pp." DocPartId="35e25c2103bc43668b3eb8b7c2805e97" PartId="4fbf10d7fa874b1889907ba570c6a00e"/>
              <Part Type="papunktis" Nr="2.2.3" Abbr="2.2.3 pp." DocPartId="20cc611b149b4c2599bc12af99d9829a" PartId="2be5130ad1154c9a82fd5b26abd80017"/>
            </Part>
          </Part>
        </Part>
      </Part>
    </Part>
    <Part Type="punktas" Nr="2" Abbr="2 p." DocPartId="198c5a3c04a248cba1e99a567415d7f0" PartId="a8198648a55745d0ad73118e1b87b544"/>
    <Part Type="signatura" DocPartId="32cc9f6f19894e4194b22586941e5eae" PartId="9162dd43f22d4399b784729507a5f840"/>
  </Part>
</Parts>
</file>

<file path=customXml/itemProps1.xml><?xml version="1.0" encoding="utf-8"?>
<ds:datastoreItem xmlns:ds="http://schemas.openxmlformats.org/officeDocument/2006/customXml" ds:itemID="{E3D84F3B-6DD2-489C-87FD-DC5CAD43B0B3}">
  <ds:schemaRefs>
    <ds:schemaRef ds:uri="http://schemas.openxmlformats.org/officeDocument/2006/bibliography"/>
  </ds:schemaRefs>
</ds:datastoreItem>
</file>

<file path=customXml/itemProps2.xml><?xml version="1.0" encoding="utf-8"?>
<ds:datastoreItem xmlns:ds="http://schemas.openxmlformats.org/officeDocument/2006/customXml" ds:itemID="{AD640675-BF93-4EA4-8B9A-A06F7355D73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4114</Characters>
  <Application>Microsoft Office Word</Application>
  <DocSecurity>4</DocSecurity>
  <Lines>79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valstybės nekilnojamojo turto centralizuoto valdymo įgyvendinimo</vt:lpstr>
      <vt:lpstr> </vt:lpstr>
    </vt:vector>
  </TitlesOfParts>
  <Company>Infolex</Company>
  <LinksUpToDate>false</LinksUpToDate>
  <CharactersWithSpaces>4647</CharactersWithSpaces>
  <SharedDoc>false</SharedDoc>
  <HyperlinkBase/>
  <HLinks>
    <vt:vector size="6" baseType="variant">
      <vt:variant>
        <vt:i4>25</vt:i4>
      </vt:variant>
      <vt:variant>
        <vt:i4>0</vt:i4>
      </vt:variant>
      <vt:variant>
        <vt:i4>0</vt:i4>
      </vt:variant>
      <vt:variant>
        <vt:i4>5</vt:i4>
      </vt:variant>
      <vt:variant>
        <vt:lpwstr>http://172.16.0.250/Litlex/ll.dll?Tekstas=1&amp;Id=47519&amp;BF=1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2020-05-27T08:55:00Z</dcterms:created>
  <dc:creator>Infolex</dc:creator>
  <cp:lastModifiedBy>Asseco</cp:lastModifiedBy>
  <cp:lastPrinted>2020-01-20T11:31:00Z</cp:lastPrinted>
  <dcterms:modified xsi:type="dcterms:W3CDTF">2020-05-27T08:55:00Z</dcterms:modified>
  <cp:revision>2</cp:revision>
  <dc:title>Dėl valstybės nekilnojamojo turto centralizuoto valdymo įgyvendinimo</dc:title>
</cp:coreProperties>
</file>