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002F" w14:textId="77777777" w:rsidR="00321A97" w:rsidRDefault="00321A97" w:rsidP="00321A97">
      <w:pPr>
        <w:spacing w:before="160"/>
        <w:ind w:left="-851" w:firstLine="851"/>
        <w:jc w:val="center"/>
        <w:rPr>
          <w:b/>
          <w:caps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1000C64E" wp14:editId="08C44680">
            <wp:extent cx="6191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D061A" w14:textId="77777777" w:rsidR="00321A97" w:rsidRDefault="00321A97" w:rsidP="00321A97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>LIETUVOS RESPUBLIKOS energetikos MINISTERIJA</w:t>
      </w:r>
    </w:p>
    <w:p w14:paraId="78301D89" w14:textId="77777777" w:rsidR="00321A97" w:rsidRDefault="00321A97" w:rsidP="00321A97">
      <w:pPr>
        <w:ind w:left="-851"/>
        <w:jc w:val="center"/>
        <w:rPr>
          <w:b/>
          <w:caps/>
          <w:sz w:val="10"/>
        </w:rPr>
      </w:pPr>
    </w:p>
    <w:p w14:paraId="68EA07FA" w14:textId="77777777" w:rsidR="00321A97" w:rsidRDefault="00321A97" w:rsidP="00321A97">
      <w:pPr>
        <w:spacing w:before="40"/>
        <w:ind w:left="-851"/>
        <w:jc w:val="center"/>
        <w:rPr>
          <w:sz w:val="17"/>
        </w:rPr>
      </w:pPr>
      <w:r>
        <w:rPr>
          <w:sz w:val="17"/>
        </w:rPr>
        <w:t xml:space="preserve">Biudžetinė įstaiga, Gedimino pr. 38, 01104 Vilnius, </w:t>
      </w:r>
    </w:p>
    <w:p w14:paraId="754101B8" w14:textId="77777777" w:rsidR="00321A97" w:rsidRDefault="00321A97" w:rsidP="00321A97">
      <w:pPr>
        <w:spacing w:before="40"/>
        <w:ind w:left="-851"/>
        <w:jc w:val="center"/>
        <w:rPr>
          <w:sz w:val="17"/>
          <w:lang w:val="en-US"/>
        </w:rPr>
      </w:pPr>
      <w:r>
        <w:rPr>
          <w:sz w:val="17"/>
        </w:rPr>
        <w:t xml:space="preserve">Tel. (8 706) 64 715, faks. (8 706) 64 820, el. p. </w:t>
      </w:r>
      <w:hyperlink r:id="rId6" w:history="1">
        <w:r>
          <w:rPr>
            <w:rStyle w:val="Hipersaitas"/>
            <w:sz w:val="17"/>
          </w:rPr>
          <w:t>info</w:t>
        </w:r>
        <w:r>
          <w:rPr>
            <w:rStyle w:val="Hipersaitas"/>
            <w:sz w:val="17"/>
            <w:lang w:val="en-US"/>
          </w:rPr>
          <w:t>@</w:t>
        </w:r>
        <w:proofErr w:type="spellStart"/>
        <w:r>
          <w:rPr>
            <w:rStyle w:val="Hipersaitas"/>
            <w:sz w:val="17"/>
            <w:lang w:val="en-US"/>
          </w:rPr>
          <w:t>enmin.lt</w:t>
        </w:r>
        <w:proofErr w:type="spellEnd"/>
      </w:hyperlink>
      <w:r>
        <w:rPr>
          <w:sz w:val="17"/>
          <w:lang w:val="en-US"/>
        </w:rPr>
        <w:t xml:space="preserve">, </w:t>
      </w:r>
      <w:hyperlink r:id="rId7" w:history="1">
        <w:proofErr w:type="spellStart"/>
        <w:r>
          <w:rPr>
            <w:rStyle w:val="Hipersaitas"/>
            <w:sz w:val="17"/>
            <w:lang w:val="en-US"/>
          </w:rPr>
          <w:t>enmin.lrv.lt</w:t>
        </w:r>
        <w:proofErr w:type="spellEnd"/>
      </w:hyperlink>
    </w:p>
    <w:p w14:paraId="59EBF25E" w14:textId="77777777" w:rsidR="00321A97" w:rsidRDefault="00321A97" w:rsidP="00321A97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4BBDEA2C" w14:textId="77777777" w:rsidR="00321A97" w:rsidRDefault="00321A97" w:rsidP="00321A97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6CD15DC3" wp14:editId="3706E3B2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6078855" cy="0"/>
                <wp:effectExtent l="0" t="0" r="3619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E45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OZ+rrAIAAKQFAAAOAAAAZHJzL2Uyb0RvYy54bWysVE2PmzAQvVfqf7B8Z4GEBII2WWUJ6WXb rpStenawCVbBRrYTElX97x2bQDfbS1VtIiF/zZs3M2/m/uHc1OjElOZSLHF4F2DERCEpF4cl/vay 9RKMtCGCkloKtsQXpvHD6uOH+65N2URWsqZMIQAROu3aJa6MaVPf10XFGqLvZMsEXJZSNcTAVh18 qkgH6E3tT4Jg7ndS0VbJgmkNp5v+Eq8cflmywnwtS80MqpcYuBn3Ve67t19/dU/SgyJtxYsrDfIf LBrCBTgdoTbEEHRU/C+ohhdKalmau0I2vixLXjAXA0QTBm+i2VWkZS4WSI5uxzTp94MtvpyeFeJ0 iScYCdJAiXZGEX6oDForJTuUSSEgjVKhic1W1+oUjDLxrGy8xVns2idZ/NBIyKwi4sAc65dLC1Ch tfBvTOxGt+Bz332WFN6Qo5EudedSNRYSkoLOrkKXsULsbFABh/MgTpLZDKNiuPNJOhi2SptPTDbI LpZYX+MYAwidG3J60sbSIulgYL0KueV17eRQC9SBq+kscAZa1pzaS/tMq8M+qxU6ESso93Mxws3r Z0oeBXVgFSM0v64N4XW/Bue1sHjMabRnBLuzgaU7h4Cdfn4ugkWe5EnkRZN57kXBZuOtt1nkzbdh PNtMN1m2CX9ZomGUVpxSJizXQcth9G9auXZVr8JRzWNS/Ft0lz0ge8t0vZ0FcTRNvDieTb1omgfe Y7LNvHUWzudx/pg95m+Y5i56/T5kx1RaVvJomNpVtEOUWzFMkukCRhHl0PvTJJgHixgjUh9gaBVG YaSk+c5N5bRrVWcxbmodb+2/V1DdVqRXwMwqYBBALw2Xm9F9n6mhyHY3luka/J9cgigGAbiesW3S N9xe0suzGnoJRoEzuo4tO2te72H9eriufgMAAP//AwBQSwMEFAAGAAgAAAAhADxb91DZAAAABgEA AA8AAABkcnMvZG93bnJldi54bWxMjjFPwzAUhHck/oP1KrG1dpEaSohTIRATE2mHjE78mkSNn6PY TdJ/z4MFptPpTndfdlhcLyYcQ+dJw3ajQCDV3nbUaDgdP9Z7ECEasqb3hBpuGOCQ399lJrV+pi+c itgIHqGQGg1tjEMqZahbdCZs/IDE2dmPzkS2YyPtaGYed718VCqRznTED60Z8K3F+lJcnYajfz93 u7Ko9qUvk0nh/HkrZq0fVsvrC4iIS/wrww8+o0POTJW/kg2i17BOEm6ybkFw/LxTTyCqXy/zTP7H z78BAAD//wMAUEsBAi0AFAAGAAgAAAAhALaDOJL+AAAA4QEAABMAAAAAAAAAAAAAAAAAAAAAAFtD b250ZW50X1R5cGVzXS54bWxQSwECLQAUAAYACAAAACEAOP0h/9YAAACUAQAACwAAAAAAAAAAAAAA AAAvAQAAX3JlbHMvLnJlbHNQSwECLQAUAAYACAAAACEAODmfq6wCAACkBQAADgAAAAAAAAAAAAAA AAAuAgAAZHJzL2Uyb0RvYy54bWxQSwECLQAUAAYACAAAACEAPFv3UNkAAAAGAQAADwAAAAAAAAAA AAAAAAAGBQAAZHJzL2Rvd25yZXYueG1sUEsFBgAAAAAEAAQA8wAAAAwGAAAAAA== " strokeweight=".5pt">
                <v:shadow color="#7f7f7f" opacity=".5" offset="1pt"/>
              </v:shape>
            </w:pict>
          </mc:Fallback>
        </mc:AlternateContent>
      </w:r>
    </w:p>
    <w:p w14:paraId="4FCD74A6" w14:textId="77777777" w:rsidR="00321A97" w:rsidRDefault="00321A97" w:rsidP="00321A97"/>
    <w:tbl>
      <w:tblPr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19"/>
        <w:gridCol w:w="4414"/>
        <w:gridCol w:w="215"/>
        <w:gridCol w:w="534"/>
        <w:gridCol w:w="1559"/>
        <w:gridCol w:w="2687"/>
      </w:tblGrid>
      <w:tr w:rsidR="008737A3" w14:paraId="3E018912" w14:textId="77777777" w:rsidTr="0029410B">
        <w:trPr>
          <w:cantSplit/>
        </w:trPr>
        <w:tc>
          <w:tcPr>
            <w:tcW w:w="4633" w:type="dxa"/>
            <w:gridSpan w:val="2"/>
            <w:vMerge w:val="restart"/>
            <w:hideMark/>
          </w:tcPr>
          <w:p w14:paraId="1800D5E8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  <w:r>
              <w:rPr>
                <w:lang w:eastAsia="lt-LT"/>
              </w:rPr>
              <w:t>Lietuvos Respublikos socialinės apsaugos</w:t>
            </w:r>
          </w:p>
          <w:p w14:paraId="731AD156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  <w:r>
              <w:rPr>
                <w:lang w:eastAsia="lt-LT"/>
              </w:rPr>
              <w:t xml:space="preserve">ir darbo ministerijai </w:t>
            </w:r>
          </w:p>
        </w:tc>
        <w:tc>
          <w:tcPr>
            <w:tcW w:w="215" w:type="dxa"/>
          </w:tcPr>
          <w:p w14:paraId="66DDC8F3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534" w:type="dxa"/>
          </w:tcPr>
          <w:p w14:paraId="65730417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1559" w:type="dxa"/>
            <w:hideMark/>
          </w:tcPr>
          <w:p w14:paraId="0870E331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  <w:r>
              <w:rPr>
                <w:lang w:eastAsia="lt-LT"/>
              </w:rPr>
              <w:t xml:space="preserve"> </w:t>
            </w:r>
          </w:p>
        </w:tc>
        <w:tc>
          <w:tcPr>
            <w:tcW w:w="2687" w:type="dxa"/>
            <w:hideMark/>
          </w:tcPr>
          <w:p w14:paraId="6DC87370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  <w:r>
              <w:rPr>
                <w:lang w:eastAsia="lt-LT"/>
              </w:rPr>
              <w:t xml:space="preserve"> Nr. </w:t>
            </w:r>
          </w:p>
        </w:tc>
      </w:tr>
      <w:tr w:rsidR="008737A3" w14:paraId="2FF70775" w14:textId="77777777" w:rsidTr="0029410B">
        <w:trPr>
          <w:cantSplit/>
        </w:trPr>
        <w:tc>
          <w:tcPr>
            <w:tcW w:w="4633" w:type="dxa"/>
            <w:gridSpan w:val="2"/>
            <w:vMerge/>
            <w:vAlign w:val="center"/>
            <w:hideMark/>
          </w:tcPr>
          <w:p w14:paraId="5BF45B44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215" w:type="dxa"/>
          </w:tcPr>
          <w:p w14:paraId="485E36D7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534" w:type="dxa"/>
            <w:hideMark/>
          </w:tcPr>
          <w:p w14:paraId="616AA89A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  <w:r>
              <w:rPr>
                <w:lang w:eastAsia="lt-LT"/>
              </w:rPr>
              <w:t xml:space="preserve">     </w:t>
            </w:r>
          </w:p>
        </w:tc>
        <w:tc>
          <w:tcPr>
            <w:tcW w:w="1559" w:type="dxa"/>
            <w:hideMark/>
          </w:tcPr>
          <w:p w14:paraId="53D2F542" w14:textId="77777777" w:rsidR="008737A3" w:rsidRDefault="00DF1D75">
            <w:pPr>
              <w:spacing w:line="256" w:lineRule="auto"/>
              <w:jc w:val="left"/>
              <w:rPr>
                <w:lang w:eastAsia="lt-LT"/>
              </w:rPr>
            </w:pPr>
            <w:r>
              <w:rPr>
                <w:lang w:eastAsia="lt-LT"/>
              </w:rPr>
              <w:t xml:space="preserve"> Į 2018-06-12</w:t>
            </w:r>
          </w:p>
        </w:tc>
        <w:tc>
          <w:tcPr>
            <w:tcW w:w="2687" w:type="dxa"/>
            <w:hideMark/>
          </w:tcPr>
          <w:p w14:paraId="5F17D298" w14:textId="77777777" w:rsidR="008737A3" w:rsidRDefault="00DF1D75">
            <w:pPr>
              <w:spacing w:line="256" w:lineRule="auto"/>
              <w:jc w:val="left"/>
              <w:rPr>
                <w:lang w:eastAsia="lt-LT"/>
              </w:rPr>
            </w:pPr>
            <w:r>
              <w:rPr>
                <w:lang w:eastAsia="lt-LT"/>
              </w:rPr>
              <w:t xml:space="preserve"> Nr. (31.1-44)SD-3358</w:t>
            </w:r>
          </w:p>
        </w:tc>
      </w:tr>
      <w:tr w:rsidR="008737A3" w14:paraId="446FB2B7" w14:textId="77777777" w:rsidTr="0029410B">
        <w:trPr>
          <w:cantSplit/>
        </w:trPr>
        <w:tc>
          <w:tcPr>
            <w:tcW w:w="4633" w:type="dxa"/>
            <w:gridSpan w:val="2"/>
          </w:tcPr>
          <w:p w14:paraId="32E5DF1C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215" w:type="dxa"/>
          </w:tcPr>
          <w:p w14:paraId="37ACF337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534" w:type="dxa"/>
          </w:tcPr>
          <w:p w14:paraId="00FB47BF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1559" w:type="dxa"/>
          </w:tcPr>
          <w:p w14:paraId="42FC17CB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2687" w:type="dxa"/>
          </w:tcPr>
          <w:p w14:paraId="5C29A36F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</w:tr>
      <w:tr w:rsidR="008737A3" w14:paraId="23300897" w14:textId="77777777" w:rsidTr="0029410B">
        <w:trPr>
          <w:cantSplit/>
        </w:trPr>
        <w:tc>
          <w:tcPr>
            <w:tcW w:w="4633" w:type="dxa"/>
            <w:gridSpan w:val="2"/>
          </w:tcPr>
          <w:p w14:paraId="0C27E4B6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215" w:type="dxa"/>
          </w:tcPr>
          <w:p w14:paraId="717DBF81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534" w:type="dxa"/>
          </w:tcPr>
          <w:p w14:paraId="0028AA35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1559" w:type="dxa"/>
          </w:tcPr>
          <w:p w14:paraId="33166DED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2687" w:type="dxa"/>
          </w:tcPr>
          <w:p w14:paraId="7E83D930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</w:tr>
      <w:tr w:rsidR="008737A3" w14:paraId="1C2678CC" w14:textId="77777777" w:rsidTr="0029410B">
        <w:trPr>
          <w:cantSplit/>
        </w:trPr>
        <w:tc>
          <w:tcPr>
            <w:tcW w:w="4633" w:type="dxa"/>
            <w:gridSpan w:val="2"/>
          </w:tcPr>
          <w:p w14:paraId="04C64FF7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  <w:p w14:paraId="46F678AB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215" w:type="dxa"/>
          </w:tcPr>
          <w:p w14:paraId="78800BF6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534" w:type="dxa"/>
          </w:tcPr>
          <w:p w14:paraId="6357E662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1559" w:type="dxa"/>
          </w:tcPr>
          <w:p w14:paraId="3E2E2DEB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  <w:tc>
          <w:tcPr>
            <w:tcW w:w="2687" w:type="dxa"/>
          </w:tcPr>
          <w:p w14:paraId="0CA474EE" w14:textId="77777777" w:rsidR="008737A3" w:rsidRDefault="008737A3">
            <w:pPr>
              <w:spacing w:line="256" w:lineRule="auto"/>
              <w:jc w:val="left"/>
              <w:rPr>
                <w:lang w:eastAsia="lt-LT"/>
              </w:rPr>
            </w:pPr>
          </w:p>
        </w:tc>
      </w:tr>
      <w:tr w:rsidR="008737A3" w14:paraId="74D85D58" w14:textId="77777777" w:rsidTr="0029410B">
        <w:trPr>
          <w:cantSplit/>
        </w:trPr>
        <w:tc>
          <w:tcPr>
            <w:tcW w:w="219" w:type="dxa"/>
          </w:tcPr>
          <w:p w14:paraId="0AF4F5A4" w14:textId="77777777" w:rsidR="008737A3" w:rsidRDefault="008737A3">
            <w:pPr>
              <w:spacing w:line="256" w:lineRule="auto"/>
              <w:jc w:val="left"/>
              <w:rPr>
                <w:b/>
                <w:bCs/>
                <w:lang w:eastAsia="lt-LT"/>
              </w:rPr>
            </w:pPr>
          </w:p>
        </w:tc>
        <w:tc>
          <w:tcPr>
            <w:tcW w:w="9409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287"/>
            </w:tblGrid>
            <w:tr w:rsidR="008737A3" w14:paraId="3EE30C8D" w14:textId="77777777">
              <w:trPr>
                <w:cantSplit/>
              </w:trPr>
              <w:tc>
                <w:tcPr>
                  <w:tcW w:w="9287" w:type="dxa"/>
                </w:tcPr>
                <w:p w14:paraId="72804BA6" w14:textId="77777777" w:rsidR="008737A3" w:rsidRDefault="008737A3">
                  <w:pPr>
                    <w:spacing w:line="256" w:lineRule="auto"/>
                    <w:jc w:val="left"/>
                    <w:rPr>
                      <w:b/>
                      <w:bCs/>
                      <w:lang w:eastAsia="lt-LT"/>
                    </w:rPr>
                  </w:pPr>
                </w:p>
              </w:tc>
            </w:tr>
          </w:tbl>
          <w:p w14:paraId="276550C5" w14:textId="77777777" w:rsidR="008737A3" w:rsidRDefault="008737A3">
            <w:pPr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8737A3" w14:paraId="4D5407A3" w14:textId="77777777" w:rsidTr="0029410B">
        <w:trPr>
          <w:cantSplit/>
        </w:trPr>
        <w:tc>
          <w:tcPr>
            <w:tcW w:w="219" w:type="dxa"/>
          </w:tcPr>
          <w:p w14:paraId="2B81F99F" w14:textId="77777777" w:rsidR="008737A3" w:rsidRDefault="008737A3">
            <w:pPr>
              <w:spacing w:line="256" w:lineRule="auto"/>
              <w:rPr>
                <w:b/>
                <w:bCs/>
                <w:caps/>
                <w:lang w:eastAsia="lt-LT"/>
              </w:rPr>
            </w:pPr>
          </w:p>
        </w:tc>
        <w:tc>
          <w:tcPr>
            <w:tcW w:w="9409" w:type="dxa"/>
            <w:gridSpan w:val="5"/>
            <w:hideMark/>
          </w:tcPr>
          <w:p w14:paraId="34521DF5" w14:textId="14A08275" w:rsidR="008737A3" w:rsidRPr="00691AF0" w:rsidRDefault="008737A3">
            <w:pPr>
              <w:spacing w:line="256" w:lineRule="auto"/>
              <w:rPr>
                <w:b/>
                <w:bCs/>
                <w:caps/>
                <w:vertAlign w:val="superscript"/>
                <w:lang w:eastAsia="lt-LT"/>
              </w:rPr>
            </w:pPr>
            <w:r>
              <w:rPr>
                <w:b/>
                <w:bCs/>
                <w:caps/>
                <w:lang w:eastAsia="lt-LT"/>
              </w:rPr>
              <w:t xml:space="preserve">dėl LIETUVOS RESPUBLIKOS </w:t>
            </w:r>
            <w:r w:rsidR="00DF1D75">
              <w:rPr>
                <w:b/>
                <w:bCs/>
                <w:caps/>
                <w:lang w:eastAsia="lt-LT"/>
              </w:rPr>
              <w:t>NEVYRIAUSYBINIŲ ORGANIZACIJŲ PLĖTROS ĮSTATYMO NR. XII-717 PAKEITIMO, LIETUVOS RESPUBLIKOS ASOCIACIJŲ ĮSTATYMO NR. ix-1969 10 straipsnio pakeitimo, lietuvos re</w:t>
            </w:r>
            <w:r w:rsidR="00866B0F">
              <w:rPr>
                <w:b/>
                <w:bCs/>
                <w:caps/>
                <w:lang w:eastAsia="lt-LT"/>
              </w:rPr>
              <w:t>SP</w:t>
            </w:r>
            <w:r w:rsidR="00DF1D75">
              <w:rPr>
                <w:b/>
                <w:bCs/>
                <w:caps/>
                <w:lang w:eastAsia="lt-LT"/>
              </w:rPr>
              <w:t>ublikos asociacijų įstatymo nr. ix-1969 8, 9, 10, 16 ir 17 straipsnių pakeitimo ir įstatymo papildymo 10</w:t>
            </w:r>
            <w:r w:rsidR="00DF1D75">
              <w:rPr>
                <w:b/>
                <w:bCs/>
                <w:caps/>
                <w:vertAlign w:val="superscript"/>
                <w:lang w:eastAsia="lt-LT"/>
              </w:rPr>
              <w:t xml:space="preserve">1 </w:t>
            </w:r>
            <w:r w:rsidR="00DF1D75">
              <w:rPr>
                <w:b/>
                <w:bCs/>
                <w:caps/>
                <w:lang w:eastAsia="lt-LT"/>
              </w:rPr>
              <w:t>straipsniu įstatymo nr. xiii-1179 3 straipsnio pakeitimo, lietuvos respublikos labdaros ir paramos fondų įstatymo nr. I-1232 PAPILDYMO 6</w:t>
            </w:r>
            <w:r w:rsidR="00691AF0">
              <w:rPr>
                <w:b/>
                <w:bCs/>
                <w:caps/>
                <w:vertAlign w:val="superscript"/>
                <w:lang w:eastAsia="lt-LT"/>
              </w:rPr>
              <w:t>1</w:t>
            </w:r>
            <w:r w:rsidR="00DF1D75">
              <w:rPr>
                <w:b/>
                <w:bCs/>
                <w:caps/>
                <w:lang w:eastAsia="lt-LT"/>
              </w:rPr>
              <w:t xml:space="preserve"> straipsniu, LIETUVOS RESPUBLIKOS RE</w:t>
            </w:r>
            <w:r w:rsidR="00691AF0">
              <w:rPr>
                <w:b/>
                <w:bCs/>
                <w:caps/>
                <w:lang w:eastAsia="lt-LT"/>
              </w:rPr>
              <w:t>liginių bendruomenių ir bendrijų įstatymo nr. I-1057 PAPILDYMO 7</w:t>
            </w:r>
            <w:r w:rsidR="00691AF0">
              <w:rPr>
                <w:b/>
                <w:bCs/>
                <w:caps/>
                <w:vertAlign w:val="superscript"/>
                <w:lang w:eastAsia="lt-LT"/>
              </w:rPr>
              <w:t xml:space="preserve">1 </w:t>
            </w:r>
            <w:r w:rsidR="00691AF0" w:rsidRPr="00691AF0">
              <w:rPr>
                <w:b/>
                <w:bCs/>
                <w:caps/>
                <w:lang w:eastAsia="lt-LT"/>
              </w:rPr>
              <w:t>STRAIPSNIU ĮSTATYMŲ PROJEKTŲ</w:t>
            </w:r>
          </w:p>
        </w:tc>
      </w:tr>
      <w:tr w:rsidR="008737A3" w14:paraId="589A5B8C" w14:textId="77777777" w:rsidTr="0029410B">
        <w:trPr>
          <w:cantSplit/>
        </w:trPr>
        <w:tc>
          <w:tcPr>
            <w:tcW w:w="219" w:type="dxa"/>
          </w:tcPr>
          <w:p w14:paraId="2BB5C491" w14:textId="77777777" w:rsidR="008737A3" w:rsidRDefault="008737A3">
            <w:pPr>
              <w:spacing w:line="256" w:lineRule="auto"/>
              <w:rPr>
                <w:b/>
                <w:bCs/>
                <w:caps/>
                <w:lang w:eastAsia="lt-LT"/>
              </w:rPr>
            </w:pPr>
          </w:p>
        </w:tc>
        <w:tc>
          <w:tcPr>
            <w:tcW w:w="9409" w:type="dxa"/>
            <w:gridSpan w:val="5"/>
          </w:tcPr>
          <w:p w14:paraId="7742CC09" w14:textId="77777777" w:rsidR="008737A3" w:rsidRDefault="008737A3">
            <w:pPr>
              <w:spacing w:line="256" w:lineRule="auto"/>
              <w:rPr>
                <w:b/>
                <w:bCs/>
                <w:caps/>
                <w:lang w:eastAsia="lt-LT"/>
              </w:rPr>
            </w:pPr>
          </w:p>
        </w:tc>
      </w:tr>
    </w:tbl>
    <w:p w14:paraId="34B6E174" w14:textId="77777777" w:rsidR="00321A97" w:rsidRDefault="00321A97" w:rsidP="00321A97"/>
    <w:p w14:paraId="66F3DF94" w14:textId="2C5E55EB" w:rsidR="00321A97" w:rsidRDefault="00321A97" w:rsidP="00321A97">
      <w:pPr>
        <w:spacing w:line="280" w:lineRule="exact"/>
        <w:ind w:firstLine="720"/>
      </w:pPr>
      <w:r>
        <w:t xml:space="preserve">Lietuvos Respublikos energetikos ministerija, išnagrinėjusi Lietuvos Respublikos </w:t>
      </w:r>
      <w:r w:rsidR="008737A3">
        <w:t xml:space="preserve">socialinės </w:t>
      </w:r>
      <w:r w:rsidR="0029410B">
        <w:t>apsaugos</w:t>
      </w:r>
      <w:r w:rsidR="003A3F6A">
        <w:t xml:space="preserve"> </w:t>
      </w:r>
      <w:r w:rsidR="0029410B">
        <w:t xml:space="preserve">ir darbo </w:t>
      </w:r>
      <w:r w:rsidR="00691AF0">
        <w:t>ministerijos 2018</w:t>
      </w:r>
      <w:r w:rsidR="003A3F6A">
        <w:t xml:space="preserve"> m. birželio</w:t>
      </w:r>
      <w:r w:rsidR="00691AF0">
        <w:t xml:space="preserve"> 12</w:t>
      </w:r>
      <w:r w:rsidR="002F317E">
        <w:t xml:space="preserve"> d. r</w:t>
      </w:r>
      <w:r w:rsidR="00691AF0">
        <w:t>aštu Nr. (31.1-44</w:t>
      </w:r>
      <w:r w:rsidR="0029410B">
        <w:t>)S</w:t>
      </w:r>
      <w:r w:rsidR="00691AF0">
        <w:t>D-3358</w:t>
      </w:r>
      <w:r>
        <w:t xml:space="preserve"> pateik</w:t>
      </w:r>
      <w:r w:rsidR="00691AF0">
        <w:t xml:space="preserve">tus Lietuvos Respublikos nevyriausybinių organizacijų plėtros įstatymo Nr. </w:t>
      </w:r>
      <w:r w:rsidR="0060251F">
        <w:t>XII-717 pakeitimo, Lietuvos Respublikos asociacijų įstatymo Nr. IX1969 10 straipsnio pakeitimo, Lietuvos Respublikos asociacijų įstatymo Nr. IX-1969 8, 9, 10, 16 ir 17 straipsnių pakeitimo ir įstatymo papildymo 10</w:t>
      </w:r>
      <w:r w:rsidR="0060251F">
        <w:rPr>
          <w:vertAlign w:val="superscript"/>
        </w:rPr>
        <w:t xml:space="preserve">1 </w:t>
      </w:r>
      <w:r w:rsidR="0060251F">
        <w:t>straipsniu įstatymo Nr. XIII-1179 3 straipsnio pakeitimo, Lietuvos Respublikos labdaros ir paramos fondų įstatymo Nr. I-1232 papildymo 6</w:t>
      </w:r>
      <w:r w:rsidR="0060251F">
        <w:rPr>
          <w:vertAlign w:val="superscript"/>
        </w:rPr>
        <w:t xml:space="preserve">1 </w:t>
      </w:r>
      <w:r w:rsidR="0060251F">
        <w:t>straipsniu, Lietuvos Respublikos religinių bendruomenių ir bendrijų įstatymo Nr. I-1057 papildymo 7</w:t>
      </w:r>
      <w:r w:rsidR="0060251F">
        <w:rPr>
          <w:vertAlign w:val="superscript"/>
        </w:rPr>
        <w:t xml:space="preserve">1 </w:t>
      </w:r>
      <w:r w:rsidR="0060251F">
        <w:t>straipsniu įstatymų projektu</w:t>
      </w:r>
      <w:r w:rsidR="00670B79">
        <w:t>s</w:t>
      </w:r>
      <w:r w:rsidR="002F317E">
        <w:t xml:space="preserve"> </w:t>
      </w:r>
      <w:r>
        <w:t xml:space="preserve">informuoja, kad pagal kompetenciją pastabų ar pasiūlymų neturi. </w:t>
      </w:r>
    </w:p>
    <w:p w14:paraId="34D512B3" w14:textId="77777777" w:rsidR="00321A97" w:rsidRDefault="00321A97" w:rsidP="00321A97">
      <w:pPr>
        <w:spacing w:line="280" w:lineRule="exact"/>
      </w:pPr>
    </w:p>
    <w:p w14:paraId="6D3B2003" w14:textId="77777777" w:rsidR="00321A97" w:rsidRDefault="00321A97" w:rsidP="0060251F">
      <w:pPr>
        <w:spacing w:line="280" w:lineRule="exact"/>
        <w:ind w:firstLine="720"/>
      </w:pPr>
      <w:r>
        <w:t xml:space="preserve"> </w:t>
      </w:r>
    </w:p>
    <w:p w14:paraId="1047FBC5" w14:textId="77777777" w:rsidR="00ED4C0F" w:rsidRDefault="00ED3ED6" w:rsidP="00ED4C0F">
      <w:pPr>
        <w:spacing w:line="280" w:lineRule="exact"/>
      </w:pPr>
      <w:r>
        <w:t>Elektros ūkio</w:t>
      </w:r>
      <w:r w:rsidR="00ED4C0F">
        <w:t xml:space="preserve"> skyriaus vedėja,</w:t>
      </w:r>
      <w:r w:rsidR="006D2DC8" w:rsidRPr="006D2DC8">
        <w:t xml:space="preserve"> </w:t>
      </w:r>
      <w:r w:rsidR="006D2DC8">
        <w:t xml:space="preserve">                                                                               </w:t>
      </w:r>
      <w:r>
        <w:t xml:space="preserve">Justina </w:t>
      </w:r>
      <w:proofErr w:type="spellStart"/>
      <w:r>
        <w:t>Ratkevičiūtė</w:t>
      </w:r>
      <w:proofErr w:type="spellEnd"/>
      <w:r w:rsidR="006D2DC8">
        <w:t xml:space="preserve"> </w:t>
      </w:r>
    </w:p>
    <w:p w14:paraId="34925E9A" w14:textId="77777777" w:rsidR="00321A97" w:rsidRDefault="00ED4C0F" w:rsidP="00ED4C0F">
      <w:pPr>
        <w:spacing w:line="280" w:lineRule="exact"/>
      </w:pPr>
      <w:r>
        <w:t xml:space="preserve">laikinai atliekanti </w:t>
      </w:r>
      <w:r w:rsidR="00ED3ED6">
        <w:t xml:space="preserve">ministerijos </w:t>
      </w:r>
      <w:r>
        <w:t xml:space="preserve">kanclerio funkcijas     </w:t>
      </w:r>
    </w:p>
    <w:p w14:paraId="6E440FF6" w14:textId="77777777" w:rsidR="00321A97" w:rsidRDefault="00321A97" w:rsidP="00321A97">
      <w:pPr>
        <w:spacing w:line="280" w:lineRule="exact"/>
      </w:pPr>
    </w:p>
    <w:p w14:paraId="44253E49" w14:textId="77777777" w:rsidR="00321A97" w:rsidRDefault="00321A97" w:rsidP="00321A97">
      <w:pPr>
        <w:spacing w:line="280" w:lineRule="exact"/>
      </w:pPr>
    </w:p>
    <w:p w14:paraId="63D36257" w14:textId="77777777" w:rsidR="00321A97" w:rsidRDefault="00321A97" w:rsidP="00321A97">
      <w:pPr>
        <w:spacing w:line="280" w:lineRule="exact"/>
      </w:pPr>
    </w:p>
    <w:p w14:paraId="3F708C0E" w14:textId="77777777" w:rsidR="00321A97" w:rsidRDefault="00321A97" w:rsidP="00321A97">
      <w:pPr>
        <w:spacing w:line="280" w:lineRule="exact"/>
      </w:pPr>
    </w:p>
    <w:p w14:paraId="5BB9D6DE" w14:textId="77777777" w:rsidR="00321A97" w:rsidRDefault="00321A97" w:rsidP="00321A97">
      <w:pPr>
        <w:spacing w:line="280" w:lineRule="exact"/>
      </w:pPr>
    </w:p>
    <w:p w14:paraId="0374DE11" w14:textId="77777777" w:rsidR="0030243C" w:rsidRDefault="0030243C" w:rsidP="00321A97">
      <w:pPr>
        <w:spacing w:line="280" w:lineRule="exact"/>
      </w:pPr>
    </w:p>
    <w:p w14:paraId="3577D65E" w14:textId="77777777" w:rsidR="0030243C" w:rsidRDefault="0030243C" w:rsidP="00321A97">
      <w:pPr>
        <w:spacing w:line="280" w:lineRule="exact"/>
      </w:pPr>
    </w:p>
    <w:p w14:paraId="5167A3B9" w14:textId="77777777" w:rsidR="007077C7" w:rsidRPr="00855241" w:rsidRDefault="00321A97" w:rsidP="00855241">
      <w:pPr>
        <w:spacing w:line="280" w:lineRule="exact"/>
        <w:rPr>
          <w:lang w:val="en-US"/>
        </w:rPr>
      </w:pPr>
      <w:r>
        <w:t xml:space="preserve">B. </w:t>
      </w:r>
      <w:proofErr w:type="spellStart"/>
      <w:r>
        <w:t>Paulikienė</w:t>
      </w:r>
      <w:proofErr w:type="spellEnd"/>
      <w:r>
        <w:t>,</w:t>
      </w:r>
      <w:r w:rsidR="0060251F">
        <w:t xml:space="preserve"> tel. 8 706 64703, el. p.</w:t>
      </w:r>
      <w:r>
        <w:t xml:space="preserve"> </w:t>
      </w:r>
      <w:hyperlink r:id="rId8" w:history="1">
        <w:r>
          <w:rPr>
            <w:rStyle w:val="Hipersaitas"/>
          </w:rPr>
          <w:t>brigita.paulikiene</w:t>
        </w:r>
        <w:r>
          <w:rPr>
            <w:rStyle w:val="Hipersaitas"/>
            <w:lang w:val="en-US"/>
          </w:rPr>
          <w:t>@</w:t>
        </w:r>
        <w:proofErr w:type="spellStart"/>
        <w:r>
          <w:rPr>
            <w:rStyle w:val="Hipersaitas"/>
            <w:lang w:val="en-US"/>
          </w:rPr>
          <w:t>enmin.lt</w:t>
        </w:r>
        <w:proofErr w:type="spellEnd"/>
      </w:hyperlink>
    </w:p>
    <w:sectPr w:rsidR="007077C7" w:rsidRPr="00855241" w:rsidSect="00510D35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97"/>
    <w:rsid w:val="000F53DF"/>
    <w:rsid w:val="00160C2C"/>
    <w:rsid w:val="001A30D0"/>
    <w:rsid w:val="0029410B"/>
    <w:rsid w:val="002C78E2"/>
    <w:rsid w:val="002F317E"/>
    <w:rsid w:val="0030243C"/>
    <w:rsid w:val="00321A97"/>
    <w:rsid w:val="003A3F6A"/>
    <w:rsid w:val="003A454D"/>
    <w:rsid w:val="00476168"/>
    <w:rsid w:val="00510D35"/>
    <w:rsid w:val="0060251F"/>
    <w:rsid w:val="00670B79"/>
    <w:rsid w:val="00691AF0"/>
    <w:rsid w:val="006D2DC8"/>
    <w:rsid w:val="007077C7"/>
    <w:rsid w:val="00737CD3"/>
    <w:rsid w:val="008508F9"/>
    <w:rsid w:val="00855241"/>
    <w:rsid w:val="0086033F"/>
    <w:rsid w:val="00866B0F"/>
    <w:rsid w:val="0087248C"/>
    <w:rsid w:val="008737A3"/>
    <w:rsid w:val="00914BBA"/>
    <w:rsid w:val="009C5FC8"/>
    <w:rsid w:val="009E0C45"/>
    <w:rsid w:val="00AD05ED"/>
    <w:rsid w:val="00C01D4B"/>
    <w:rsid w:val="00C60C1C"/>
    <w:rsid w:val="00DD019A"/>
    <w:rsid w:val="00DF1D75"/>
    <w:rsid w:val="00ED3ED6"/>
    <w:rsid w:val="00ED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A2B1"/>
  <w15:chartTrackingRefBased/>
  <w15:docId w15:val="{D49AC4D2-554D-42C2-BFFD-6CF2D43F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21A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321A97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unhideWhenUsed/>
    <w:rsid w:val="00321A9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21A9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24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243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0B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0B7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0B7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0B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0B79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mailto:info@enmin.lt" TargetMode="External"
                 Type="http://schemas.openxmlformats.org/officeDocument/2006/relationships/hyperlink"/>
   <Relationship Id="rId7" Target="http://enmin.lrv.lt/" TargetMode="External"
                 Type="http://schemas.openxmlformats.org/officeDocument/2006/relationships/hyperlink"/>
   <Relationship Id="rId8" Target="mailto:brigita.paulikiene@enmin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A272-0FC5-47FA-A3B9-E709AEBB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2019-04-12T10:57:00Z</dcterms:created>
  <dc:creator>Brigita Paulikienė</dc:creator>
  <cp:lastModifiedBy>Audronė Zdanevičienė</cp:lastModifiedBy>
  <cp:lastPrinted>2017-01-24T11:03:00Z</cp:lastPrinted>
  <dcterms:modified xsi:type="dcterms:W3CDTF">2019-04-12T10:57:00Z</dcterms:modified>
  <cp:revision>2</cp:revision>
</cp:coreProperties>
</file>