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7.xml" ContentType="application/vnd.openxmlformats-officedocument.drawingml.chart+xml"/>
  <Override PartName="/word/theme/themeOverride6.xml" ContentType="application/vnd.openxmlformats-officedocument.themeOverride+xml"/>
  <Override PartName="/word/charts/style6.xml" ContentType="application/vnd.ms-office.chartstyle+xml"/>
  <Override PartName="/word/charts/style7.xml" ContentType="application/vnd.ms-office.chartstyle+xml"/>
  <Override PartName="/word/charts/chart6.xml" ContentType="application/vnd.openxmlformats-officedocument.drawingml.chart+xml"/>
  <Override PartName="/word/theme/themeOverride5.xml" ContentType="application/vnd.openxmlformats-officedocument.themeOverride+xml"/>
  <Override PartName="/word/charts/colors6.xml" ContentType="application/vnd.ms-office.chartcolorstyle+xml"/>
  <Override PartName="/word/theme/themeOverride7.xml" ContentType="application/vnd.openxmlformats-officedocument.themeOverride+xml"/>
  <Override PartName="/word/charts/colors5.xml" ContentType="application/vnd.ms-office.chartcolorstyle+xml"/>
  <Override PartName="/word/theme/theme1.xml" ContentType="application/vnd.openxmlformats-officedocument.theme+xml"/>
  <Override PartName="/word/charts/colors7.xml" ContentType="application/vnd.ms-office.chartcolorstyle+xml"/>
  <Override PartName="/word/charts/style5.xml" ContentType="application/vnd.ms-office.chartstyle+xml"/>
  <Override PartName="/word/charts/chart5.xml" ContentType="application/vnd.openxmlformats-officedocument.drawingml.chart+xml"/>
  <Override PartName="/word/theme/themeOverride2.xml" ContentType="application/vnd.openxmlformats-officedocument.themeOverride+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theme/themeOverride1.xml" ContentType="application/vnd.openxmlformats-officedocument.themeOverride+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charts/style3.xml" ContentType="application/vnd.ms-office.chartstyle+xml"/>
  <Override PartName="/word/theme/themeOverride4.xml" ContentType="application/vnd.openxmlformats-officedocument.themeOverride+xml"/>
  <Override PartName="/word/charts/colors4.xml" ContentType="application/vnd.ms-office.chartcolorstyle+xml"/>
  <Override PartName="/word/charts/chart3.xml" ContentType="application/vnd.openxmlformats-officedocument.drawingml.chart+xml"/>
  <Override PartName="/word/charts/style4.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7B6" w:rsidRDefault="00D1242C" w:rsidP="009527B6">
      <w:pPr>
        <w:spacing w:after="0" w:line="360" w:lineRule="auto"/>
        <w:ind w:left="6480" w:firstLine="1296"/>
        <w:jc w:val="both"/>
        <w:rPr>
          <w:rFonts w:ascii="Times New Roman" w:hAnsi="Times New Roman" w:cs="Times New Roman"/>
          <w:b/>
        </w:rPr>
      </w:pPr>
      <w:r>
        <w:rPr>
          <w:rFonts w:ascii="Times New Roman" w:hAnsi="Times New Roman" w:cs="Times New Roman"/>
          <w:b/>
        </w:rPr>
        <w:t>4</w:t>
      </w:r>
      <w:bookmarkStart w:id="0" w:name="_GoBack"/>
      <w:bookmarkEnd w:id="0"/>
      <w:r w:rsidR="009527B6" w:rsidRPr="00163A80">
        <w:rPr>
          <w:rFonts w:ascii="Times New Roman" w:hAnsi="Times New Roman" w:cs="Times New Roman"/>
          <w:b/>
        </w:rPr>
        <w:t xml:space="preserve"> P</w:t>
      </w:r>
      <w:r w:rsidR="00345825">
        <w:rPr>
          <w:rFonts w:ascii="Times New Roman" w:hAnsi="Times New Roman" w:cs="Times New Roman"/>
          <w:b/>
        </w:rPr>
        <w:t>RIEDAS</w:t>
      </w:r>
    </w:p>
    <w:p w:rsidR="009527B6" w:rsidRPr="00163A80" w:rsidRDefault="009527B6" w:rsidP="009527B6">
      <w:pPr>
        <w:spacing w:after="0" w:line="360" w:lineRule="auto"/>
        <w:ind w:left="6480" w:firstLine="1296"/>
        <w:jc w:val="both"/>
        <w:rPr>
          <w:rFonts w:ascii="Times New Roman" w:hAnsi="Times New Roman" w:cs="Times New Roman"/>
          <w:sz w:val="24"/>
          <w:szCs w:val="24"/>
          <w:lang w:eastAsia="lt-LT"/>
        </w:rPr>
      </w:pPr>
    </w:p>
    <w:p w:rsidR="009527B6" w:rsidRPr="004607BB" w:rsidRDefault="009527B6" w:rsidP="009527B6">
      <w:pPr>
        <w:pStyle w:val="Sraopastraipa"/>
        <w:jc w:val="both"/>
      </w:pPr>
      <w:r w:rsidRPr="004607BB">
        <w:rPr>
          <w:b/>
        </w:rPr>
        <w:t>Mokslinių tyrimų institutų MTEP veiklos finansavimo šaltiniai ir jų pasiskirstymas</w:t>
      </w:r>
      <w:r w:rsidRPr="004607BB">
        <w:t xml:space="preserve"> </w:t>
      </w:r>
    </w:p>
    <w:p w:rsidR="009527B6" w:rsidRPr="004607BB" w:rsidRDefault="009527B6" w:rsidP="009527B6">
      <w:pPr>
        <w:pStyle w:val="Sraopastraipa"/>
        <w:jc w:val="center"/>
      </w:pPr>
      <w:r w:rsidRPr="004607BB">
        <w:t>Pagrindinės ir gretutinės institutų veiklos mokslo sritys:</w:t>
      </w:r>
      <w:r>
        <w:t xml:space="preserve"> </w:t>
      </w:r>
    </w:p>
    <w:p w:rsidR="009527B6" w:rsidRPr="004607BB" w:rsidRDefault="009527B6" w:rsidP="009527B6">
      <w:pPr>
        <w:spacing w:after="0"/>
        <w:jc w:val="both"/>
        <w:rPr>
          <w:rFonts w:ascii="Times New Roman" w:hAnsi="Times New Roman" w:cs="Times New Roman"/>
          <w:sz w:val="24"/>
          <w:szCs w:val="24"/>
        </w:rPr>
      </w:pPr>
    </w:p>
    <w:tbl>
      <w:tblPr>
        <w:tblW w:w="6663" w:type="dxa"/>
        <w:tblInd w:w="1124" w:type="dxa"/>
        <w:tblLook w:val="04A0" w:firstRow="1" w:lastRow="0" w:firstColumn="1" w:lastColumn="0" w:noHBand="0" w:noVBand="1"/>
      </w:tblPr>
      <w:tblGrid>
        <w:gridCol w:w="1701"/>
        <w:gridCol w:w="2552"/>
        <w:gridCol w:w="2410"/>
      </w:tblGrid>
      <w:tr w:rsidR="009527B6" w:rsidRPr="004607BB" w:rsidTr="00BE60D0">
        <w:trPr>
          <w:trHeight w:val="581"/>
        </w:trPr>
        <w:tc>
          <w:tcPr>
            <w:tcW w:w="1701"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9527B6" w:rsidRPr="004607BB" w:rsidRDefault="009527B6" w:rsidP="00BE60D0">
            <w:pPr>
              <w:spacing w:after="0" w:line="240" w:lineRule="auto"/>
              <w:jc w:val="both"/>
              <w:rPr>
                <w:rFonts w:ascii="Times New Roman" w:eastAsia="Times New Roman" w:hAnsi="Times New Roman" w:cs="Times New Roman"/>
                <w:bCs/>
                <w:sz w:val="24"/>
                <w:szCs w:val="24"/>
                <w:lang w:eastAsia="lt-LT"/>
              </w:rPr>
            </w:pPr>
            <w:r w:rsidRPr="004607BB">
              <w:rPr>
                <w:rFonts w:ascii="Times New Roman" w:eastAsia="Times New Roman" w:hAnsi="Times New Roman" w:cs="Times New Roman"/>
                <w:bCs/>
                <w:sz w:val="24"/>
                <w:szCs w:val="24"/>
                <w:lang w:eastAsia="lt-LT"/>
              </w:rPr>
              <w:t>Institutas</w:t>
            </w:r>
          </w:p>
        </w:tc>
        <w:tc>
          <w:tcPr>
            <w:tcW w:w="2552" w:type="dxa"/>
            <w:tcBorders>
              <w:top w:val="single" w:sz="8" w:space="0" w:color="auto"/>
              <w:left w:val="nil"/>
              <w:bottom w:val="single" w:sz="4" w:space="0" w:color="auto"/>
              <w:right w:val="single" w:sz="8" w:space="0" w:color="auto"/>
            </w:tcBorders>
            <w:shd w:val="clear" w:color="000000" w:fill="FFFFFF"/>
            <w:vAlign w:val="center"/>
            <w:hideMark/>
          </w:tcPr>
          <w:p w:rsidR="009527B6" w:rsidRPr="004607BB" w:rsidRDefault="009527B6" w:rsidP="00BE60D0">
            <w:pPr>
              <w:spacing w:after="0" w:line="240" w:lineRule="auto"/>
              <w:jc w:val="both"/>
              <w:rPr>
                <w:rFonts w:ascii="Times New Roman" w:eastAsia="Times New Roman" w:hAnsi="Times New Roman" w:cs="Times New Roman"/>
                <w:bCs/>
                <w:sz w:val="24"/>
                <w:szCs w:val="24"/>
                <w:lang w:eastAsia="lt-LT"/>
              </w:rPr>
            </w:pPr>
            <w:r w:rsidRPr="004607BB">
              <w:rPr>
                <w:rFonts w:ascii="Times New Roman" w:eastAsia="Times New Roman" w:hAnsi="Times New Roman" w:cs="Times New Roman"/>
                <w:bCs/>
                <w:sz w:val="24"/>
                <w:szCs w:val="24"/>
                <w:lang w:eastAsia="lt-LT"/>
              </w:rPr>
              <w:t>Pagrindinė mokslo sritis</w:t>
            </w:r>
          </w:p>
        </w:tc>
        <w:tc>
          <w:tcPr>
            <w:tcW w:w="2410" w:type="dxa"/>
            <w:tcBorders>
              <w:top w:val="single" w:sz="8" w:space="0" w:color="auto"/>
              <w:left w:val="nil"/>
              <w:bottom w:val="single" w:sz="4" w:space="0" w:color="auto"/>
              <w:right w:val="single" w:sz="8" w:space="0" w:color="auto"/>
            </w:tcBorders>
            <w:shd w:val="clear" w:color="000000" w:fill="FFFFFF"/>
            <w:vAlign w:val="center"/>
            <w:hideMark/>
          </w:tcPr>
          <w:p w:rsidR="009527B6" w:rsidRPr="004607BB" w:rsidRDefault="009527B6" w:rsidP="00BE60D0">
            <w:pPr>
              <w:spacing w:after="0" w:line="240" w:lineRule="auto"/>
              <w:jc w:val="both"/>
              <w:rPr>
                <w:rFonts w:ascii="Times New Roman" w:eastAsia="Times New Roman" w:hAnsi="Times New Roman" w:cs="Times New Roman"/>
                <w:sz w:val="24"/>
                <w:szCs w:val="24"/>
                <w:lang w:eastAsia="lt-LT"/>
              </w:rPr>
            </w:pPr>
            <w:r w:rsidRPr="004607BB">
              <w:rPr>
                <w:rFonts w:ascii="Times New Roman" w:eastAsia="Times New Roman" w:hAnsi="Times New Roman" w:cs="Times New Roman"/>
                <w:sz w:val="24"/>
                <w:szCs w:val="24"/>
                <w:lang w:eastAsia="lt-LT"/>
              </w:rPr>
              <w:t>Gretutinė mokslo sritis</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FTMC</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F</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T</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GTC</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B</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F</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LEI</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T</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S</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LAMMC</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A</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B</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NVI</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B</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F</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IMC</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B</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LII</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H</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LKI</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H</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LKTI</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H</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LLTI</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H</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LSTC</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S</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w:t>
            </w:r>
          </w:p>
        </w:tc>
      </w:tr>
      <w:tr w:rsidR="009527B6" w:rsidRPr="004607BB" w:rsidTr="00BE60D0">
        <w:trPr>
          <w:trHeight w:val="300"/>
        </w:trPr>
        <w:tc>
          <w:tcPr>
            <w:tcW w:w="1701" w:type="dxa"/>
            <w:tcBorders>
              <w:top w:val="nil"/>
              <w:left w:val="single" w:sz="8" w:space="0" w:color="auto"/>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LAEI</w:t>
            </w:r>
          </w:p>
        </w:tc>
        <w:tc>
          <w:tcPr>
            <w:tcW w:w="2552"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S</w:t>
            </w:r>
          </w:p>
        </w:tc>
        <w:tc>
          <w:tcPr>
            <w:tcW w:w="2410" w:type="dxa"/>
            <w:tcBorders>
              <w:top w:val="nil"/>
              <w:left w:val="nil"/>
              <w:bottom w:val="single" w:sz="4"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w:t>
            </w:r>
          </w:p>
        </w:tc>
      </w:tr>
      <w:tr w:rsidR="009527B6" w:rsidRPr="004607BB" w:rsidTr="00BE60D0">
        <w:trPr>
          <w:trHeight w:val="315"/>
        </w:trPr>
        <w:tc>
          <w:tcPr>
            <w:tcW w:w="1701" w:type="dxa"/>
            <w:tcBorders>
              <w:top w:val="nil"/>
              <w:left w:val="single" w:sz="8" w:space="0" w:color="auto"/>
              <w:bottom w:val="single" w:sz="8"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LTI</w:t>
            </w:r>
          </w:p>
        </w:tc>
        <w:tc>
          <w:tcPr>
            <w:tcW w:w="2552" w:type="dxa"/>
            <w:tcBorders>
              <w:top w:val="nil"/>
              <w:left w:val="nil"/>
              <w:bottom w:val="single" w:sz="8"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S</w:t>
            </w:r>
          </w:p>
        </w:tc>
        <w:tc>
          <w:tcPr>
            <w:tcW w:w="2410" w:type="dxa"/>
            <w:tcBorders>
              <w:top w:val="nil"/>
              <w:left w:val="nil"/>
              <w:bottom w:val="single" w:sz="8" w:space="0" w:color="auto"/>
              <w:right w:val="single" w:sz="8" w:space="0" w:color="auto"/>
            </w:tcBorders>
            <w:shd w:val="clear" w:color="000000" w:fill="FFFFFF"/>
            <w:noWrap/>
            <w:vAlign w:val="center"/>
            <w:hideMark/>
          </w:tcPr>
          <w:p w:rsidR="009527B6" w:rsidRPr="004607BB" w:rsidRDefault="009527B6" w:rsidP="00BE60D0">
            <w:pPr>
              <w:spacing w:after="0" w:line="240" w:lineRule="auto"/>
              <w:jc w:val="both"/>
              <w:rPr>
                <w:rFonts w:ascii="Times New Roman" w:eastAsia="Times New Roman" w:hAnsi="Times New Roman" w:cs="Times New Roman"/>
                <w:color w:val="000000"/>
                <w:sz w:val="24"/>
                <w:szCs w:val="24"/>
                <w:lang w:eastAsia="lt-LT"/>
              </w:rPr>
            </w:pPr>
            <w:r w:rsidRPr="004607BB">
              <w:rPr>
                <w:rFonts w:ascii="Times New Roman" w:eastAsia="Times New Roman" w:hAnsi="Times New Roman" w:cs="Times New Roman"/>
                <w:color w:val="000000"/>
                <w:sz w:val="24"/>
                <w:szCs w:val="24"/>
                <w:lang w:eastAsia="lt-LT"/>
              </w:rPr>
              <w:t>-</w:t>
            </w:r>
          </w:p>
        </w:tc>
      </w:tr>
    </w:tbl>
    <w:p w:rsidR="009527B6" w:rsidRPr="004607BB" w:rsidRDefault="009527B6" w:rsidP="009527B6">
      <w:pPr>
        <w:jc w:val="both"/>
        <w:rPr>
          <w:rFonts w:ascii="Times New Roman" w:hAnsi="Times New Roman" w:cs="Times New Roman"/>
          <w:b/>
          <w:sz w:val="24"/>
          <w:szCs w:val="24"/>
        </w:rPr>
      </w:pPr>
    </w:p>
    <w:p w:rsidR="009527B6" w:rsidRPr="004607BB" w:rsidRDefault="009527B6" w:rsidP="009527B6">
      <w:pPr>
        <w:jc w:val="both"/>
        <w:rPr>
          <w:rFonts w:ascii="Times New Roman" w:hAnsi="Times New Roman" w:cs="Times New Roman"/>
          <w:b/>
          <w:sz w:val="24"/>
          <w:szCs w:val="24"/>
        </w:rPr>
      </w:pP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noProof/>
          <w:sz w:val="24"/>
          <w:szCs w:val="24"/>
          <w:lang w:eastAsia="lt-LT"/>
        </w:rPr>
        <w:drawing>
          <wp:inline distT="0" distB="0" distL="0" distR="0" wp14:anchorId="2966D719" wp14:editId="69569FB0">
            <wp:extent cx="6248400" cy="2876550"/>
            <wp:effectExtent l="0" t="0" r="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527B6" w:rsidRPr="004607BB" w:rsidRDefault="009527B6" w:rsidP="009527B6">
      <w:pPr>
        <w:pStyle w:val="Sraopastraipa"/>
        <w:ind w:left="0"/>
        <w:jc w:val="both"/>
      </w:pPr>
      <w:r w:rsidRPr="004607BB">
        <w:rPr>
          <w:b/>
        </w:rPr>
        <w:t xml:space="preserve">Išvada: </w:t>
      </w:r>
      <w:r w:rsidRPr="004607BB">
        <w:t>pagal iš kitų šaltinių (be v. biudžeto subsidijos ir LMT) gaunamų lėšų dydį institutai skirstytini į keturias grupes:</w:t>
      </w:r>
    </w:p>
    <w:p w:rsidR="009527B6" w:rsidRPr="004607BB" w:rsidRDefault="009527B6" w:rsidP="009527B6">
      <w:pPr>
        <w:pStyle w:val="Sraopastraipa"/>
        <w:ind w:left="0"/>
        <w:jc w:val="both"/>
      </w:pPr>
      <w:r w:rsidRPr="004607BB">
        <w:t xml:space="preserve">gaunantys </w:t>
      </w:r>
      <w:r w:rsidRPr="004607BB">
        <w:rPr>
          <w:b/>
        </w:rPr>
        <w:t>virš 1 mln</w:t>
      </w:r>
      <w:r w:rsidRPr="004607BB">
        <w:t xml:space="preserve">. eurų: </w:t>
      </w:r>
      <w:r w:rsidRPr="004607BB">
        <w:rPr>
          <w:b/>
        </w:rPr>
        <w:t>FTMC</w:t>
      </w:r>
      <w:r w:rsidRPr="004607BB">
        <w:t xml:space="preserve">; gaunantys </w:t>
      </w:r>
      <w:r w:rsidRPr="004607BB">
        <w:rPr>
          <w:b/>
        </w:rPr>
        <w:t>virš 0,5 mln.</w:t>
      </w:r>
      <w:r w:rsidRPr="004607BB">
        <w:t xml:space="preserve"> eurų, bet </w:t>
      </w:r>
      <w:r w:rsidRPr="004607BB">
        <w:rPr>
          <w:b/>
        </w:rPr>
        <w:t>mažiau 1 mln.</w:t>
      </w:r>
      <w:r w:rsidRPr="004607BB">
        <w:t xml:space="preserve"> eurų: </w:t>
      </w:r>
      <w:r w:rsidRPr="004607BB">
        <w:rPr>
          <w:b/>
        </w:rPr>
        <w:t>LEI</w:t>
      </w:r>
      <w:r w:rsidRPr="004607BB">
        <w:t xml:space="preserve">; gaunantys virš 0,1 mln. eurų, bet </w:t>
      </w:r>
      <w:r w:rsidRPr="004607BB">
        <w:rPr>
          <w:b/>
        </w:rPr>
        <w:t>mažiau 0,5 mln</w:t>
      </w:r>
      <w:r w:rsidRPr="004607BB">
        <w:t xml:space="preserve">. eurų: </w:t>
      </w:r>
      <w:r w:rsidRPr="004607BB">
        <w:rPr>
          <w:b/>
        </w:rPr>
        <w:t>GTC, NVI, LAEI, LAMMC, LSTC, LTI</w:t>
      </w:r>
      <w:r w:rsidRPr="004607BB">
        <w:t>;</w:t>
      </w:r>
    </w:p>
    <w:p w:rsidR="009527B6" w:rsidRPr="004607BB" w:rsidRDefault="009527B6" w:rsidP="009527B6">
      <w:pPr>
        <w:pStyle w:val="Sraopastraipa"/>
        <w:ind w:left="0"/>
        <w:jc w:val="both"/>
      </w:pPr>
      <w:r w:rsidRPr="004607BB">
        <w:t xml:space="preserve">gaunantys virš 0,01 mln. eurų, bet </w:t>
      </w:r>
      <w:r w:rsidRPr="004607BB">
        <w:rPr>
          <w:b/>
        </w:rPr>
        <w:t>mažiau 0,1 mln</w:t>
      </w:r>
      <w:r w:rsidRPr="004607BB">
        <w:t xml:space="preserve">. eurų: </w:t>
      </w:r>
      <w:r w:rsidRPr="004607BB">
        <w:rPr>
          <w:b/>
        </w:rPr>
        <w:t>LII, IMC, LKI</w:t>
      </w:r>
      <w:r w:rsidRPr="004607BB">
        <w:t>;</w:t>
      </w:r>
    </w:p>
    <w:p w:rsidR="009527B6" w:rsidRPr="004607BB" w:rsidRDefault="009527B6" w:rsidP="009527B6">
      <w:pPr>
        <w:pStyle w:val="Sraopastraipa"/>
        <w:ind w:left="0"/>
        <w:jc w:val="both"/>
        <w:rPr>
          <w:lang w:val="en-029"/>
        </w:rPr>
      </w:pPr>
      <w:r w:rsidRPr="004607BB">
        <w:t xml:space="preserve">gaunantys </w:t>
      </w:r>
      <w:r w:rsidRPr="004607BB">
        <w:rPr>
          <w:b/>
        </w:rPr>
        <w:t>mažiau 0,01 mln</w:t>
      </w:r>
      <w:r w:rsidRPr="004607BB">
        <w:t xml:space="preserve">. eurų ar nieko negaunantys: </w:t>
      </w:r>
      <w:r w:rsidRPr="004607BB">
        <w:rPr>
          <w:b/>
        </w:rPr>
        <w:t>LKTI, LLTI</w:t>
      </w:r>
      <w:r w:rsidRPr="004607BB">
        <w:t xml:space="preserve">.    </w:t>
      </w:r>
    </w:p>
    <w:p w:rsidR="009527B6" w:rsidRPr="004607BB" w:rsidRDefault="009527B6" w:rsidP="009527B6">
      <w:pPr>
        <w:pStyle w:val="Sraopastraipa"/>
        <w:jc w:val="both"/>
      </w:pPr>
    </w:p>
    <w:p w:rsidR="009527B6" w:rsidRPr="004607BB" w:rsidRDefault="009527B6" w:rsidP="009527B6">
      <w:pPr>
        <w:spacing w:after="0"/>
        <w:jc w:val="both"/>
        <w:rPr>
          <w:rFonts w:ascii="Times New Roman" w:hAnsi="Times New Roman" w:cs="Times New Roman"/>
          <w:b/>
          <w:sz w:val="24"/>
          <w:szCs w:val="24"/>
        </w:rPr>
      </w:pPr>
      <w:r w:rsidRPr="004607BB">
        <w:rPr>
          <w:rFonts w:ascii="Times New Roman" w:hAnsi="Times New Roman" w:cs="Times New Roman"/>
          <w:b/>
          <w:sz w:val="24"/>
          <w:szCs w:val="24"/>
        </w:rPr>
        <w:t>Detalesnis F, B, T, A mokslo sričių institutų MTEP lėšų pasiskirstymas pagal šaltinius</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noProof/>
          <w:sz w:val="24"/>
          <w:szCs w:val="24"/>
          <w:lang w:eastAsia="lt-LT"/>
        </w:rPr>
        <w:lastRenderedPageBreak/>
        <w:drawing>
          <wp:inline distT="0" distB="0" distL="0" distR="0" wp14:anchorId="3B391953" wp14:editId="188D5EB2">
            <wp:extent cx="5581650" cy="3695700"/>
            <wp:effectExtent l="0" t="0" r="0" b="0"/>
            <wp:docPr id="18" name="Diagra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527B6" w:rsidRPr="004607BB" w:rsidRDefault="009527B6" w:rsidP="009527B6">
      <w:pPr>
        <w:spacing w:after="120"/>
        <w:jc w:val="both"/>
        <w:rPr>
          <w:rFonts w:ascii="Times New Roman" w:hAnsi="Times New Roman" w:cs="Times New Roman"/>
          <w:sz w:val="24"/>
          <w:szCs w:val="24"/>
        </w:rPr>
      </w:pPr>
      <w:r w:rsidRPr="004607BB">
        <w:rPr>
          <w:rFonts w:ascii="Times New Roman" w:hAnsi="Times New Roman" w:cs="Times New Roman"/>
          <w:noProof/>
          <w:sz w:val="24"/>
          <w:szCs w:val="24"/>
          <w:lang w:eastAsia="lt-LT"/>
        </w:rPr>
        <w:drawing>
          <wp:inline distT="0" distB="0" distL="0" distR="0" wp14:anchorId="02768877" wp14:editId="185E00BE">
            <wp:extent cx="5543550" cy="3000375"/>
            <wp:effectExtent l="0" t="0" r="0" b="9525"/>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527B6" w:rsidRPr="004607BB" w:rsidRDefault="009527B6" w:rsidP="009527B6">
      <w:pPr>
        <w:spacing w:after="0"/>
        <w:jc w:val="both"/>
        <w:rPr>
          <w:rFonts w:ascii="Times New Roman" w:hAnsi="Times New Roman" w:cs="Times New Roman"/>
          <w:sz w:val="24"/>
          <w:szCs w:val="24"/>
        </w:rPr>
      </w:pPr>
      <w:r w:rsidRPr="004607BB">
        <w:rPr>
          <w:rFonts w:ascii="Times New Roman" w:hAnsi="Times New Roman" w:cs="Times New Roman"/>
          <w:b/>
          <w:sz w:val="24"/>
          <w:szCs w:val="24"/>
        </w:rPr>
        <w:t xml:space="preserve">Išvada: </w:t>
      </w:r>
      <w:r w:rsidRPr="004607BB">
        <w:rPr>
          <w:rFonts w:ascii="Times New Roman" w:hAnsi="Times New Roman" w:cs="Times New Roman"/>
          <w:sz w:val="24"/>
          <w:szCs w:val="24"/>
        </w:rPr>
        <w:t xml:space="preserve">Skaičiuojant absoliučiomis sumomis, </w:t>
      </w:r>
      <w:r w:rsidRPr="004607BB">
        <w:rPr>
          <w:rFonts w:ascii="Times New Roman" w:hAnsi="Times New Roman" w:cs="Times New Roman"/>
          <w:b/>
          <w:sz w:val="24"/>
          <w:szCs w:val="24"/>
        </w:rPr>
        <w:t>daugiausia lėšų F, B, T, A mokslų srityse iš kitų</w:t>
      </w:r>
      <w:r w:rsidRPr="004607BB">
        <w:rPr>
          <w:rFonts w:ascii="Times New Roman" w:hAnsi="Times New Roman" w:cs="Times New Roman"/>
          <w:sz w:val="24"/>
          <w:szCs w:val="24"/>
        </w:rPr>
        <w:t xml:space="preserve"> (ne subsidijos ir LMT) </w:t>
      </w:r>
      <w:r w:rsidRPr="004607BB">
        <w:rPr>
          <w:rFonts w:ascii="Times New Roman" w:hAnsi="Times New Roman" w:cs="Times New Roman"/>
          <w:b/>
          <w:sz w:val="24"/>
          <w:szCs w:val="24"/>
        </w:rPr>
        <w:t>šaltinių (pagal šaltinius virš 200 tūkst. eurų)</w:t>
      </w:r>
      <w:r w:rsidRPr="004607BB">
        <w:rPr>
          <w:rFonts w:ascii="Times New Roman" w:hAnsi="Times New Roman" w:cs="Times New Roman"/>
          <w:sz w:val="24"/>
          <w:szCs w:val="24"/>
        </w:rPr>
        <w:t xml:space="preserve"> gauna:</w:t>
      </w:r>
    </w:p>
    <w:p w:rsidR="009527B6" w:rsidRPr="004607BB" w:rsidRDefault="009527B6" w:rsidP="009527B6">
      <w:pPr>
        <w:pStyle w:val="Sraopastraipa"/>
        <w:numPr>
          <w:ilvl w:val="0"/>
          <w:numId w:val="1"/>
        </w:numPr>
        <w:spacing w:line="259" w:lineRule="auto"/>
        <w:jc w:val="both"/>
      </w:pPr>
      <w:r w:rsidRPr="004607BB">
        <w:rPr>
          <w:b/>
        </w:rPr>
        <w:t>FTMC</w:t>
      </w:r>
      <w:r w:rsidRPr="004607BB">
        <w:t xml:space="preserve"> – iš tarptautinių MTEP programų (fizinių ir technologinių mokslų srityse) bei Lietuvos ūkio subjektų užsakymų (technologinių mokslų srityje); </w:t>
      </w:r>
    </w:p>
    <w:p w:rsidR="009527B6" w:rsidRPr="004607BB" w:rsidRDefault="009527B6" w:rsidP="009527B6">
      <w:pPr>
        <w:pStyle w:val="Sraopastraipa"/>
        <w:numPr>
          <w:ilvl w:val="0"/>
          <w:numId w:val="1"/>
        </w:numPr>
        <w:spacing w:line="259" w:lineRule="auto"/>
        <w:jc w:val="both"/>
      </w:pPr>
      <w:r w:rsidRPr="004607BB">
        <w:rPr>
          <w:b/>
        </w:rPr>
        <w:t>GTC</w:t>
      </w:r>
      <w:r w:rsidRPr="004607BB">
        <w:t xml:space="preserve"> – iš valstybės ir savivaldybių įstaigų MTEP užsakymų (biomedicinos mokslų srityje); </w:t>
      </w:r>
    </w:p>
    <w:p w:rsidR="009527B6" w:rsidRPr="004607BB" w:rsidRDefault="009527B6" w:rsidP="009527B6">
      <w:pPr>
        <w:pStyle w:val="Sraopastraipa"/>
        <w:numPr>
          <w:ilvl w:val="0"/>
          <w:numId w:val="1"/>
        </w:numPr>
        <w:spacing w:after="160" w:line="259" w:lineRule="auto"/>
        <w:jc w:val="both"/>
      </w:pPr>
      <w:r w:rsidRPr="004607BB">
        <w:rPr>
          <w:b/>
        </w:rPr>
        <w:t xml:space="preserve">LEI </w:t>
      </w:r>
      <w:r w:rsidRPr="004607BB">
        <w:t>– iš užsienio ūkio subjektų MTEP užsakymų ir tarptautinių MTEP programų  (technologinių mokslų srityje).</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noProof/>
          <w:sz w:val="24"/>
          <w:szCs w:val="24"/>
          <w:lang w:eastAsia="lt-LT"/>
        </w:rPr>
        <w:lastRenderedPageBreak/>
        <w:drawing>
          <wp:inline distT="0" distB="0" distL="0" distR="0" wp14:anchorId="694F45C0" wp14:editId="2133C798">
            <wp:extent cx="6038850" cy="3771900"/>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noProof/>
          <w:sz w:val="24"/>
          <w:szCs w:val="24"/>
          <w:lang w:eastAsia="lt-LT"/>
        </w:rPr>
        <w:drawing>
          <wp:inline distT="0" distB="0" distL="0" distR="0" wp14:anchorId="5A7CDAD3" wp14:editId="02E3AADF">
            <wp:extent cx="6057900" cy="3505200"/>
            <wp:effectExtent l="0" t="0" r="0"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 xml:space="preserve">Išvada: </w:t>
      </w:r>
      <w:r w:rsidRPr="004607BB">
        <w:rPr>
          <w:rFonts w:ascii="Times New Roman" w:hAnsi="Times New Roman" w:cs="Times New Roman"/>
          <w:sz w:val="24"/>
          <w:szCs w:val="24"/>
        </w:rPr>
        <w:t>Skaičiuojant ne absoliučiomis sumomis, o procentais nuo visų mokslo ir studijų institucijų iš konkretaus šaltinio konkrečioje mokslo srityje gaunamų lėšų, situacija įvairesnė.</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Didiesiems institutams: FTMC, GTC, LEI, LAMMC būdinga tai, kad jie pakankamai aktyvūs ir pritraukiant lėšas iš kitų MTEP šaltinių, tik LAMMC atveju absoliučiomis sumomis tos sumos nėra didelės.</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FTMC</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lastRenderedPageBreak/>
        <w:t>FTMC</w:t>
      </w:r>
      <w:r w:rsidRPr="004607BB">
        <w:rPr>
          <w:rFonts w:ascii="Times New Roman" w:hAnsi="Times New Roman" w:cs="Times New Roman"/>
          <w:b/>
          <w:sz w:val="24"/>
          <w:szCs w:val="24"/>
        </w:rPr>
        <w:t xml:space="preserve"> </w:t>
      </w:r>
      <w:r w:rsidRPr="004607BB">
        <w:rPr>
          <w:rFonts w:ascii="Times New Roman" w:hAnsi="Times New Roman" w:cs="Times New Roman"/>
          <w:sz w:val="24"/>
          <w:szCs w:val="24"/>
        </w:rPr>
        <w:t>gauna didelę (</w:t>
      </w:r>
      <w:r w:rsidRPr="004607BB">
        <w:rPr>
          <w:rFonts w:ascii="Times New Roman" w:hAnsi="Times New Roman" w:cs="Times New Roman"/>
          <w:b/>
          <w:sz w:val="24"/>
          <w:szCs w:val="24"/>
        </w:rPr>
        <w:t xml:space="preserve">25%) </w:t>
      </w:r>
      <w:r w:rsidRPr="004607BB">
        <w:rPr>
          <w:rFonts w:ascii="Times New Roman" w:hAnsi="Times New Roman" w:cs="Times New Roman"/>
          <w:sz w:val="24"/>
          <w:szCs w:val="24"/>
        </w:rPr>
        <w:t xml:space="preserve">fiziniams mokslams skiriamą valstybės biudžeto subsidijos dalį ir pagal visus kitus MTEP lėšų šaltinius pritraukia ne mažesnę (išskyrus ūkio subjektų užsakymus) lėšų, tenkančių fizinių mokslų sričiai, dalį: </w:t>
      </w:r>
    </w:p>
    <w:p w:rsidR="009527B6" w:rsidRPr="004607BB" w:rsidRDefault="009527B6" w:rsidP="009527B6">
      <w:pPr>
        <w:pStyle w:val="Sraopastraipa"/>
        <w:numPr>
          <w:ilvl w:val="0"/>
          <w:numId w:val="2"/>
        </w:numPr>
        <w:spacing w:after="160" w:line="259" w:lineRule="auto"/>
        <w:jc w:val="both"/>
        <w:rPr>
          <w:b/>
        </w:rPr>
      </w:pPr>
      <w:r w:rsidRPr="004607BB">
        <w:rPr>
          <w:b/>
        </w:rPr>
        <w:t xml:space="preserve">39% (968 tūkst. eurų) </w:t>
      </w:r>
      <w:r w:rsidRPr="004607BB">
        <w:t>– iš LMT,</w:t>
      </w:r>
      <w:r w:rsidRPr="004607BB">
        <w:rPr>
          <w:b/>
        </w:rPr>
        <w:t xml:space="preserve"> </w:t>
      </w:r>
    </w:p>
    <w:p w:rsidR="009527B6" w:rsidRPr="004607BB" w:rsidRDefault="009527B6" w:rsidP="009527B6">
      <w:pPr>
        <w:pStyle w:val="Sraopastraipa"/>
        <w:numPr>
          <w:ilvl w:val="0"/>
          <w:numId w:val="2"/>
        </w:numPr>
        <w:spacing w:after="160" w:line="259" w:lineRule="auto"/>
        <w:jc w:val="both"/>
        <w:rPr>
          <w:b/>
        </w:rPr>
      </w:pPr>
      <w:r w:rsidRPr="004607BB">
        <w:rPr>
          <w:b/>
        </w:rPr>
        <w:t xml:space="preserve">26% (15 tūkst. eurų) </w:t>
      </w:r>
      <w:r w:rsidRPr="004607BB">
        <w:t>– iš valstybės ir</w:t>
      </w:r>
      <w:r w:rsidRPr="004607BB">
        <w:rPr>
          <w:b/>
        </w:rPr>
        <w:t xml:space="preserve"> </w:t>
      </w:r>
      <w:r w:rsidRPr="004607BB">
        <w:t>savivaldybių įstaigų MTEP užsakymų,</w:t>
      </w:r>
      <w:r w:rsidRPr="004607BB">
        <w:rPr>
          <w:b/>
        </w:rPr>
        <w:t xml:space="preserve"> </w:t>
      </w:r>
    </w:p>
    <w:p w:rsidR="009527B6" w:rsidRPr="004607BB" w:rsidRDefault="009527B6" w:rsidP="009527B6">
      <w:pPr>
        <w:pStyle w:val="Sraopastraipa"/>
        <w:numPr>
          <w:ilvl w:val="0"/>
          <w:numId w:val="2"/>
        </w:numPr>
        <w:spacing w:after="160" w:line="259" w:lineRule="auto"/>
        <w:jc w:val="both"/>
      </w:pPr>
      <w:r w:rsidRPr="004607BB">
        <w:rPr>
          <w:b/>
        </w:rPr>
        <w:t xml:space="preserve">20% (23 tūkst. eurų) </w:t>
      </w:r>
      <w:r w:rsidRPr="004607BB">
        <w:t xml:space="preserve">– iš Lietuvos ūkio subjektų MTEP užsakymų, </w:t>
      </w:r>
    </w:p>
    <w:p w:rsidR="009527B6" w:rsidRPr="004607BB" w:rsidRDefault="009527B6" w:rsidP="009527B6">
      <w:pPr>
        <w:pStyle w:val="Sraopastraipa"/>
        <w:numPr>
          <w:ilvl w:val="0"/>
          <w:numId w:val="2"/>
        </w:numPr>
        <w:spacing w:after="160" w:line="259" w:lineRule="auto"/>
        <w:jc w:val="both"/>
        <w:rPr>
          <w:b/>
        </w:rPr>
      </w:pPr>
      <w:r w:rsidRPr="004607BB">
        <w:rPr>
          <w:b/>
        </w:rPr>
        <w:t xml:space="preserve">11% (59 tūkst. eurų) </w:t>
      </w:r>
      <w:r w:rsidRPr="004607BB">
        <w:t>– iš užsienio ūkio subjektų MTEP užsakymų,</w:t>
      </w:r>
      <w:r w:rsidRPr="004607BB">
        <w:rPr>
          <w:b/>
        </w:rPr>
        <w:t xml:space="preserve"> </w:t>
      </w:r>
    </w:p>
    <w:p w:rsidR="009527B6" w:rsidRPr="004607BB" w:rsidRDefault="009527B6" w:rsidP="009527B6">
      <w:pPr>
        <w:pStyle w:val="Sraopastraipa"/>
        <w:numPr>
          <w:ilvl w:val="0"/>
          <w:numId w:val="2"/>
        </w:numPr>
        <w:spacing w:after="160" w:line="259" w:lineRule="auto"/>
        <w:jc w:val="both"/>
      </w:pPr>
      <w:r w:rsidRPr="004607BB">
        <w:rPr>
          <w:b/>
        </w:rPr>
        <w:t xml:space="preserve">29% (373 tūkst. eurų) </w:t>
      </w:r>
      <w:r w:rsidRPr="004607BB">
        <w:t xml:space="preserve">– iš tarptautinių MTEP programų. </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Be to, FTMC, gaudamas apie </w:t>
      </w:r>
      <w:r w:rsidRPr="004607BB">
        <w:rPr>
          <w:rFonts w:ascii="Times New Roman" w:hAnsi="Times New Roman" w:cs="Times New Roman"/>
          <w:b/>
          <w:sz w:val="24"/>
          <w:szCs w:val="24"/>
        </w:rPr>
        <w:t>12%</w:t>
      </w:r>
      <w:r w:rsidRPr="004607BB">
        <w:rPr>
          <w:rFonts w:ascii="Times New Roman" w:hAnsi="Times New Roman" w:cs="Times New Roman"/>
          <w:sz w:val="24"/>
          <w:szCs w:val="24"/>
        </w:rPr>
        <w:t xml:space="preserve"> technologiniams mokslams per biudžeto subsidiją paskirstomų lėšų, per kitus MTEP lėšų šaltinius </w:t>
      </w:r>
      <w:r w:rsidRPr="004607BB">
        <w:rPr>
          <w:rFonts w:ascii="Times New Roman" w:hAnsi="Times New Roman" w:cs="Times New Roman"/>
          <w:b/>
          <w:sz w:val="24"/>
          <w:szCs w:val="24"/>
        </w:rPr>
        <w:t>pritraukia didesnę</w:t>
      </w:r>
      <w:r w:rsidRPr="004607BB">
        <w:rPr>
          <w:rFonts w:ascii="Times New Roman" w:hAnsi="Times New Roman" w:cs="Times New Roman"/>
          <w:sz w:val="24"/>
          <w:szCs w:val="24"/>
        </w:rPr>
        <w:t xml:space="preserve"> (išskyrus valstybės ir savivaldybių įstaigų bei Lietuvos ūkio subjektų MTEP užsakymus) lėšų, tenkančių technologiniams mokslams, dalį:</w:t>
      </w:r>
    </w:p>
    <w:p w:rsidR="009527B6" w:rsidRPr="004607BB" w:rsidRDefault="009527B6" w:rsidP="009527B6">
      <w:pPr>
        <w:numPr>
          <w:ilvl w:val="0"/>
          <w:numId w:val="2"/>
        </w:numPr>
        <w:jc w:val="both"/>
        <w:rPr>
          <w:rFonts w:ascii="Times New Roman" w:hAnsi="Times New Roman" w:cs="Times New Roman"/>
          <w:b/>
          <w:sz w:val="24"/>
          <w:szCs w:val="24"/>
        </w:rPr>
      </w:pPr>
      <w:r w:rsidRPr="004607BB">
        <w:rPr>
          <w:rFonts w:ascii="Times New Roman" w:hAnsi="Times New Roman" w:cs="Times New Roman"/>
          <w:b/>
          <w:sz w:val="24"/>
          <w:szCs w:val="24"/>
        </w:rPr>
        <w:t xml:space="preserve">19% (386 tūkst. eurų) </w:t>
      </w:r>
      <w:r w:rsidRPr="004607BB">
        <w:rPr>
          <w:rFonts w:ascii="Times New Roman" w:hAnsi="Times New Roman" w:cs="Times New Roman"/>
          <w:sz w:val="24"/>
          <w:szCs w:val="24"/>
        </w:rPr>
        <w:t>– iš LMT,</w:t>
      </w:r>
      <w:r w:rsidRPr="004607BB">
        <w:rPr>
          <w:rFonts w:ascii="Times New Roman" w:hAnsi="Times New Roman" w:cs="Times New Roman"/>
          <w:b/>
          <w:sz w:val="24"/>
          <w:szCs w:val="24"/>
        </w:rPr>
        <w:t xml:space="preserve"> </w:t>
      </w:r>
    </w:p>
    <w:p w:rsidR="009527B6" w:rsidRPr="004607BB" w:rsidRDefault="009527B6" w:rsidP="009527B6">
      <w:pPr>
        <w:numPr>
          <w:ilvl w:val="0"/>
          <w:numId w:val="2"/>
        </w:numPr>
        <w:jc w:val="both"/>
        <w:rPr>
          <w:rFonts w:ascii="Times New Roman" w:hAnsi="Times New Roman" w:cs="Times New Roman"/>
          <w:sz w:val="24"/>
          <w:szCs w:val="24"/>
        </w:rPr>
      </w:pPr>
      <w:r w:rsidRPr="004607BB">
        <w:rPr>
          <w:rFonts w:ascii="Times New Roman" w:hAnsi="Times New Roman" w:cs="Times New Roman"/>
          <w:b/>
          <w:sz w:val="24"/>
          <w:szCs w:val="24"/>
        </w:rPr>
        <w:t xml:space="preserve">30% (274 tūkst. eurų) </w:t>
      </w:r>
      <w:r w:rsidRPr="004607BB">
        <w:rPr>
          <w:rFonts w:ascii="Times New Roman" w:hAnsi="Times New Roman" w:cs="Times New Roman"/>
          <w:sz w:val="24"/>
          <w:szCs w:val="24"/>
        </w:rPr>
        <w:t xml:space="preserve">– iš Lietuvos ūkio subjektų MTEP užsakymų, </w:t>
      </w:r>
    </w:p>
    <w:p w:rsidR="009527B6" w:rsidRPr="004607BB" w:rsidRDefault="009527B6" w:rsidP="009527B6">
      <w:pPr>
        <w:numPr>
          <w:ilvl w:val="0"/>
          <w:numId w:val="2"/>
        </w:numPr>
        <w:jc w:val="both"/>
        <w:rPr>
          <w:rFonts w:ascii="Times New Roman" w:hAnsi="Times New Roman" w:cs="Times New Roman"/>
          <w:b/>
          <w:sz w:val="24"/>
          <w:szCs w:val="24"/>
        </w:rPr>
      </w:pPr>
      <w:r w:rsidRPr="004607BB">
        <w:rPr>
          <w:rFonts w:ascii="Times New Roman" w:hAnsi="Times New Roman" w:cs="Times New Roman"/>
          <w:b/>
          <w:sz w:val="24"/>
          <w:szCs w:val="24"/>
        </w:rPr>
        <w:t xml:space="preserve">28% (162 tūkst. eurų) </w:t>
      </w:r>
      <w:r w:rsidRPr="004607BB">
        <w:rPr>
          <w:rFonts w:ascii="Times New Roman" w:hAnsi="Times New Roman" w:cs="Times New Roman"/>
          <w:sz w:val="24"/>
          <w:szCs w:val="24"/>
        </w:rPr>
        <w:t>– iš užsienio ūkio subjektų MTEP užsakymų,</w:t>
      </w:r>
      <w:r w:rsidRPr="004607BB">
        <w:rPr>
          <w:rFonts w:ascii="Times New Roman" w:hAnsi="Times New Roman" w:cs="Times New Roman"/>
          <w:b/>
          <w:sz w:val="24"/>
          <w:szCs w:val="24"/>
        </w:rPr>
        <w:t xml:space="preserve"> </w:t>
      </w:r>
    </w:p>
    <w:p w:rsidR="009527B6" w:rsidRPr="004607BB" w:rsidRDefault="009527B6" w:rsidP="009527B6">
      <w:pPr>
        <w:numPr>
          <w:ilvl w:val="0"/>
          <w:numId w:val="2"/>
        </w:numPr>
        <w:jc w:val="both"/>
        <w:rPr>
          <w:rFonts w:ascii="Times New Roman" w:hAnsi="Times New Roman" w:cs="Times New Roman"/>
          <w:sz w:val="24"/>
          <w:szCs w:val="24"/>
        </w:rPr>
      </w:pPr>
      <w:r w:rsidRPr="004607BB">
        <w:rPr>
          <w:rFonts w:ascii="Times New Roman" w:hAnsi="Times New Roman" w:cs="Times New Roman"/>
          <w:b/>
          <w:sz w:val="24"/>
          <w:szCs w:val="24"/>
        </w:rPr>
        <w:t xml:space="preserve">13% (269 tūkst. eurų) </w:t>
      </w:r>
      <w:r w:rsidRPr="004607BB">
        <w:rPr>
          <w:rFonts w:ascii="Times New Roman" w:hAnsi="Times New Roman" w:cs="Times New Roman"/>
          <w:sz w:val="24"/>
          <w:szCs w:val="24"/>
        </w:rPr>
        <w:t>– iš tarptautinių MTEP programų.</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FTMC stiprus F ir T mokslų sričių dalyvis, išskirtinis jo bruožas, kad institutas sėkmingai pritraukia lėšas iš visų MTEP lėšų šaltinių (iš viso: subsidija – 4,461 mln. eurų; LMT – 1,354 mln. eurų; kiti šaltiniai – 1,181 mln. eurų). Iš kitų (be v. biudžeto subsidijos ir LMT) šaltinių jis gauna didžiausią lėšų sumą tarp visų institutų.</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GTC</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Institutas, gaudamas </w:t>
      </w:r>
      <w:r w:rsidRPr="004607BB">
        <w:rPr>
          <w:rFonts w:ascii="Times New Roman" w:hAnsi="Times New Roman" w:cs="Times New Roman"/>
          <w:b/>
          <w:sz w:val="24"/>
          <w:szCs w:val="24"/>
        </w:rPr>
        <w:t>17%</w:t>
      </w:r>
      <w:r w:rsidRPr="004607BB">
        <w:rPr>
          <w:rFonts w:ascii="Times New Roman" w:hAnsi="Times New Roman" w:cs="Times New Roman"/>
          <w:sz w:val="24"/>
          <w:szCs w:val="24"/>
        </w:rPr>
        <w:t xml:space="preserve"> biomedicinos mokslų srities valstybės biudžeto subsidijos dalies, gauna </w:t>
      </w:r>
      <w:r w:rsidRPr="004607BB">
        <w:rPr>
          <w:rFonts w:ascii="Times New Roman" w:hAnsi="Times New Roman" w:cs="Times New Roman"/>
          <w:b/>
          <w:sz w:val="24"/>
          <w:szCs w:val="24"/>
        </w:rPr>
        <w:t>66%</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(214</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tūkst. eurų</w:t>
      </w:r>
      <w:r w:rsidRPr="004607BB">
        <w:rPr>
          <w:rFonts w:ascii="Times New Roman" w:hAnsi="Times New Roman" w:cs="Times New Roman"/>
          <w:sz w:val="24"/>
          <w:szCs w:val="24"/>
        </w:rPr>
        <w:t xml:space="preserve">) valstybės ir savivaldybių įstaigų MTEP užsakymų, tenkančių biomedicinos sričiai, lėšų, bet iš kitų šaltinių pritraukia mažesnę nei 16% biomedicinos mokslų sričiai tenkančią dalį: </w:t>
      </w:r>
    </w:p>
    <w:p w:rsidR="009527B6" w:rsidRPr="004607BB" w:rsidRDefault="009527B6" w:rsidP="009527B6">
      <w:pPr>
        <w:pStyle w:val="Sraopastraipa"/>
        <w:numPr>
          <w:ilvl w:val="0"/>
          <w:numId w:val="3"/>
        </w:numPr>
        <w:spacing w:after="160" w:line="259" w:lineRule="auto"/>
        <w:jc w:val="both"/>
        <w:rPr>
          <w:b/>
        </w:rPr>
      </w:pPr>
      <w:r w:rsidRPr="004607BB">
        <w:rPr>
          <w:b/>
        </w:rPr>
        <w:t xml:space="preserve">12% (450 tūkst. eurų) </w:t>
      </w:r>
      <w:r w:rsidRPr="004607BB">
        <w:t>– iš LMT,</w:t>
      </w:r>
      <w:r w:rsidRPr="004607BB">
        <w:rPr>
          <w:b/>
        </w:rPr>
        <w:t xml:space="preserve"> </w:t>
      </w:r>
    </w:p>
    <w:p w:rsidR="009527B6" w:rsidRPr="004607BB" w:rsidRDefault="009527B6" w:rsidP="009527B6">
      <w:pPr>
        <w:pStyle w:val="Sraopastraipa"/>
        <w:numPr>
          <w:ilvl w:val="0"/>
          <w:numId w:val="3"/>
        </w:numPr>
        <w:spacing w:after="160" w:line="259" w:lineRule="auto"/>
        <w:jc w:val="both"/>
      </w:pPr>
      <w:r w:rsidRPr="004607BB">
        <w:rPr>
          <w:b/>
        </w:rPr>
        <w:t xml:space="preserve">14% (19 tūkst. eurų) </w:t>
      </w:r>
      <w:r w:rsidRPr="004607BB">
        <w:t xml:space="preserve">– iš Lietuvos ūkio subjektų MTEP užsakymų, </w:t>
      </w:r>
    </w:p>
    <w:p w:rsidR="009527B6" w:rsidRPr="004607BB" w:rsidRDefault="009527B6" w:rsidP="009527B6">
      <w:pPr>
        <w:pStyle w:val="Sraopastraipa"/>
        <w:numPr>
          <w:ilvl w:val="0"/>
          <w:numId w:val="3"/>
        </w:numPr>
        <w:spacing w:after="160" w:line="259" w:lineRule="auto"/>
        <w:jc w:val="both"/>
      </w:pPr>
      <w:r w:rsidRPr="004607BB">
        <w:rPr>
          <w:b/>
        </w:rPr>
        <w:t xml:space="preserve">2% (2 tūkst. eurų) </w:t>
      </w:r>
      <w:r w:rsidRPr="004607BB">
        <w:t>– iš užsienio ūkio subjektų MTEP užsakymų,</w:t>
      </w:r>
    </w:p>
    <w:p w:rsidR="009527B6" w:rsidRPr="004607BB" w:rsidRDefault="009527B6" w:rsidP="009527B6">
      <w:pPr>
        <w:pStyle w:val="Sraopastraipa"/>
        <w:numPr>
          <w:ilvl w:val="0"/>
          <w:numId w:val="3"/>
        </w:numPr>
        <w:spacing w:after="160" w:line="259" w:lineRule="auto"/>
        <w:jc w:val="both"/>
      </w:pPr>
      <w:r w:rsidRPr="004607BB">
        <w:rPr>
          <w:b/>
        </w:rPr>
        <w:t xml:space="preserve">5% (39 tūkst. eurų) </w:t>
      </w:r>
      <w:r w:rsidRPr="004607BB">
        <w:t xml:space="preserve">– iš tarptautinių MTEP programų. </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Be to, GTC, gaudamas tik </w:t>
      </w:r>
      <w:r w:rsidRPr="004607BB">
        <w:rPr>
          <w:rFonts w:ascii="Times New Roman" w:hAnsi="Times New Roman" w:cs="Times New Roman"/>
          <w:b/>
          <w:sz w:val="24"/>
          <w:szCs w:val="24"/>
        </w:rPr>
        <w:t>3%</w:t>
      </w:r>
      <w:r w:rsidRPr="004607BB">
        <w:rPr>
          <w:rFonts w:ascii="Times New Roman" w:hAnsi="Times New Roman" w:cs="Times New Roman"/>
          <w:sz w:val="24"/>
          <w:szCs w:val="24"/>
        </w:rPr>
        <w:t xml:space="preserve"> fizinių mokslų srities valstybės biudžeto subsidijos dalies, gauna </w:t>
      </w:r>
      <w:r w:rsidRPr="004607BB">
        <w:rPr>
          <w:rFonts w:ascii="Times New Roman" w:hAnsi="Times New Roman" w:cs="Times New Roman"/>
          <w:b/>
          <w:sz w:val="24"/>
          <w:szCs w:val="24"/>
        </w:rPr>
        <w:t>23% (13 tūkst. eurų</w:t>
      </w:r>
      <w:r w:rsidRPr="004607BB">
        <w:rPr>
          <w:rFonts w:ascii="Times New Roman" w:hAnsi="Times New Roman" w:cs="Times New Roman"/>
          <w:sz w:val="24"/>
          <w:szCs w:val="24"/>
        </w:rPr>
        <w:t>) valstybės ir savivaldybių įstaigų šios srities MTEP užsakymų lėšų.</w:t>
      </w:r>
      <w:r w:rsidRPr="004607BB">
        <w:rPr>
          <w:rFonts w:ascii="Times New Roman" w:hAnsi="Times New Roman" w:cs="Times New Roman"/>
          <w:b/>
          <w:sz w:val="24"/>
          <w:szCs w:val="24"/>
        </w:rPr>
        <w:t xml:space="preserve"> </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GTC – stiprus B mokslų srities dalyvis, išsiskiriantis tuo, kad pritraukia didelę B ir F mokslų sričių valstybės ir savivaldybių įstaigų MTEP užsakymų dalį (per visas mokslo sritis: subsidija – 2,008 mln. eurų; LMT – 0,544 mln. eurų; kiti šaltiniai – 0,334 mln. eurų) . Iš kitų (be v. biudžeto subsidijos ir LMT) šaltinių jis gauna trečią pagal dydį lėšų sumą tarp visų institutų.</w:t>
      </w:r>
    </w:p>
    <w:p w:rsidR="009527B6" w:rsidRPr="004607BB" w:rsidRDefault="009527B6" w:rsidP="009527B6">
      <w:pPr>
        <w:jc w:val="both"/>
        <w:rPr>
          <w:rFonts w:ascii="Times New Roman" w:hAnsi="Times New Roman" w:cs="Times New Roman"/>
          <w:b/>
          <w:sz w:val="24"/>
          <w:szCs w:val="24"/>
        </w:rPr>
      </w:pP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LEI</w:t>
      </w:r>
    </w:p>
    <w:p w:rsidR="009527B6" w:rsidRPr="004607BB" w:rsidRDefault="009527B6" w:rsidP="009527B6">
      <w:pPr>
        <w:spacing w:after="120"/>
        <w:jc w:val="both"/>
        <w:rPr>
          <w:rFonts w:ascii="Times New Roman" w:hAnsi="Times New Roman" w:cs="Times New Roman"/>
          <w:sz w:val="24"/>
          <w:szCs w:val="24"/>
        </w:rPr>
      </w:pPr>
      <w:r w:rsidRPr="004607BB">
        <w:rPr>
          <w:rFonts w:ascii="Times New Roman" w:hAnsi="Times New Roman" w:cs="Times New Roman"/>
          <w:sz w:val="24"/>
          <w:szCs w:val="24"/>
        </w:rPr>
        <w:t xml:space="preserve">Gauna </w:t>
      </w:r>
      <w:r w:rsidRPr="004607BB">
        <w:rPr>
          <w:rFonts w:ascii="Times New Roman" w:hAnsi="Times New Roman" w:cs="Times New Roman"/>
          <w:b/>
          <w:sz w:val="24"/>
          <w:szCs w:val="24"/>
        </w:rPr>
        <w:t>13%</w:t>
      </w:r>
      <w:r w:rsidRPr="004607BB">
        <w:rPr>
          <w:rFonts w:ascii="Times New Roman" w:hAnsi="Times New Roman" w:cs="Times New Roman"/>
          <w:sz w:val="24"/>
          <w:szCs w:val="24"/>
        </w:rPr>
        <w:t xml:space="preserve"> technologijų mokslų srities valstybės biudžeto subsidijos dalies, iš kitų MTEP lėšų šaltinių, išskyrus užsienio ūkio subjektų užsakymų dalį, kuri lygi </w:t>
      </w:r>
      <w:r w:rsidRPr="004607BB">
        <w:rPr>
          <w:rFonts w:ascii="Times New Roman" w:hAnsi="Times New Roman" w:cs="Times New Roman"/>
          <w:b/>
          <w:sz w:val="24"/>
          <w:szCs w:val="24"/>
        </w:rPr>
        <w:t xml:space="preserve">37% (212 tūkst. eurų), </w:t>
      </w:r>
      <w:r w:rsidRPr="004607BB">
        <w:rPr>
          <w:rFonts w:ascii="Times New Roman" w:hAnsi="Times New Roman" w:cs="Times New Roman"/>
          <w:sz w:val="24"/>
          <w:szCs w:val="24"/>
        </w:rPr>
        <w:t xml:space="preserve">pritraukia kiek mažesnes šiai sričiai tenkančių lėšų dalis: </w:t>
      </w:r>
    </w:p>
    <w:p w:rsidR="009527B6" w:rsidRPr="004607BB" w:rsidRDefault="009527B6" w:rsidP="009527B6">
      <w:pPr>
        <w:pStyle w:val="Sraopastraipa"/>
        <w:numPr>
          <w:ilvl w:val="0"/>
          <w:numId w:val="4"/>
        </w:numPr>
        <w:spacing w:after="160" w:line="259" w:lineRule="auto"/>
        <w:jc w:val="both"/>
      </w:pPr>
      <w:r w:rsidRPr="004607BB">
        <w:rPr>
          <w:b/>
        </w:rPr>
        <w:lastRenderedPageBreak/>
        <w:t>10% (205 tūkst. eurų)</w:t>
      </w:r>
      <w:r w:rsidRPr="004607BB">
        <w:t xml:space="preserve"> - iš LMT; </w:t>
      </w:r>
    </w:p>
    <w:p w:rsidR="009527B6" w:rsidRPr="004607BB" w:rsidRDefault="009527B6" w:rsidP="009527B6">
      <w:pPr>
        <w:pStyle w:val="Sraopastraipa"/>
        <w:numPr>
          <w:ilvl w:val="0"/>
          <w:numId w:val="4"/>
        </w:numPr>
        <w:spacing w:after="160" w:line="259" w:lineRule="auto"/>
        <w:jc w:val="both"/>
      </w:pPr>
      <w:r w:rsidRPr="004607BB">
        <w:rPr>
          <w:b/>
        </w:rPr>
        <w:t xml:space="preserve">10% (91 tūkst. eurų) </w:t>
      </w:r>
      <w:r w:rsidRPr="004607BB">
        <w:t>– iš Lietuvos ūkio subjektų užsakymų;</w:t>
      </w:r>
    </w:p>
    <w:p w:rsidR="009527B6" w:rsidRPr="004607BB" w:rsidRDefault="009527B6" w:rsidP="009527B6">
      <w:pPr>
        <w:pStyle w:val="Sraopastraipa"/>
        <w:numPr>
          <w:ilvl w:val="0"/>
          <w:numId w:val="4"/>
        </w:numPr>
        <w:spacing w:after="160" w:line="259" w:lineRule="auto"/>
        <w:jc w:val="both"/>
      </w:pPr>
      <w:r w:rsidRPr="004607BB">
        <w:rPr>
          <w:b/>
        </w:rPr>
        <w:t xml:space="preserve">5% (24 tūkst. eurų) </w:t>
      </w:r>
      <w:r w:rsidRPr="004607BB">
        <w:t>– iš užsienio ūkio subjektų MTEP užsakymų,</w:t>
      </w:r>
    </w:p>
    <w:p w:rsidR="009527B6" w:rsidRPr="004607BB" w:rsidRDefault="009527B6" w:rsidP="009527B6">
      <w:pPr>
        <w:pStyle w:val="Sraopastraipa"/>
        <w:numPr>
          <w:ilvl w:val="0"/>
          <w:numId w:val="4"/>
        </w:numPr>
        <w:spacing w:after="160" w:line="259" w:lineRule="auto"/>
        <w:jc w:val="both"/>
      </w:pPr>
      <w:r w:rsidRPr="004607BB">
        <w:rPr>
          <w:b/>
        </w:rPr>
        <w:t xml:space="preserve">10% (209 tūkst. eurų) </w:t>
      </w:r>
      <w:r w:rsidRPr="004607BB">
        <w:t>– iš tarptautinių MTEP programų.</w:t>
      </w:r>
    </w:p>
    <w:p w:rsidR="009527B6" w:rsidRPr="004607BB" w:rsidRDefault="009527B6" w:rsidP="009527B6">
      <w:pPr>
        <w:spacing w:after="120"/>
        <w:jc w:val="both"/>
        <w:rPr>
          <w:rFonts w:ascii="Times New Roman" w:hAnsi="Times New Roman" w:cs="Times New Roman"/>
          <w:sz w:val="24"/>
          <w:szCs w:val="24"/>
        </w:rPr>
      </w:pPr>
      <w:r w:rsidRPr="004607BB">
        <w:rPr>
          <w:rFonts w:ascii="Times New Roman" w:hAnsi="Times New Roman" w:cs="Times New Roman"/>
          <w:sz w:val="24"/>
          <w:szCs w:val="24"/>
        </w:rPr>
        <w:t xml:space="preserve">Be to, LEI gauna </w:t>
      </w:r>
      <w:r w:rsidRPr="004607BB">
        <w:rPr>
          <w:rFonts w:ascii="Times New Roman" w:hAnsi="Times New Roman" w:cs="Times New Roman"/>
          <w:b/>
          <w:sz w:val="24"/>
          <w:szCs w:val="24"/>
        </w:rPr>
        <w:t>2%</w:t>
      </w:r>
      <w:r w:rsidRPr="004607BB">
        <w:rPr>
          <w:rFonts w:ascii="Times New Roman" w:hAnsi="Times New Roman" w:cs="Times New Roman"/>
          <w:sz w:val="24"/>
          <w:szCs w:val="24"/>
        </w:rPr>
        <w:t xml:space="preserve"> socialinių mokslų sričiai tenkančios valstybės biudžeto subsidijos dalies.</w:t>
      </w:r>
    </w:p>
    <w:p w:rsidR="009527B6" w:rsidRPr="004607BB" w:rsidRDefault="009527B6" w:rsidP="009527B6">
      <w:pPr>
        <w:spacing w:after="0"/>
        <w:jc w:val="both"/>
        <w:rPr>
          <w:rFonts w:ascii="Times New Roman" w:hAnsi="Times New Roman" w:cs="Times New Roman"/>
          <w:sz w:val="24"/>
          <w:szCs w:val="24"/>
        </w:rPr>
      </w:pPr>
      <w:r w:rsidRPr="004607BB">
        <w:rPr>
          <w:rFonts w:ascii="Times New Roman" w:hAnsi="Times New Roman" w:cs="Times New Roman"/>
          <w:sz w:val="24"/>
          <w:szCs w:val="24"/>
        </w:rPr>
        <w:t>LEI – stiprus technologinių mokslų srities dalyvis (per visas mokslo sritis: subsidija – 1,578 mln. eurų; LMT – 224 tūkst. eurų; kiti šaltiniai – 592 tūkst. eurų). Iš kitų (be v. biudžeto subsidijos ir LMT) šaltinių jis gauna antrą pagal dydį lėšų sumą tarp visų institutų.</w:t>
      </w:r>
    </w:p>
    <w:p w:rsidR="009527B6" w:rsidRPr="004607BB" w:rsidRDefault="009527B6" w:rsidP="009527B6">
      <w:pPr>
        <w:jc w:val="both"/>
        <w:rPr>
          <w:rFonts w:ascii="Times New Roman" w:hAnsi="Times New Roman" w:cs="Times New Roman"/>
          <w:b/>
          <w:sz w:val="24"/>
          <w:szCs w:val="24"/>
        </w:rPr>
      </w:pPr>
    </w:p>
    <w:p w:rsidR="009527B6" w:rsidRPr="004607BB" w:rsidRDefault="009527B6" w:rsidP="009527B6">
      <w:pPr>
        <w:spacing w:after="0"/>
        <w:jc w:val="both"/>
        <w:rPr>
          <w:rFonts w:ascii="Times New Roman" w:hAnsi="Times New Roman" w:cs="Times New Roman"/>
          <w:b/>
          <w:sz w:val="24"/>
          <w:szCs w:val="24"/>
        </w:rPr>
      </w:pPr>
      <w:r w:rsidRPr="004607BB">
        <w:rPr>
          <w:rFonts w:ascii="Times New Roman" w:hAnsi="Times New Roman" w:cs="Times New Roman"/>
          <w:b/>
          <w:sz w:val="24"/>
          <w:szCs w:val="24"/>
        </w:rPr>
        <w:t>LAMMC</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sz w:val="24"/>
          <w:szCs w:val="24"/>
        </w:rPr>
        <w:t xml:space="preserve">Gauna didelę </w:t>
      </w:r>
      <w:r w:rsidRPr="004607BB">
        <w:rPr>
          <w:rFonts w:ascii="Times New Roman" w:hAnsi="Times New Roman" w:cs="Times New Roman"/>
          <w:b/>
          <w:sz w:val="24"/>
          <w:szCs w:val="24"/>
          <w:u w:val="single"/>
        </w:rPr>
        <w:t>53%</w:t>
      </w:r>
      <w:r w:rsidRPr="004607BB">
        <w:rPr>
          <w:rFonts w:ascii="Times New Roman" w:hAnsi="Times New Roman" w:cs="Times New Roman"/>
          <w:sz w:val="24"/>
          <w:szCs w:val="24"/>
        </w:rPr>
        <w:t xml:space="preserve"> agrarinių mokslų srities valstybės biudžeto subsidijos dalį, išskyrus Lietuvos ūkio subjektų užsakymų dalį, kuri lygi </w:t>
      </w:r>
      <w:r w:rsidRPr="004607BB">
        <w:rPr>
          <w:rFonts w:ascii="Times New Roman" w:hAnsi="Times New Roman" w:cs="Times New Roman"/>
          <w:b/>
          <w:sz w:val="24"/>
          <w:szCs w:val="24"/>
          <w:u w:val="single"/>
        </w:rPr>
        <w:t>61%</w:t>
      </w:r>
      <w:r w:rsidRPr="004607BB">
        <w:rPr>
          <w:rFonts w:ascii="Times New Roman" w:hAnsi="Times New Roman" w:cs="Times New Roman"/>
          <w:sz w:val="24"/>
          <w:szCs w:val="24"/>
        </w:rPr>
        <w:t xml:space="preserve"> (absoliučia suma šios lėšos nėra didelės: </w:t>
      </w:r>
      <w:r w:rsidRPr="004607BB">
        <w:rPr>
          <w:rFonts w:ascii="Times New Roman" w:hAnsi="Times New Roman" w:cs="Times New Roman"/>
          <w:b/>
          <w:sz w:val="24"/>
          <w:szCs w:val="24"/>
        </w:rPr>
        <w:t>tik 41 tūkst. eurų</w:t>
      </w:r>
      <w:r w:rsidRPr="004607BB">
        <w:rPr>
          <w:rFonts w:ascii="Times New Roman" w:hAnsi="Times New Roman" w:cs="Times New Roman"/>
          <w:sz w:val="24"/>
          <w:szCs w:val="24"/>
        </w:rPr>
        <w:t>), iš kitų MTEP lėšų šaltinių pritraukia mažesnes šiai sričiai tenkančių lėšų dalis:</w:t>
      </w:r>
      <w:r w:rsidRPr="004607BB">
        <w:rPr>
          <w:rFonts w:ascii="Times New Roman" w:hAnsi="Times New Roman" w:cs="Times New Roman"/>
          <w:b/>
          <w:sz w:val="24"/>
          <w:szCs w:val="24"/>
        </w:rPr>
        <w:t xml:space="preserve"> </w:t>
      </w:r>
    </w:p>
    <w:p w:rsidR="009527B6" w:rsidRPr="004607BB" w:rsidRDefault="009527B6" w:rsidP="009527B6">
      <w:pPr>
        <w:pStyle w:val="Sraopastraipa"/>
        <w:numPr>
          <w:ilvl w:val="0"/>
          <w:numId w:val="5"/>
        </w:numPr>
        <w:spacing w:after="160" w:line="259" w:lineRule="auto"/>
        <w:jc w:val="both"/>
        <w:rPr>
          <w:b/>
        </w:rPr>
      </w:pPr>
      <w:r w:rsidRPr="004607BB">
        <w:rPr>
          <w:b/>
        </w:rPr>
        <w:t xml:space="preserve">44% (470 tūkst. eurų) </w:t>
      </w:r>
      <w:r w:rsidRPr="004607BB">
        <w:t>– iš LMT,</w:t>
      </w:r>
      <w:r w:rsidRPr="004607BB">
        <w:rPr>
          <w:b/>
        </w:rPr>
        <w:t xml:space="preserve"> </w:t>
      </w:r>
    </w:p>
    <w:p w:rsidR="009527B6" w:rsidRPr="004607BB" w:rsidRDefault="009527B6" w:rsidP="009527B6">
      <w:pPr>
        <w:pStyle w:val="Sraopastraipa"/>
        <w:numPr>
          <w:ilvl w:val="0"/>
          <w:numId w:val="5"/>
        </w:numPr>
        <w:spacing w:after="160" w:line="259" w:lineRule="auto"/>
        <w:jc w:val="both"/>
        <w:rPr>
          <w:b/>
        </w:rPr>
      </w:pPr>
      <w:r w:rsidRPr="004607BB">
        <w:rPr>
          <w:b/>
        </w:rPr>
        <w:t xml:space="preserve">33% (92 tūkst. eurų) </w:t>
      </w:r>
      <w:r w:rsidRPr="004607BB">
        <w:t>– iš valstybės ir</w:t>
      </w:r>
      <w:r w:rsidRPr="004607BB">
        <w:rPr>
          <w:b/>
        </w:rPr>
        <w:t xml:space="preserve"> </w:t>
      </w:r>
      <w:r w:rsidRPr="004607BB">
        <w:t>savivaldybių įstaigų MTEP užsakymų</w:t>
      </w:r>
      <w:r w:rsidRPr="004607BB">
        <w:rPr>
          <w:b/>
        </w:rPr>
        <w:t xml:space="preserve">. </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Be to, institutas nedidelėmis apimtimis dirba B, F, S mokslų srityse. Pažymėtina, kad LAMMC visiškai nepritraukia užsienio ūkio subjektų MTEP užsakymų ir laimi tik 2% (1 tūkst. erų) tarptautinių MTEP programų šios srities lėšų. </w:t>
      </w:r>
    </w:p>
    <w:p w:rsidR="009527B6" w:rsidRPr="004607BB" w:rsidRDefault="009527B6" w:rsidP="009527B6">
      <w:pPr>
        <w:spacing w:after="120"/>
        <w:jc w:val="both"/>
        <w:rPr>
          <w:rFonts w:ascii="Times New Roman" w:hAnsi="Times New Roman" w:cs="Times New Roman"/>
          <w:sz w:val="24"/>
          <w:szCs w:val="24"/>
        </w:rPr>
      </w:pPr>
      <w:r w:rsidRPr="004607BB">
        <w:rPr>
          <w:rFonts w:ascii="Times New Roman" w:hAnsi="Times New Roman" w:cs="Times New Roman"/>
          <w:sz w:val="24"/>
          <w:szCs w:val="24"/>
        </w:rPr>
        <w:t xml:space="preserve">LAMMC – svarbus A mokslų srities dalyvis, gaunantis daugiau kaip pusę A mokslų srities valstybės biudžeto subsidijų dalies, beveik pusę LMT sričiai skiriamų lėšų, bet santykinai mažai jų pritraukiantis iš kitų šaltinių (subsidija – 1,765 mln. eurų; LMT – 509 tūkst. eurų; kiti šaltiniai – 133 tūkst. eurų).  </w:t>
      </w:r>
    </w:p>
    <w:p w:rsidR="009527B6" w:rsidRPr="004607BB" w:rsidRDefault="009527B6" w:rsidP="009527B6">
      <w:pPr>
        <w:spacing w:after="120"/>
        <w:jc w:val="both"/>
        <w:rPr>
          <w:rFonts w:ascii="Times New Roman" w:hAnsi="Times New Roman" w:cs="Times New Roman"/>
          <w:sz w:val="24"/>
          <w:szCs w:val="24"/>
        </w:rPr>
      </w:pPr>
      <w:r w:rsidRPr="004607BB">
        <w:rPr>
          <w:rFonts w:ascii="Times New Roman" w:hAnsi="Times New Roman" w:cs="Times New Roman"/>
          <w:b/>
          <w:sz w:val="24"/>
          <w:szCs w:val="24"/>
        </w:rPr>
        <w:t>NVI</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Gauna </w:t>
      </w:r>
      <w:r w:rsidRPr="004607BB">
        <w:rPr>
          <w:rFonts w:ascii="Times New Roman" w:hAnsi="Times New Roman" w:cs="Times New Roman"/>
          <w:b/>
          <w:sz w:val="24"/>
          <w:szCs w:val="24"/>
        </w:rPr>
        <w:t>4%</w:t>
      </w:r>
      <w:r w:rsidRPr="004607BB">
        <w:rPr>
          <w:rFonts w:ascii="Times New Roman" w:hAnsi="Times New Roman" w:cs="Times New Roman"/>
          <w:sz w:val="24"/>
          <w:szCs w:val="24"/>
        </w:rPr>
        <w:t xml:space="preserve"> biomedicinos mokslų srities valstybės biudžeto subsidijos dalį, bet pritraukia žymiai didesnę šiai mokslo sričiai tenkančių lėšų dalį iš Lietuvos ūkio subjektų MTEP užsakymų – </w:t>
      </w:r>
      <w:r w:rsidRPr="004607BB">
        <w:rPr>
          <w:rFonts w:ascii="Times New Roman" w:hAnsi="Times New Roman" w:cs="Times New Roman"/>
          <w:b/>
          <w:sz w:val="24"/>
          <w:szCs w:val="24"/>
        </w:rPr>
        <w:t>32%</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(41 tūkst. eurų)</w:t>
      </w:r>
      <w:r w:rsidRPr="004607BB">
        <w:rPr>
          <w:rFonts w:ascii="Times New Roman" w:hAnsi="Times New Roman" w:cs="Times New Roman"/>
          <w:sz w:val="24"/>
          <w:szCs w:val="24"/>
        </w:rPr>
        <w:t xml:space="preserve"> ir iš užsienio ūkio subjektų MTEP užsakymų – </w:t>
      </w:r>
      <w:r w:rsidRPr="004607BB">
        <w:rPr>
          <w:rFonts w:ascii="Times New Roman" w:hAnsi="Times New Roman" w:cs="Times New Roman"/>
          <w:b/>
          <w:sz w:val="24"/>
          <w:szCs w:val="24"/>
        </w:rPr>
        <w:t>69%</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(78 tūkst. eurų</w:t>
      </w:r>
      <w:r w:rsidRPr="004607BB">
        <w:rPr>
          <w:rFonts w:ascii="Times New Roman" w:hAnsi="Times New Roman" w:cs="Times New Roman"/>
          <w:sz w:val="24"/>
          <w:szCs w:val="24"/>
        </w:rPr>
        <w:t>). Be to, NVI nedidelėmis apimtimis dirba F, S mokslų srityse.</w:t>
      </w:r>
    </w:p>
    <w:p w:rsidR="009527B6" w:rsidRPr="004607BB" w:rsidRDefault="009527B6" w:rsidP="009527B6">
      <w:pPr>
        <w:spacing w:after="0"/>
        <w:jc w:val="both"/>
        <w:rPr>
          <w:rFonts w:ascii="Times New Roman" w:hAnsi="Times New Roman" w:cs="Times New Roman"/>
          <w:b/>
          <w:sz w:val="24"/>
          <w:szCs w:val="24"/>
          <w:u w:val="single"/>
        </w:rPr>
      </w:pPr>
      <w:r w:rsidRPr="004607BB">
        <w:rPr>
          <w:rFonts w:ascii="Times New Roman" w:hAnsi="Times New Roman" w:cs="Times New Roman"/>
          <w:sz w:val="24"/>
          <w:szCs w:val="24"/>
        </w:rPr>
        <w:t>NVI – svarbus sveikatos priežiūros ir B mokslų srities centras, gaunantis nedidelę srities valstybės biudžeto MTEP subsidijos dalį, iš kitų šaltinių, išskyrus valstybės ir savivaldybės įstaigų MTEP užsakymus, gaunantis gerokai didesnę nei subsidija biomedicinos mokslų sričiai tenkančią lėšų dalį (subsidija – 466 tūkst. eurų; LMT – 130 tūkst. eurų; kiti šaltiniai – 179 tūkst. eurų). Iš kitų (be v. biudžeto subsidijos ir LMT) šaltinių jis gauna ketvirtą pagal dydį lėšų sumą tarp visų institutų</w:t>
      </w:r>
      <w:r w:rsidRPr="004607BB">
        <w:rPr>
          <w:rFonts w:ascii="Times New Roman" w:hAnsi="Times New Roman" w:cs="Times New Roman"/>
          <w:b/>
          <w:sz w:val="24"/>
          <w:szCs w:val="24"/>
          <w:u w:val="single"/>
        </w:rPr>
        <w:t>.</w:t>
      </w:r>
    </w:p>
    <w:p w:rsidR="009527B6" w:rsidRPr="004607BB" w:rsidRDefault="009527B6" w:rsidP="009527B6">
      <w:pPr>
        <w:jc w:val="both"/>
        <w:rPr>
          <w:rFonts w:ascii="Times New Roman" w:hAnsi="Times New Roman" w:cs="Times New Roman"/>
          <w:b/>
          <w:sz w:val="24"/>
          <w:szCs w:val="24"/>
          <w:u w:val="single"/>
        </w:rPr>
      </w:pPr>
      <w:r w:rsidRPr="004607BB">
        <w:rPr>
          <w:rFonts w:ascii="Times New Roman" w:hAnsi="Times New Roman" w:cs="Times New Roman"/>
          <w:b/>
          <w:sz w:val="24"/>
          <w:szCs w:val="24"/>
          <w:u w:val="single"/>
        </w:rPr>
        <w:t xml:space="preserve">  </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IMC</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Gauna tik 5</w:t>
      </w:r>
      <w:r w:rsidRPr="004607BB">
        <w:rPr>
          <w:rFonts w:ascii="Times New Roman" w:hAnsi="Times New Roman" w:cs="Times New Roman"/>
          <w:b/>
          <w:sz w:val="24"/>
          <w:szCs w:val="24"/>
        </w:rPr>
        <w:t>%</w:t>
      </w:r>
      <w:r w:rsidRPr="004607BB">
        <w:rPr>
          <w:rFonts w:ascii="Times New Roman" w:hAnsi="Times New Roman" w:cs="Times New Roman"/>
          <w:sz w:val="24"/>
          <w:szCs w:val="24"/>
        </w:rPr>
        <w:t xml:space="preserve"> biomedicinos mokslų srities valstybės biudžeto subsidijos dalį, bet iš Lietuvos ūkio subjektų MTEP užsakymų gauna </w:t>
      </w:r>
      <w:r w:rsidRPr="004607BB">
        <w:rPr>
          <w:rFonts w:ascii="Times New Roman" w:hAnsi="Times New Roman" w:cs="Times New Roman"/>
          <w:b/>
          <w:sz w:val="24"/>
          <w:szCs w:val="24"/>
        </w:rPr>
        <w:t>19%</w:t>
      </w:r>
      <w:r w:rsidRPr="004607BB">
        <w:rPr>
          <w:rFonts w:ascii="Times New Roman" w:hAnsi="Times New Roman" w:cs="Times New Roman"/>
          <w:sz w:val="24"/>
          <w:szCs w:val="24"/>
        </w:rPr>
        <w:t xml:space="preserve"> šios srities lėšų (absoliučia suma šios lėšos nėra didelės: tik </w:t>
      </w:r>
      <w:r w:rsidRPr="004607BB">
        <w:rPr>
          <w:rFonts w:ascii="Times New Roman" w:hAnsi="Times New Roman" w:cs="Times New Roman"/>
          <w:b/>
          <w:sz w:val="24"/>
          <w:szCs w:val="24"/>
        </w:rPr>
        <w:t>24 tūkst. eurų</w:t>
      </w:r>
      <w:r w:rsidRPr="004607BB">
        <w:rPr>
          <w:rFonts w:ascii="Times New Roman" w:hAnsi="Times New Roman" w:cs="Times New Roman"/>
          <w:sz w:val="24"/>
          <w:szCs w:val="24"/>
        </w:rPr>
        <w:t xml:space="preserve">). </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IMC – nedidelis B mokslų srities institutas (subsidija – 445 tūkst. eurų; LMT – 187 tūkst. eurų; kiti šaltiniai – 31 tūkst. eurų).</w:t>
      </w:r>
    </w:p>
    <w:p w:rsidR="009527B6" w:rsidRPr="004607BB" w:rsidRDefault="009527B6" w:rsidP="009527B6">
      <w:pPr>
        <w:jc w:val="both"/>
        <w:rPr>
          <w:rFonts w:ascii="Times New Roman" w:hAnsi="Times New Roman" w:cs="Times New Roman"/>
          <w:b/>
          <w:sz w:val="24"/>
          <w:szCs w:val="24"/>
        </w:rPr>
      </w:pP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Detalesnis H,S mokslo sričių institutų MTEP lėšų pasiskirstymas pagal šaltinius</w:t>
      </w:r>
    </w:p>
    <w:p w:rsidR="009527B6" w:rsidRPr="004607BB" w:rsidRDefault="009527B6" w:rsidP="009527B6">
      <w:pPr>
        <w:jc w:val="both"/>
        <w:rPr>
          <w:rFonts w:ascii="Times New Roman" w:hAnsi="Times New Roman" w:cs="Times New Roman"/>
          <w:sz w:val="24"/>
          <w:szCs w:val="24"/>
        </w:rPr>
      </w:pP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noProof/>
          <w:sz w:val="24"/>
          <w:szCs w:val="24"/>
          <w:lang w:eastAsia="lt-LT"/>
        </w:rPr>
        <w:drawing>
          <wp:inline distT="0" distB="0" distL="0" distR="0" wp14:anchorId="731ED4CC" wp14:editId="00D68143">
            <wp:extent cx="5895975" cy="4076700"/>
            <wp:effectExtent l="0" t="0" r="9525" b="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b/>
          <w:sz w:val="24"/>
          <w:szCs w:val="24"/>
        </w:rPr>
        <w:t xml:space="preserve">Išvada: </w:t>
      </w:r>
      <w:r w:rsidRPr="004607BB">
        <w:rPr>
          <w:rFonts w:ascii="Times New Roman" w:hAnsi="Times New Roman" w:cs="Times New Roman"/>
          <w:sz w:val="24"/>
          <w:szCs w:val="24"/>
        </w:rPr>
        <w:t xml:space="preserve">Humanitarinių ir socialinių mokslų srities institutai iš kitų šaltinių (be biudžeto MTEP subsidijos ir LMT) uždirba nedideles lėšų sumas ir/arba visiškai nevykdo MTEP užsakymų. </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Skaičiuojant absoliučiomis sumomis, </w:t>
      </w:r>
      <w:r w:rsidRPr="004607BB">
        <w:rPr>
          <w:rFonts w:ascii="Times New Roman" w:hAnsi="Times New Roman" w:cs="Times New Roman"/>
          <w:b/>
          <w:sz w:val="24"/>
          <w:szCs w:val="24"/>
        </w:rPr>
        <w:t>daugiausia lėšų H mokslų srityse iš kitų</w:t>
      </w:r>
      <w:r w:rsidRPr="004607BB">
        <w:rPr>
          <w:rFonts w:ascii="Times New Roman" w:hAnsi="Times New Roman" w:cs="Times New Roman"/>
          <w:sz w:val="24"/>
          <w:szCs w:val="24"/>
        </w:rPr>
        <w:t xml:space="preserve"> (ne subsidijos ir LMT) </w:t>
      </w:r>
      <w:r w:rsidRPr="004607BB">
        <w:rPr>
          <w:rFonts w:ascii="Times New Roman" w:hAnsi="Times New Roman" w:cs="Times New Roman"/>
          <w:b/>
          <w:sz w:val="24"/>
          <w:szCs w:val="24"/>
        </w:rPr>
        <w:t>šaltinių (virš 20 tūkst. eurų)</w:t>
      </w:r>
      <w:r w:rsidRPr="004607BB">
        <w:rPr>
          <w:rFonts w:ascii="Times New Roman" w:hAnsi="Times New Roman" w:cs="Times New Roman"/>
          <w:sz w:val="24"/>
          <w:szCs w:val="24"/>
        </w:rPr>
        <w:t xml:space="preserve"> gauna: </w:t>
      </w:r>
    </w:p>
    <w:p w:rsidR="009527B6" w:rsidRPr="004607BB" w:rsidRDefault="009527B6" w:rsidP="009527B6">
      <w:pPr>
        <w:pStyle w:val="Sraopastraipa"/>
        <w:numPr>
          <w:ilvl w:val="0"/>
          <w:numId w:val="6"/>
        </w:numPr>
        <w:spacing w:after="160" w:line="259" w:lineRule="auto"/>
        <w:jc w:val="both"/>
      </w:pPr>
      <w:r w:rsidRPr="004607BB">
        <w:rPr>
          <w:b/>
        </w:rPr>
        <w:t>LKI</w:t>
      </w:r>
      <w:r w:rsidRPr="004607BB">
        <w:t xml:space="preserve"> iš valstybės ir savivaldybių įstaigų (28 tūkst. eurų), </w:t>
      </w:r>
    </w:p>
    <w:p w:rsidR="009527B6" w:rsidRPr="004607BB" w:rsidRDefault="009527B6" w:rsidP="009527B6">
      <w:pPr>
        <w:pStyle w:val="Sraopastraipa"/>
        <w:numPr>
          <w:ilvl w:val="0"/>
          <w:numId w:val="6"/>
        </w:numPr>
        <w:spacing w:after="160" w:line="259" w:lineRule="auto"/>
        <w:jc w:val="both"/>
      </w:pPr>
      <w:r w:rsidRPr="004607BB">
        <w:rPr>
          <w:b/>
        </w:rPr>
        <w:t xml:space="preserve">LII </w:t>
      </w:r>
      <w:r w:rsidRPr="004607BB">
        <w:t>iš tarptautinių MTEP programų (24 tūkst. eurų);</w:t>
      </w:r>
    </w:p>
    <w:p w:rsidR="009527B6" w:rsidRPr="004607BB" w:rsidRDefault="009527B6" w:rsidP="009527B6">
      <w:pPr>
        <w:pStyle w:val="Sraopastraipa"/>
        <w:ind w:left="0"/>
        <w:jc w:val="both"/>
        <w:rPr>
          <w:b/>
        </w:rPr>
      </w:pPr>
      <w:r w:rsidRPr="004607BB">
        <w:rPr>
          <w:b/>
        </w:rPr>
        <w:t>S mokslų srityje:</w:t>
      </w:r>
    </w:p>
    <w:p w:rsidR="009527B6" w:rsidRPr="004607BB" w:rsidRDefault="009527B6" w:rsidP="009527B6">
      <w:pPr>
        <w:pStyle w:val="Sraopastraipa"/>
        <w:numPr>
          <w:ilvl w:val="0"/>
          <w:numId w:val="7"/>
        </w:numPr>
        <w:spacing w:after="160" w:line="259" w:lineRule="auto"/>
        <w:jc w:val="both"/>
      </w:pPr>
      <w:r w:rsidRPr="004607BB">
        <w:rPr>
          <w:b/>
        </w:rPr>
        <w:t xml:space="preserve">LAEI </w:t>
      </w:r>
      <w:r w:rsidRPr="004607BB">
        <w:t>iš tarptautinių MTEP programų (86 tūkst. eurų) ir iš valstybės ir savivaldybių įstaigų (64 tūkst. eurų),</w:t>
      </w:r>
    </w:p>
    <w:p w:rsidR="009527B6" w:rsidRPr="004607BB" w:rsidRDefault="009527B6" w:rsidP="009527B6">
      <w:pPr>
        <w:pStyle w:val="Sraopastraipa"/>
        <w:numPr>
          <w:ilvl w:val="0"/>
          <w:numId w:val="7"/>
        </w:numPr>
        <w:spacing w:after="160" w:line="259" w:lineRule="auto"/>
        <w:jc w:val="both"/>
      </w:pPr>
      <w:r w:rsidRPr="004607BB">
        <w:rPr>
          <w:b/>
        </w:rPr>
        <w:t>LTI</w:t>
      </w:r>
      <w:r w:rsidRPr="004607BB">
        <w:t xml:space="preserve"> iš tarptautinių MTEP programų (35 tūkst. eurų),</w:t>
      </w:r>
    </w:p>
    <w:p w:rsidR="009527B6" w:rsidRPr="004607BB" w:rsidRDefault="009527B6" w:rsidP="009527B6">
      <w:pPr>
        <w:pStyle w:val="Sraopastraipa"/>
        <w:numPr>
          <w:ilvl w:val="0"/>
          <w:numId w:val="7"/>
        </w:numPr>
        <w:spacing w:after="160" w:line="259" w:lineRule="auto"/>
        <w:jc w:val="both"/>
      </w:pPr>
      <w:r w:rsidRPr="004607BB">
        <w:rPr>
          <w:b/>
        </w:rPr>
        <w:t>LSTC</w:t>
      </w:r>
      <w:r w:rsidRPr="004607BB">
        <w:t xml:space="preserve"> iš tarptautinių MTEP programų (30 tūkst. eurų). </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lastRenderedPageBreak/>
        <w:t xml:space="preserve"> </w:t>
      </w:r>
      <w:r w:rsidRPr="004607BB">
        <w:rPr>
          <w:rFonts w:ascii="Times New Roman" w:hAnsi="Times New Roman" w:cs="Times New Roman"/>
          <w:noProof/>
          <w:sz w:val="24"/>
          <w:szCs w:val="24"/>
          <w:lang w:eastAsia="lt-LT"/>
        </w:rPr>
        <w:drawing>
          <wp:inline distT="0" distB="0" distL="0" distR="0" wp14:anchorId="4029A827" wp14:editId="1924BE95">
            <wp:extent cx="5934075" cy="4345940"/>
            <wp:effectExtent l="0" t="0" r="9525" b="1651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LII</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Gauna apie </w:t>
      </w:r>
      <w:r w:rsidRPr="004607BB">
        <w:rPr>
          <w:rFonts w:ascii="Times New Roman" w:hAnsi="Times New Roman" w:cs="Times New Roman"/>
          <w:b/>
          <w:sz w:val="24"/>
          <w:szCs w:val="24"/>
        </w:rPr>
        <w:t>14%</w:t>
      </w:r>
      <w:r w:rsidRPr="004607BB">
        <w:rPr>
          <w:rFonts w:ascii="Times New Roman" w:hAnsi="Times New Roman" w:cs="Times New Roman"/>
          <w:sz w:val="24"/>
          <w:szCs w:val="24"/>
        </w:rPr>
        <w:t xml:space="preserve"> valstybės biudžeto lėšų, skiriamų humanitariniams mokslams per valstybinės biudžeto MTEP subsidiją, laimi didesnę srities lėšų dalį per LMT (</w:t>
      </w:r>
      <w:r w:rsidRPr="004607BB">
        <w:rPr>
          <w:rFonts w:ascii="Times New Roman" w:hAnsi="Times New Roman" w:cs="Times New Roman"/>
          <w:b/>
          <w:sz w:val="24"/>
          <w:szCs w:val="24"/>
        </w:rPr>
        <w:t>17%)</w:t>
      </w:r>
      <w:r w:rsidRPr="004607BB">
        <w:rPr>
          <w:rFonts w:ascii="Times New Roman" w:hAnsi="Times New Roman" w:cs="Times New Roman"/>
          <w:sz w:val="24"/>
          <w:szCs w:val="24"/>
        </w:rPr>
        <w:t xml:space="preserve"> bei iš tarptautinių MTEP programų </w:t>
      </w:r>
      <w:r w:rsidRPr="004607BB">
        <w:rPr>
          <w:rFonts w:ascii="Times New Roman" w:hAnsi="Times New Roman" w:cs="Times New Roman"/>
          <w:b/>
          <w:sz w:val="24"/>
          <w:szCs w:val="24"/>
        </w:rPr>
        <w:t xml:space="preserve">(37%) </w:t>
      </w:r>
      <w:r w:rsidRPr="004607BB">
        <w:rPr>
          <w:rFonts w:ascii="Times New Roman" w:hAnsi="Times New Roman" w:cs="Times New Roman"/>
          <w:sz w:val="24"/>
          <w:szCs w:val="24"/>
        </w:rPr>
        <w:t>, bet</w:t>
      </w:r>
      <w:r w:rsidRPr="004607BB">
        <w:rPr>
          <w:rFonts w:ascii="Times New Roman" w:hAnsi="Times New Roman" w:cs="Times New Roman"/>
          <w:b/>
          <w:sz w:val="24"/>
          <w:szCs w:val="24"/>
        </w:rPr>
        <w:t xml:space="preserve"> </w:t>
      </w:r>
      <w:r w:rsidRPr="004607BB">
        <w:rPr>
          <w:rFonts w:ascii="Times New Roman" w:hAnsi="Times New Roman" w:cs="Times New Roman"/>
          <w:sz w:val="24"/>
          <w:szCs w:val="24"/>
        </w:rPr>
        <w:t xml:space="preserve">absoliučia suma šios lėšos nėra didelės: </w:t>
      </w:r>
      <w:r w:rsidRPr="004607BB">
        <w:rPr>
          <w:rFonts w:ascii="Times New Roman" w:hAnsi="Times New Roman" w:cs="Times New Roman"/>
          <w:b/>
          <w:sz w:val="24"/>
          <w:szCs w:val="24"/>
        </w:rPr>
        <w:t>24 tūkst. eurų</w:t>
      </w:r>
      <w:r w:rsidRPr="004607BB">
        <w:rPr>
          <w:rFonts w:ascii="Times New Roman" w:hAnsi="Times New Roman" w:cs="Times New Roman"/>
          <w:sz w:val="24"/>
          <w:szCs w:val="24"/>
        </w:rPr>
        <w:t>, bet gauna gerokai mažesnę srities lėšų dalį iš valstybės ir savivaldybių įstaigų (</w:t>
      </w:r>
      <w:r w:rsidRPr="004607BB">
        <w:rPr>
          <w:rFonts w:ascii="Times New Roman" w:hAnsi="Times New Roman" w:cs="Times New Roman"/>
          <w:b/>
          <w:sz w:val="24"/>
          <w:szCs w:val="24"/>
        </w:rPr>
        <w:t>6% -</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 xml:space="preserve">10 tūkst. eurų), </w:t>
      </w:r>
      <w:r w:rsidRPr="004607BB">
        <w:rPr>
          <w:rFonts w:ascii="Times New Roman" w:hAnsi="Times New Roman" w:cs="Times New Roman"/>
          <w:sz w:val="24"/>
          <w:szCs w:val="24"/>
        </w:rPr>
        <w:t>Lietuvos ūkio subjektų  MTEP (</w:t>
      </w:r>
      <w:r w:rsidRPr="004607BB">
        <w:rPr>
          <w:rFonts w:ascii="Times New Roman" w:hAnsi="Times New Roman" w:cs="Times New Roman"/>
          <w:b/>
          <w:sz w:val="24"/>
          <w:szCs w:val="24"/>
        </w:rPr>
        <w:t xml:space="preserve">3% - </w:t>
      </w:r>
      <w:r w:rsidRPr="004607BB">
        <w:rPr>
          <w:rFonts w:ascii="Times New Roman" w:hAnsi="Times New Roman" w:cs="Times New Roman"/>
          <w:sz w:val="24"/>
          <w:szCs w:val="24"/>
        </w:rPr>
        <w:t xml:space="preserve">tik </w:t>
      </w:r>
      <w:r w:rsidRPr="004607BB">
        <w:rPr>
          <w:rFonts w:ascii="Times New Roman" w:hAnsi="Times New Roman" w:cs="Times New Roman"/>
          <w:b/>
          <w:sz w:val="24"/>
          <w:szCs w:val="24"/>
        </w:rPr>
        <w:t>9 tūkst. eurų)</w:t>
      </w:r>
      <w:r w:rsidRPr="004607BB">
        <w:rPr>
          <w:rFonts w:ascii="Times New Roman" w:hAnsi="Times New Roman" w:cs="Times New Roman"/>
          <w:sz w:val="24"/>
          <w:szCs w:val="24"/>
        </w:rPr>
        <w:t xml:space="preserve"> užsakymų.</w:t>
      </w:r>
    </w:p>
    <w:p w:rsidR="009527B6" w:rsidRPr="004607BB" w:rsidRDefault="009527B6" w:rsidP="009527B6">
      <w:pPr>
        <w:spacing w:before="240"/>
        <w:jc w:val="both"/>
        <w:rPr>
          <w:rFonts w:ascii="Times New Roman" w:hAnsi="Times New Roman" w:cs="Times New Roman"/>
          <w:sz w:val="24"/>
          <w:szCs w:val="24"/>
        </w:rPr>
      </w:pPr>
      <w:r w:rsidRPr="004607BB">
        <w:rPr>
          <w:rFonts w:ascii="Times New Roman" w:hAnsi="Times New Roman" w:cs="Times New Roman"/>
          <w:sz w:val="24"/>
          <w:szCs w:val="24"/>
        </w:rPr>
        <w:t>LII – didžiausias H mokslo srities institutas (subsidija – 1 mln. eurų - penktas pagal dydį tarp visų institutų pagal valstybės biudžeto subsidijos dydį; LMT – 406 tūkst. eurų; kiti šaltiniai -  42 tūkst. eurų), lyderis tarp humanitarinių institutų pagal dalyvavimą tarptautinėse MTEP programose.</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LLTI</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Institutas finansuojamas tik valstybės biudžeto lėšomis: gauna apie </w:t>
      </w:r>
      <w:r w:rsidRPr="004607BB">
        <w:rPr>
          <w:rFonts w:ascii="Times New Roman" w:hAnsi="Times New Roman" w:cs="Times New Roman"/>
          <w:b/>
          <w:sz w:val="24"/>
          <w:szCs w:val="24"/>
        </w:rPr>
        <w:t>9%</w:t>
      </w:r>
      <w:r w:rsidRPr="004607BB">
        <w:rPr>
          <w:rFonts w:ascii="Times New Roman" w:hAnsi="Times New Roman" w:cs="Times New Roman"/>
          <w:sz w:val="24"/>
          <w:szCs w:val="24"/>
        </w:rPr>
        <w:t xml:space="preserve"> valstybės biudžeto lėšų, skiriamų H mokslų sričiai per subsidiją ir </w:t>
      </w:r>
      <w:r w:rsidRPr="004607BB">
        <w:rPr>
          <w:rFonts w:ascii="Times New Roman" w:hAnsi="Times New Roman" w:cs="Times New Roman"/>
          <w:b/>
          <w:sz w:val="24"/>
          <w:szCs w:val="24"/>
        </w:rPr>
        <w:t xml:space="preserve">12% </w:t>
      </w:r>
      <w:r w:rsidRPr="004607BB">
        <w:rPr>
          <w:rFonts w:ascii="Times New Roman" w:hAnsi="Times New Roman" w:cs="Times New Roman"/>
          <w:sz w:val="24"/>
          <w:szCs w:val="24"/>
        </w:rPr>
        <w:t xml:space="preserve">šios mokslų srities lėšų per LMT. </w:t>
      </w:r>
      <w:r w:rsidRPr="004607BB">
        <w:rPr>
          <w:rFonts w:ascii="Times New Roman" w:hAnsi="Times New Roman" w:cs="Times New Roman"/>
          <w:b/>
          <w:sz w:val="24"/>
          <w:szCs w:val="24"/>
        </w:rPr>
        <w:t>Jokių kitų MTEP finansavimo lėšų institutas nelaimi</w:t>
      </w:r>
      <w:r w:rsidRPr="004607BB">
        <w:rPr>
          <w:rFonts w:ascii="Times New Roman" w:hAnsi="Times New Roman" w:cs="Times New Roman"/>
          <w:sz w:val="24"/>
          <w:szCs w:val="24"/>
        </w:rPr>
        <w:t>.</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LLTI – antras pagal dydį H mokslo sr. institutas (subsidija – 683 tūkst. eurų;  LMT – 292 tūkst.eurų; kiti šaltiniai – 0).  </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LKI</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Gaudamas apie </w:t>
      </w:r>
      <w:r w:rsidRPr="004607BB">
        <w:rPr>
          <w:rFonts w:ascii="Times New Roman" w:hAnsi="Times New Roman" w:cs="Times New Roman"/>
          <w:b/>
          <w:sz w:val="24"/>
          <w:szCs w:val="24"/>
        </w:rPr>
        <w:t>9%</w:t>
      </w:r>
      <w:r w:rsidRPr="004607BB">
        <w:rPr>
          <w:rFonts w:ascii="Times New Roman" w:hAnsi="Times New Roman" w:cs="Times New Roman"/>
          <w:sz w:val="24"/>
          <w:szCs w:val="24"/>
        </w:rPr>
        <w:t xml:space="preserve"> valstybės biudžeto lėšų, skiriamų humanitariniams mokslams per valstybės biudžeto subsidiją, gauna didesnę dalį H mokslų srities </w:t>
      </w:r>
      <w:r w:rsidRPr="004607BB">
        <w:rPr>
          <w:rFonts w:ascii="Times New Roman" w:hAnsi="Times New Roman" w:cs="Times New Roman"/>
          <w:b/>
          <w:sz w:val="24"/>
          <w:szCs w:val="24"/>
        </w:rPr>
        <w:t>17%</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(28 tūkst. eurų)</w:t>
      </w:r>
      <w:r w:rsidRPr="004607BB">
        <w:rPr>
          <w:rFonts w:ascii="Times New Roman" w:hAnsi="Times New Roman" w:cs="Times New Roman"/>
          <w:sz w:val="24"/>
          <w:szCs w:val="24"/>
        </w:rPr>
        <w:t xml:space="preserve"> valstybės ir savivaldybių įstaigų MTEP užsakymų lėšų, bet mažesnę dalį per</w:t>
      </w:r>
      <w:r w:rsidRPr="004607BB">
        <w:rPr>
          <w:rFonts w:ascii="Times New Roman" w:hAnsi="Times New Roman" w:cs="Times New Roman"/>
          <w:b/>
          <w:sz w:val="24"/>
          <w:szCs w:val="24"/>
        </w:rPr>
        <w:t xml:space="preserve"> </w:t>
      </w:r>
      <w:r w:rsidRPr="004607BB">
        <w:rPr>
          <w:rFonts w:ascii="Times New Roman" w:hAnsi="Times New Roman" w:cs="Times New Roman"/>
          <w:sz w:val="24"/>
          <w:szCs w:val="24"/>
        </w:rPr>
        <w:t>LMT</w:t>
      </w:r>
      <w:r w:rsidRPr="004607BB">
        <w:rPr>
          <w:rFonts w:ascii="Times New Roman" w:hAnsi="Times New Roman" w:cs="Times New Roman"/>
          <w:b/>
          <w:sz w:val="24"/>
          <w:szCs w:val="24"/>
        </w:rPr>
        <w:t xml:space="preserve"> (6% -146 tūkst. eurų), </w:t>
      </w:r>
      <w:r w:rsidRPr="004607BB">
        <w:rPr>
          <w:rFonts w:ascii="Times New Roman" w:hAnsi="Times New Roman" w:cs="Times New Roman"/>
          <w:sz w:val="24"/>
          <w:szCs w:val="24"/>
        </w:rPr>
        <w:t>taip pat</w:t>
      </w:r>
      <w:r w:rsidRPr="004607BB">
        <w:rPr>
          <w:rFonts w:ascii="Times New Roman" w:hAnsi="Times New Roman" w:cs="Times New Roman"/>
          <w:b/>
          <w:sz w:val="24"/>
          <w:szCs w:val="24"/>
        </w:rPr>
        <w:t xml:space="preserve"> </w:t>
      </w:r>
      <w:r w:rsidRPr="004607BB">
        <w:rPr>
          <w:rFonts w:ascii="Times New Roman" w:hAnsi="Times New Roman" w:cs="Times New Roman"/>
          <w:sz w:val="24"/>
          <w:szCs w:val="24"/>
        </w:rPr>
        <w:t>užsienio ūkio subjektų MTEP užsakymų (</w:t>
      </w:r>
      <w:r w:rsidRPr="004607BB">
        <w:rPr>
          <w:rFonts w:ascii="Times New Roman" w:hAnsi="Times New Roman" w:cs="Times New Roman"/>
          <w:b/>
          <w:sz w:val="24"/>
          <w:szCs w:val="24"/>
        </w:rPr>
        <w:t>4% - tai tik 2 tūkst. eurų)</w:t>
      </w:r>
      <w:r w:rsidRPr="004607BB">
        <w:rPr>
          <w:rFonts w:ascii="Times New Roman" w:hAnsi="Times New Roman" w:cs="Times New Roman"/>
          <w:sz w:val="24"/>
          <w:szCs w:val="24"/>
        </w:rPr>
        <w:t xml:space="preserve"> ir visai </w:t>
      </w:r>
      <w:r w:rsidRPr="004607BB">
        <w:rPr>
          <w:rFonts w:ascii="Times New Roman" w:hAnsi="Times New Roman" w:cs="Times New Roman"/>
          <w:b/>
          <w:sz w:val="24"/>
          <w:szCs w:val="24"/>
        </w:rPr>
        <w:t>nedalyvauja tarptautinėse MTEP programose bei negauna Lietuvos ūkio subjektų užsakymų</w:t>
      </w:r>
      <w:r w:rsidRPr="004607BB">
        <w:rPr>
          <w:rFonts w:ascii="Times New Roman" w:hAnsi="Times New Roman" w:cs="Times New Roman"/>
          <w:sz w:val="24"/>
          <w:szCs w:val="24"/>
        </w:rPr>
        <w:t>.</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lastRenderedPageBreak/>
        <w:t xml:space="preserve">LKI – trečias pagal dydį H mokslų srities institutas (subsidija – </w:t>
      </w:r>
      <w:r w:rsidRPr="004607BB">
        <w:rPr>
          <w:rFonts w:ascii="Times New Roman" w:hAnsi="Times New Roman" w:cs="Times New Roman"/>
          <w:sz w:val="24"/>
          <w:szCs w:val="24"/>
          <w:lang w:val="en-US"/>
        </w:rPr>
        <w:t xml:space="preserve">653 </w:t>
      </w:r>
      <w:r w:rsidRPr="004607BB">
        <w:rPr>
          <w:rFonts w:ascii="Times New Roman" w:hAnsi="Times New Roman" w:cs="Times New Roman"/>
          <w:sz w:val="24"/>
          <w:szCs w:val="24"/>
        </w:rPr>
        <w:t xml:space="preserve">tūkst. eurų; LMT – </w:t>
      </w:r>
      <w:r w:rsidRPr="004607BB">
        <w:rPr>
          <w:rFonts w:ascii="Times New Roman" w:hAnsi="Times New Roman" w:cs="Times New Roman"/>
          <w:sz w:val="24"/>
          <w:szCs w:val="24"/>
          <w:lang w:val="en-US"/>
        </w:rPr>
        <w:t>146 t</w:t>
      </w:r>
      <w:r w:rsidRPr="004607BB">
        <w:rPr>
          <w:rFonts w:ascii="Times New Roman" w:hAnsi="Times New Roman" w:cs="Times New Roman"/>
          <w:sz w:val="24"/>
          <w:szCs w:val="24"/>
        </w:rPr>
        <w:t xml:space="preserve">ūkst. eurų; kiti šaltiniai – </w:t>
      </w:r>
      <w:r w:rsidRPr="004607BB">
        <w:rPr>
          <w:rFonts w:ascii="Times New Roman" w:hAnsi="Times New Roman" w:cs="Times New Roman"/>
          <w:sz w:val="24"/>
          <w:szCs w:val="24"/>
          <w:lang w:val="en-US"/>
        </w:rPr>
        <w:t xml:space="preserve">30 </w:t>
      </w:r>
      <w:r w:rsidRPr="004607BB">
        <w:rPr>
          <w:rFonts w:ascii="Times New Roman" w:hAnsi="Times New Roman" w:cs="Times New Roman"/>
          <w:sz w:val="24"/>
          <w:szCs w:val="24"/>
        </w:rPr>
        <w:t>tūkst. eurų).</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LKTI</w:t>
      </w:r>
    </w:p>
    <w:p w:rsidR="009527B6" w:rsidRPr="004607BB" w:rsidRDefault="009527B6" w:rsidP="009527B6">
      <w:pPr>
        <w:jc w:val="both"/>
        <w:rPr>
          <w:rFonts w:ascii="Times New Roman" w:hAnsi="Times New Roman" w:cs="Times New Roman"/>
          <w:b/>
          <w:sz w:val="24"/>
          <w:szCs w:val="24"/>
          <w:u w:val="single"/>
        </w:rPr>
      </w:pPr>
      <w:r w:rsidRPr="004607BB">
        <w:rPr>
          <w:rFonts w:ascii="Times New Roman" w:hAnsi="Times New Roman" w:cs="Times New Roman"/>
          <w:sz w:val="24"/>
          <w:szCs w:val="24"/>
        </w:rPr>
        <w:t xml:space="preserve">Gauna apie </w:t>
      </w:r>
      <w:r w:rsidRPr="004607BB">
        <w:rPr>
          <w:rFonts w:ascii="Times New Roman" w:hAnsi="Times New Roman" w:cs="Times New Roman"/>
          <w:b/>
          <w:sz w:val="24"/>
          <w:szCs w:val="24"/>
        </w:rPr>
        <w:t>8%</w:t>
      </w:r>
      <w:r w:rsidRPr="004607BB">
        <w:rPr>
          <w:rFonts w:ascii="Times New Roman" w:hAnsi="Times New Roman" w:cs="Times New Roman"/>
          <w:sz w:val="24"/>
          <w:szCs w:val="24"/>
        </w:rPr>
        <w:t xml:space="preserve"> valstybės biudžeto lėšų, skiriamų humanitariniams mokslams per subsidiją, </w:t>
      </w:r>
      <w:r w:rsidRPr="004607BB">
        <w:rPr>
          <w:rFonts w:ascii="Times New Roman" w:hAnsi="Times New Roman" w:cs="Times New Roman"/>
          <w:b/>
          <w:sz w:val="24"/>
          <w:szCs w:val="24"/>
        </w:rPr>
        <w:t xml:space="preserve">7% - </w:t>
      </w:r>
      <w:r w:rsidRPr="004607BB">
        <w:rPr>
          <w:rFonts w:ascii="Times New Roman" w:hAnsi="Times New Roman" w:cs="Times New Roman"/>
          <w:sz w:val="24"/>
          <w:szCs w:val="24"/>
        </w:rPr>
        <w:t>per LMT</w:t>
      </w:r>
      <w:r w:rsidRPr="004607BB">
        <w:rPr>
          <w:rFonts w:ascii="Times New Roman" w:hAnsi="Times New Roman" w:cs="Times New Roman"/>
          <w:b/>
          <w:sz w:val="24"/>
          <w:szCs w:val="24"/>
        </w:rPr>
        <w:t xml:space="preserve">, </w:t>
      </w:r>
      <w:r w:rsidRPr="004607BB">
        <w:rPr>
          <w:rFonts w:ascii="Times New Roman" w:hAnsi="Times New Roman" w:cs="Times New Roman"/>
          <w:sz w:val="24"/>
          <w:szCs w:val="24"/>
        </w:rPr>
        <w:t xml:space="preserve">bet tik </w:t>
      </w:r>
      <w:r w:rsidRPr="004607BB">
        <w:rPr>
          <w:rFonts w:ascii="Times New Roman" w:hAnsi="Times New Roman" w:cs="Times New Roman"/>
          <w:b/>
          <w:sz w:val="24"/>
          <w:szCs w:val="24"/>
        </w:rPr>
        <w:t>2% (4 tūkst. eurų)</w:t>
      </w:r>
      <w:r w:rsidRPr="004607BB">
        <w:rPr>
          <w:rFonts w:ascii="Times New Roman" w:hAnsi="Times New Roman" w:cs="Times New Roman"/>
          <w:sz w:val="24"/>
          <w:szCs w:val="24"/>
        </w:rPr>
        <w:t xml:space="preserve"> iš valstybės ir savivaldybių įstaigų šios srities lėšų MTEP užsakymų lėšų. </w:t>
      </w:r>
      <w:r w:rsidRPr="004607BB">
        <w:rPr>
          <w:rFonts w:ascii="Times New Roman" w:hAnsi="Times New Roman" w:cs="Times New Roman"/>
          <w:b/>
          <w:sz w:val="24"/>
          <w:szCs w:val="24"/>
          <w:u w:val="single"/>
        </w:rPr>
        <w:t>Institutas negauna nei Lietuvos, nei užsienio ūkio subjektų MTEP užsakymų bei tarptautinių MTEP programų lėšų.</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LKTI – mažiausias pagal dydį H mokslų srities institutas (subsidija – 545 tūkst. eurų; LMT – 173 tūkst. eurų; kiti šaltiniai – 4 tūkst. eurų).</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LSTC</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Gaudamas apie </w:t>
      </w:r>
      <w:r w:rsidRPr="004607BB">
        <w:rPr>
          <w:rFonts w:ascii="Times New Roman" w:hAnsi="Times New Roman" w:cs="Times New Roman"/>
          <w:b/>
          <w:sz w:val="24"/>
          <w:szCs w:val="24"/>
        </w:rPr>
        <w:t>5%</w:t>
      </w:r>
      <w:r w:rsidRPr="004607BB">
        <w:rPr>
          <w:rFonts w:ascii="Times New Roman" w:hAnsi="Times New Roman" w:cs="Times New Roman"/>
          <w:sz w:val="24"/>
          <w:szCs w:val="24"/>
        </w:rPr>
        <w:t xml:space="preserve"> valstybės biudžeto lėšų, skiriamų socialiniams mokslams per subsidiją, gauna didesnę – </w:t>
      </w:r>
      <w:r w:rsidRPr="004607BB">
        <w:rPr>
          <w:rFonts w:ascii="Times New Roman" w:hAnsi="Times New Roman" w:cs="Times New Roman"/>
          <w:b/>
          <w:sz w:val="24"/>
          <w:szCs w:val="24"/>
        </w:rPr>
        <w:t xml:space="preserve">12% </w:t>
      </w:r>
      <w:r w:rsidRPr="004607BB">
        <w:rPr>
          <w:rFonts w:ascii="Times New Roman" w:hAnsi="Times New Roman" w:cs="Times New Roman"/>
          <w:sz w:val="24"/>
          <w:szCs w:val="24"/>
        </w:rPr>
        <w:t xml:space="preserve">šios mokslų srities lėšų per LMT dalį, </w:t>
      </w:r>
      <w:r w:rsidRPr="004607BB">
        <w:rPr>
          <w:rFonts w:ascii="Times New Roman" w:hAnsi="Times New Roman" w:cs="Times New Roman"/>
          <w:b/>
          <w:sz w:val="24"/>
          <w:szCs w:val="24"/>
        </w:rPr>
        <w:t>24%</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(tai tik 7 tūkst. eurų)</w:t>
      </w:r>
      <w:r w:rsidRPr="004607BB">
        <w:rPr>
          <w:rFonts w:ascii="Times New Roman" w:hAnsi="Times New Roman" w:cs="Times New Roman"/>
          <w:sz w:val="24"/>
          <w:szCs w:val="24"/>
        </w:rPr>
        <w:t xml:space="preserve"> – Lietuvos ūkio subjektų MTEP užsakymų, </w:t>
      </w:r>
      <w:r w:rsidRPr="004607BB">
        <w:rPr>
          <w:rFonts w:ascii="Times New Roman" w:hAnsi="Times New Roman" w:cs="Times New Roman"/>
          <w:b/>
          <w:sz w:val="24"/>
          <w:szCs w:val="24"/>
        </w:rPr>
        <w:t xml:space="preserve">84% (tai tik 5 tūkst. eurų) </w:t>
      </w:r>
      <w:r w:rsidRPr="004607BB">
        <w:rPr>
          <w:rFonts w:ascii="Times New Roman" w:hAnsi="Times New Roman" w:cs="Times New Roman"/>
          <w:sz w:val="24"/>
          <w:szCs w:val="24"/>
        </w:rPr>
        <w:t xml:space="preserve"> – užsienio ūkio subjektų MTEP užsakymų, </w:t>
      </w:r>
      <w:r w:rsidRPr="004607BB">
        <w:rPr>
          <w:rFonts w:ascii="Times New Roman" w:hAnsi="Times New Roman" w:cs="Times New Roman"/>
          <w:b/>
          <w:sz w:val="24"/>
          <w:szCs w:val="24"/>
        </w:rPr>
        <w:t>4% (12 tūkst. eurų)</w:t>
      </w:r>
      <w:r w:rsidRPr="004607BB">
        <w:rPr>
          <w:rFonts w:ascii="Times New Roman" w:hAnsi="Times New Roman" w:cs="Times New Roman"/>
          <w:sz w:val="24"/>
          <w:szCs w:val="24"/>
        </w:rPr>
        <w:t xml:space="preserve"> – valstybės ir savivaldybių įstaigų MTEP užsakymų lėšų, </w:t>
      </w:r>
      <w:r w:rsidRPr="004607BB">
        <w:rPr>
          <w:rFonts w:ascii="Times New Roman" w:hAnsi="Times New Roman" w:cs="Times New Roman"/>
          <w:b/>
          <w:sz w:val="24"/>
          <w:szCs w:val="24"/>
        </w:rPr>
        <w:t>5% (30 tūkst. eurų)</w:t>
      </w:r>
      <w:r w:rsidRPr="004607BB">
        <w:rPr>
          <w:rFonts w:ascii="Times New Roman" w:hAnsi="Times New Roman" w:cs="Times New Roman"/>
          <w:sz w:val="24"/>
          <w:szCs w:val="24"/>
        </w:rPr>
        <w:t xml:space="preserve"> – tarptautinių MTEP programų lėšų.</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LSTC – vienas iš  nedidelių S mokslų srities institutų (subsidija – 307 tūkst. eurų; LMT – 302 tūkst. eurų; kiti šaltiniai – 54 tūkst. eurų).</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LAEI</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Gauna apie </w:t>
      </w:r>
      <w:r w:rsidRPr="004607BB">
        <w:rPr>
          <w:rFonts w:ascii="Times New Roman" w:hAnsi="Times New Roman" w:cs="Times New Roman"/>
          <w:b/>
          <w:sz w:val="24"/>
          <w:szCs w:val="24"/>
        </w:rPr>
        <w:t>5%</w:t>
      </w:r>
      <w:r w:rsidRPr="004607BB">
        <w:rPr>
          <w:rFonts w:ascii="Times New Roman" w:hAnsi="Times New Roman" w:cs="Times New Roman"/>
          <w:sz w:val="24"/>
          <w:szCs w:val="24"/>
        </w:rPr>
        <w:t xml:space="preserve"> valstybės biudžeto lėšų, skiriamų socialiniams mokslams per subsidiją, bet per LMT laimi tik 1</w:t>
      </w:r>
      <w:r w:rsidRPr="004607BB">
        <w:rPr>
          <w:rFonts w:ascii="Times New Roman" w:hAnsi="Times New Roman" w:cs="Times New Roman"/>
          <w:b/>
          <w:sz w:val="24"/>
          <w:szCs w:val="24"/>
        </w:rPr>
        <w:t xml:space="preserve">% </w:t>
      </w:r>
      <w:r w:rsidRPr="004607BB">
        <w:rPr>
          <w:rFonts w:ascii="Times New Roman" w:hAnsi="Times New Roman" w:cs="Times New Roman"/>
          <w:sz w:val="24"/>
          <w:szCs w:val="24"/>
        </w:rPr>
        <w:t>šios mokslų srities lėšų, gauna</w:t>
      </w:r>
      <w:r w:rsidRPr="004607BB">
        <w:rPr>
          <w:rFonts w:ascii="Times New Roman" w:hAnsi="Times New Roman" w:cs="Times New Roman"/>
          <w:b/>
          <w:sz w:val="24"/>
          <w:szCs w:val="24"/>
        </w:rPr>
        <w:t xml:space="preserve"> 24% (64 tūkst. eurų)</w:t>
      </w:r>
      <w:r w:rsidRPr="004607BB">
        <w:rPr>
          <w:rFonts w:ascii="Times New Roman" w:hAnsi="Times New Roman" w:cs="Times New Roman"/>
          <w:sz w:val="24"/>
          <w:szCs w:val="24"/>
        </w:rPr>
        <w:t xml:space="preserve"> valstybės ir savivaldybių įstaigų MTEP užsakymų lėšų, </w:t>
      </w:r>
      <w:r w:rsidRPr="004607BB">
        <w:rPr>
          <w:rFonts w:ascii="Times New Roman" w:hAnsi="Times New Roman" w:cs="Times New Roman"/>
          <w:b/>
          <w:sz w:val="24"/>
          <w:szCs w:val="24"/>
        </w:rPr>
        <w:t>12% (tai tik 3 tūkst. eurų)</w:t>
      </w:r>
      <w:r w:rsidRPr="004607BB">
        <w:rPr>
          <w:rFonts w:ascii="Times New Roman" w:hAnsi="Times New Roman" w:cs="Times New Roman"/>
          <w:sz w:val="24"/>
          <w:szCs w:val="24"/>
        </w:rPr>
        <w:t xml:space="preserve"> – Lietuvos ūkio subjektų MTEP užsakymų, </w:t>
      </w:r>
      <w:r w:rsidRPr="004607BB">
        <w:rPr>
          <w:rFonts w:ascii="Times New Roman" w:hAnsi="Times New Roman" w:cs="Times New Roman"/>
          <w:b/>
          <w:sz w:val="24"/>
          <w:szCs w:val="24"/>
        </w:rPr>
        <w:t>10%</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(tai tik 1 tūkst. eurų)</w:t>
      </w:r>
      <w:r w:rsidRPr="004607BB">
        <w:rPr>
          <w:rFonts w:ascii="Times New Roman" w:hAnsi="Times New Roman" w:cs="Times New Roman"/>
          <w:sz w:val="24"/>
          <w:szCs w:val="24"/>
        </w:rPr>
        <w:t xml:space="preserve"> – užsienio ūkio subjektų MTEP užsakymų, </w:t>
      </w:r>
      <w:r w:rsidRPr="004607BB">
        <w:rPr>
          <w:rFonts w:ascii="Times New Roman" w:hAnsi="Times New Roman" w:cs="Times New Roman"/>
          <w:b/>
          <w:sz w:val="24"/>
          <w:szCs w:val="24"/>
        </w:rPr>
        <w:t xml:space="preserve"> 15% (86 tūkst. eurų)</w:t>
      </w:r>
      <w:r w:rsidRPr="004607BB">
        <w:rPr>
          <w:rFonts w:ascii="Times New Roman" w:hAnsi="Times New Roman" w:cs="Times New Roman"/>
          <w:sz w:val="24"/>
          <w:szCs w:val="24"/>
        </w:rPr>
        <w:t xml:space="preserve"> – tarptautinių MTEP programų lėšų.</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LAEI – nedidelis S mokslų srities institutas), pritraukiantis MTEP lėšų iš kitų šaltinių (subsidija – 272 tūkst. eurų; LMT – 33 tūkst. eurų; kiti šaltiniai – 154 tūkst. eurų).</w:t>
      </w:r>
    </w:p>
    <w:p w:rsidR="009527B6" w:rsidRPr="004607BB" w:rsidRDefault="009527B6" w:rsidP="009527B6">
      <w:pPr>
        <w:jc w:val="both"/>
        <w:rPr>
          <w:rFonts w:ascii="Times New Roman" w:hAnsi="Times New Roman" w:cs="Times New Roman"/>
          <w:b/>
          <w:sz w:val="24"/>
          <w:szCs w:val="24"/>
        </w:rPr>
      </w:pPr>
      <w:r w:rsidRPr="004607BB">
        <w:rPr>
          <w:rFonts w:ascii="Times New Roman" w:hAnsi="Times New Roman" w:cs="Times New Roman"/>
          <w:b/>
          <w:sz w:val="24"/>
          <w:szCs w:val="24"/>
        </w:rPr>
        <w:t>LTI</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 xml:space="preserve">Gauna apie </w:t>
      </w:r>
      <w:r w:rsidRPr="004607BB">
        <w:rPr>
          <w:rFonts w:ascii="Times New Roman" w:hAnsi="Times New Roman" w:cs="Times New Roman"/>
          <w:b/>
          <w:sz w:val="24"/>
          <w:szCs w:val="24"/>
        </w:rPr>
        <w:t>4%</w:t>
      </w:r>
      <w:r w:rsidRPr="004607BB">
        <w:rPr>
          <w:rFonts w:ascii="Times New Roman" w:hAnsi="Times New Roman" w:cs="Times New Roman"/>
          <w:sz w:val="24"/>
          <w:szCs w:val="24"/>
        </w:rPr>
        <w:t xml:space="preserve"> valstybės biudžeto lėšų, skiriamų socialiniams mokslams per subsidiją, </w:t>
      </w:r>
      <w:r w:rsidRPr="004607BB">
        <w:rPr>
          <w:rFonts w:ascii="Times New Roman" w:hAnsi="Times New Roman" w:cs="Times New Roman"/>
          <w:b/>
          <w:sz w:val="24"/>
          <w:szCs w:val="24"/>
        </w:rPr>
        <w:t>6% (17 tūkst. eurų)</w:t>
      </w:r>
      <w:r w:rsidRPr="004607BB">
        <w:rPr>
          <w:rFonts w:ascii="Times New Roman" w:hAnsi="Times New Roman" w:cs="Times New Roman"/>
          <w:sz w:val="24"/>
          <w:szCs w:val="24"/>
        </w:rPr>
        <w:t xml:space="preserve"> – valstybės ir savivaldybių įstaigų MTEP užsakymų lėšų, </w:t>
      </w:r>
      <w:r w:rsidRPr="004607BB">
        <w:rPr>
          <w:rFonts w:ascii="Times New Roman" w:hAnsi="Times New Roman" w:cs="Times New Roman"/>
          <w:b/>
          <w:sz w:val="24"/>
          <w:szCs w:val="24"/>
        </w:rPr>
        <w:t>3% (tai tik 1</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tūkst. eurų)</w:t>
      </w:r>
      <w:r w:rsidRPr="004607BB">
        <w:rPr>
          <w:rFonts w:ascii="Times New Roman" w:hAnsi="Times New Roman" w:cs="Times New Roman"/>
          <w:sz w:val="24"/>
          <w:szCs w:val="24"/>
        </w:rPr>
        <w:t xml:space="preserve"> – Lietuvos ūkio subjektų MTEP užsakymų, </w:t>
      </w:r>
      <w:r w:rsidRPr="004607BB">
        <w:rPr>
          <w:rFonts w:ascii="Times New Roman" w:hAnsi="Times New Roman" w:cs="Times New Roman"/>
          <w:b/>
          <w:sz w:val="24"/>
          <w:szCs w:val="24"/>
        </w:rPr>
        <w:t>6%</w:t>
      </w:r>
      <w:r w:rsidRPr="004607BB">
        <w:rPr>
          <w:rFonts w:ascii="Times New Roman" w:hAnsi="Times New Roman" w:cs="Times New Roman"/>
          <w:sz w:val="24"/>
          <w:szCs w:val="24"/>
        </w:rPr>
        <w:t xml:space="preserve"> </w:t>
      </w:r>
      <w:r w:rsidRPr="004607BB">
        <w:rPr>
          <w:rFonts w:ascii="Times New Roman" w:hAnsi="Times New Roman" w:cs="Times New Roman"/>
          <w:b/>
          <w:sz w:val="24"/>
          <w:szCs w:val="24"/>
        </w:rPr>
        <w:t>(35 tūkst. eurų)</w:t>
      </w:r>
      <w:r w:rsidRPr="004607BB">
        <w:rPr>
          <w:rFonts w:ascii="Times New Roman" w:hAnsi="Times New Roman" w:cs="Times New Roman"/>
          <w:sz w:val="24"/>
          <w:szCs w:val="24"/>
        </w:rPr>
        <w:t xml:space="preserve"> – tarptautinių MTEP programų lėšų, </w:t>
      </w:r>
      <w:r w:rsidRPr="004607BB">
        <w:rPr>
          <w:rFonts w:ascii="Times New Roman" w:hAnsi="Times New Roman" w:cs="Times New Roman"/>
          <w:b/>
          <w:sz w:val="24"/>
          <w:szCs w:val="24"/>
          <w:u w:val="single"/>
        </w:rPr>
        <w:t>negauna užsienio ūkio subjektų MTEP užsakymų</w:t>
      </w:r>
      <w:r w:rsidRPr="004607BB">
        <w:rPr>
          <w:rFonts w:ascii="Times New Roman" w:hAnsi="Times New Roman" w:cs="Times New Roman"/>
          <w:sz w:val="24"/>
          <w:szCs w:val="24"/>
        </w:rPr>
        <w:t xml:space="preserve">. </w:t>
      </w:r>
    </w:p>
    <w:p w:rsidR="009527B6" w:rsidRPr="004607BB" w:rsidRDefault="009527B6" w:rsidP="009527B6">
      <w:pPr>
        <w:jc w:val="both"/>
        <w:rPr>
          <w:rFonts w:ascii="Times New Roman" w:hAnsi="Times New Roman" w:cs="Times New Roman"/>
          <w:sz w:val="24"/>
          <w:szCs w:val="24"/>
        </w:rPr>
      </w:pPr>
      <w:r w:rsidRPr="004607BB">
        <w:rPr>
          <w:rFonts w:ascii="Times New Roman" w:hAnsi="Times New Roman" w:cs="Times New Roman"/>
          <w:sz w:val="24"/>
          <w:szCs w:val="24"/>
        </w:rPr>
        <w:t>LTI – mažiausias institutas Lietuvoje (subsidija – 237 tūkst. eurų; LMT – 5 tūkst. eurų; kiti šaltiniai – 52 tūkst. eurų).</w:t>
      </w:r>
    </w:p>
    <w:p w:rsidR="009527B6" w:rsidRPr="004607BB" w:rsidRDefault="009527B6" w:rsidP="009527B6">
      <w:pPr>
        <w:jc w:val="both"/>
        <w:rPr>
          <w:rFonts w:ascii="Times New Roman" w:hAnsi="Times New Roman" w:cs="Times New Roman"/>
          <w:b/>
          <w:sz w:val="24"/>
          <w:szCs w:val="24"/>
        </w:rPr>
      </w:pPr>
    </w:p>
    <w:p w:rsidR="009527B6" w:rsidRPr="004607BB" w:rsidRDefault="009527B6" w:rsidP="009527B6">
      <w:pPr>
        <w:pStyle w:val="Sraopastraipa"/>
        <w:ind w:left="0"/>
        <w:jc w:val="both"/>
      </w:pPr>
    </w:p>
    <w:p w:rsidR="009527B6" w:rsidRPr="004607BB" w:rsidRDefault="009527B6" w:rsidP="009527B6">
      <w:pPr>
        <w:pStyle w:val="Sraopastraipa"/>
        <w:ind w:left="0"/>
        <w:jc w:val="both"/>
      </w:pPr>
    </w:p>
    <w:p w:rsidR="009527B6" w:rsidRPr="004607BB" w:rsidRDefault="009527B6" w:rsidP="009527B6">
      <w:pPr>
        <w:pStyle w:val="Sraopastraipa"/>
        <w:ind w:left="0"/>
        <w:jc w:val="both"/>
      </w:pPr>
    </w:p>
    <w:p w:rsidR="008E4A09" w:rsidRDefault="008E4A09"/>
    <w:sectPr w:rsidR="008E4A09" w:rsidSect="00345825">
      <w:headerReference w:type="default" r:id="rId14"/>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7E3" w:rsidRDefault="003217E3" w:rsidP="00345825">
      <w:pPr>
        <w:spacing w:after="0" w:line="240" w:lineRule="auto"/>
      </w:pPr>
      <w:r>
        <w:separator/>
      </w:r>
    </w:p>
  </w:endnote>
  <w:endnote w:type="continuationSeparator" w:id="0">
    <w:p w:rsidR="003217E3" w:rsidRDefault="003217E3" w:rsidP="0034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7E3" w:rsidRDefault="003217E3" w:rsidP="00345825">
      <w:pPr>
        <w:spacing w:after="0" w:line="240" w:lineRule="auto"/>
      </w:pPr>
      <w:r>
        <w:separator/>
      </w:r>
    </w:p>
  </w:footnote>
  <w:footnote w:type="continuationSeparator" w:id="0">
    <w:p w:rsidR="003217E3" w:rsidRDefault="003217E3" w:rsidP="00345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209149"/>
      <w:docPartObj>
        <w:docPartGallery w:val="Page Numbers (Top of Page)"/>
        <w:docPartUnique/>
      </w:docPartObj>
    </w:sdtPr>
    <w:sdtEndPr/>
    <w:sdtContent>
      <w:p w:rsidR="00345825" w:rsidRDefault="00345825">
        <w:pPr>
          <w:pStyle w:val="Antrats"/>
          <w:jc w:val="center"/>
        </w:pPr>
        <w:r>
          <w:fldChar w:fldCharType="begin"/>
        </w:r>
        <w:r>
          <w:instrText>PAGE   \* MERGEFORMAT</w:instrText>
        </w:r>
        <w:r>
          <w:fldChar w:fldCharType="separate"/>
        </w:r>
        <w:r w:rsidR="00D1242C">
          <w:rPr>
            <w:noProof/>
          </w:rPr>
          <w:t>8</w:t>
        </w:r>
        <w:r>
          <w:fldChar w:fldCharType="end"/>
        </w:r>
      </w:p>
    </w:sdtContent>
  </w:sdt>
  <w:p w:rsidR="00345825" w:rsidRDefault="003458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92955"/>
    <w:multiLevelType w:val="hybridMultilevel"/>
    <w:tmpl w:val="D228C6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D70A91"/>
    <w:multiLevelType w:val="hybridMultilevel"/>
    <w:tmpl w:val="1BB8A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E422C4"/>
    <w:multiLevelType w:val="hybridMultilevel"/>
    <w:tmpl w:val="D85A9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3FD1FA3"/>
    <w:multiLevelType w:val="hybridMultilevel"/>
    <w:tmpl w:val="BF5EF0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52550E1"/>
    <w:multiLevelType w:val="hybridMultilevel"/>
    <w:tmpl w:val="3E7C66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383446"/>
    <w:multiLevelType w:val="hybridMultilevel"/>
    <w:tmpl w:val="3E4EB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C0F43B9"/>
    <w:multiLevelType w:val="hybridMultilevel"/>
    <w:tmpl w:val="9F365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B6"/>
    <w:rsid w:val="001218A5"/>
    <w:rsid w:val="003217E3"/>
    <w:rsid w:val="00345825"/>
    <w:rsid w:val="008E4A09"/>
    <w:rsid w:val="009527B6"/>
    <w:rsid w:val="00A6237F"/>
    <w:rsid w:val="00D124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EEAEB-6D5D-4DFD-A812-3BEA1CD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27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527B6"/>
    <w:pPr>
      <w:spacing w:after="0" w:line="240" w:lineRule="auto"/>
      <w:ind w:left="720"/>
      <w:contextualSpacing/>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3458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5825"/>
  </w:style>
  <w:style w:type="paragraph" w:styleId="Porat">
    <w:name w:val="footer"/>
    <w:basedOn w:val="prastasis"/>
    <w:link w:val="PoratDiagrama"/>
    <w:uiPriority w:val="99"/>
    <w:unhideWhenUsed/>
    <w:rsid w:val="003458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5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mm\Documents\alza\2018\02%2007%20InstitutuFinA.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darbalapis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darbalapis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darbalapis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darbalapis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darbalapis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darbalapis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Institut</a:t>
            </a:r>
            <a:r>
              <a:rPr lang="lt-LT"/>
              <a:t>ų</a:t>
            </a:r>
            <a:r>
              <a:rPr lang="lt-LT" baseline="0"/>
              <a:t> MTEP finansavimas pagal šaltinius, tūkst.eurų</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'[02 07 InstitutuFinA.xlsx]Lapas2'!$B$1</c:f>
              <c:strCache>
                <c:ptCount val="1"/>
                <c:pt idx="0">
                  <c:v>VB</c:v>
                </c:pt>
              </c:strCache>
            </c:strRef>
          </c:tx>
          <c:spPr>
            <a:solidFill>
              <a:schemeClr val="accent1"/>
            </a:solidFill>
            <a:ln>
              <a:noFill/>
            </a:ln>
            <a:effectLst/>
          </c:spPr>
          <c:invertIfNegative val="0"/>
          <c:cat>
            <c:strRef>
              <c:f>'[02 07 InstitutuFinA.xlsx]Lapas2'!$A$2:$A$14</c:f>
              <c:strCache>
                <c:ptCount val="13"/>
                <c:pt idx="0">
                  <c:v>FTMC</c:v>
                </c:pt>
                <c:pt idx="1">
                  <c:v>GTC</c:v>
                </c:pt>
                <c:pt idx="2">
                  <c:v>LEI</c:v>
                </c:pt>
                <c:pt idx="3">
                  <c:v>LAMMC</c:v>
                </c:pt>
                <c:pt idx="4">
                  <c:v>NVI</c:v>
                </c:pt>
                <c:pt idx="5">
                  <c:v>IMC</c:v>
                </c:pt>
                <c:pt idx="6">
                  <c:v>LII</c:v>
                </c:pt>
                <c:pt idx="7">
                  <c:v>LKI</c:v>
                </c:pt>
                <c:pt idx="8">
                  <c:v>LKTI</c:v>
                </c:pt>
                <c:pt idx="9">
                  <c:v>LLTI</c:v>
                </c:pt>
                <c:pt idx="10">
                  <c:v>LSTC</c:v>
                </c:pt>
                <c:pt idx="11">
                  <c:v>LAEI</c:v>
                </c:pt>
                <c:pt idx="12">
                  <c:v>LTI</c:v>
                </c:pt>
              </c:strCache>
            </c:strRef>
          </c:cat>
          <c:val>
            <c:numRef>
              <c:f>'[02 07 InstitutuFinA.xlsx]Lapas2'!$B$2:$B$14</c:f>
              <c:numCache>
                <c:formatCode>0</c:formatCode>
                <c:ptCount val="13"/>
                <c:pt idx="0">
                  <c:v>4461</c:v>
                </c:pt>
                <c:pt idx="1">
                  <c:v>2008</c:v>
                </c:pt>
                <c:pt idx="2">
                  <c:v>1578</c:v>
                </c:pt>
                <c:pt idx="3">
                  <c:v>1765</c:v>
                </c:pt>
                <c:pt idx="4">
                  <c:v>466</c:v>
                </c:pt>
                <c:pt idx="5">
                  <c:v>445</c:v>
                </c:pt>
                <c:pt idx="6">
                  <c:v>1004</c:v>
                </c:pt>
                <c:pt idx="7">
                  <c:v>653</c:v>
                </c:pt>
                <c:pt idx="8">
                  <c:v>545</c:v>
                </c:pt>
                <c:pt idx="9">
                  <c:v>683</c:v>
                </c:pt>
                <c:pt idx="10">
                  <c:v>306</c:v>
                </c:pt>
                <c:pt idx="11">
                  <c:v>272</c:v>
                </c:pt>
                <c:pt idx="12">
                  <c:v>237</c:v>
                </c:pt>
              </c:numCache>
            </c:numRef>
          </c:val>
        </c:ser>
        <c:ser>
          <c:idx val="1"/>
          <c:order val="1"/>
          <c:tx>
            <c:strRef>
              <c:f>'[02 07 InstitutuFinA.xlsx]Lapas2'!$C$1</c:f>
              <c:strCache>
                <c:ptCount val="1"/>
                <c:pt idx="0">
                  <c:v>LMT</c:v>
                </c:pt>
              </c:strCache>
            </c:strRef>
          </c:tx>
          <c:spPr>
            <a:solidFill>
              <a:schemeClr val="accent2"/>
            </a:solidFill>
            <a:ln>
              <a:noFill/>
            </a:ln>
            <a:effectLst/>
          </c:spPr>
          <c:invertIfNegative val="0"/>
          <c:cat>
            <c:strRef>
              <c:f>'[02 07 InstitutuFinA.xlsx]Lapas2'!$A$2:$A$14</c:f>
              <c:strCache>
                <c:ptCount val="13"/>
                <c:pt idx="0">
                  <c:v>FTMC</c:v>
                </c:pt>
                <c:pt idx="1">
                  <c:v>GTC</c:v>
                </c:pt>
                <c:pt idx="2">
                  <c:v>LEI</c:v>
                </c:pt>
                <c:pt idx="3">
                  <c:v>LAMMC</c:v>
                </c:pt>
                <c:pt idx="4">
                  <c:v>NVI</c:v>
                </c:pt>
                <c:pt idx="5">
                  <c:v>IMC</c:v>
                </c:pt>
                <c:pt idx="6">
                  <c:v>LII</c:v>
                </c:pt>
                <c:pt idx="7">
                  <c:v>LKI</c:v>
                </c:pt>
                <c:pt idx="8">
                  <c:v>LKTI</c:v>
                </c:pt>
                <c:pt idx="9">
                  <c:v>LLTI</c:v>
                </c:pt>
                <c:pt idx="10">
                  <c:v>LSTC</c:v>
                </c:pt>
                <c:pt idx="11">
                  <c:v>LAEI</c:v>
                </c:pt>
                <c:pt idx="12">
                  <c:v>LTI</c:v>
                </c:pt>
              </c:strCache>
            </c:strRef>
          </c:cat>
          <c:val>
            <c:numRef>
              <c:f>'[02 07 InstitutuFinA.xlsx]Lapas2'!$C$2:$C$14</c:f>
              <c:numCache>
                <c:formatCode>0</c:formatCode>
                <c:ptCount val="13"/>
                <c:pt idx="0">
                  <c:v>1353.9813799999999</c:v>
                </c:pt>
                <c:pt idx="1">
                  <c:v>543.61513000000002</c:v>
                </c:pt>
                <c:pt idx="2">
                  <c:v>223.69902999999999</c:v>
                </c:pt>
                <c:pt idx="3">
                  <c:v>508.74984000000001</c:v>
                </c:pt>
                <c:pt idx="4">
                  <c:v>130.22040999999999</c:v>
                </c:pt>
                <c:pt idx="5">
                  <c:v>187.43100000000001</c:v>
                </c:pt>
                <c:pt idx="6">
                  <c:v>405.91698000000002</c:v>
                </c:pt>
                <c:pt idx="7">
                  <c:v>145.86082999999999</c:v>
                </c:pt>
                <c:pt idx="8">
                  <c:v>172.75326999999999</c:v>
                </c:pt>
                <c:pt idx="9">
                  <c:v>292.48885000000001</c:v>
                </c:pt>
                <c:pt idx="10">
                  <c:v>301.87367999999998</c:v>
                </c:pt>
                <c:pt idx="11">
                  <c:v>33.223520000000001</c:v>
                </c:pt>
                <c:pt idx="12">
                  <c:v>5.0302499999999997</c:v>
                </c:pt>
              </c:numCache>
            </c:numRef>
          </c:val>
        </c:ser>
        <c:ser>
          <c:idx val="2"/>
          <c:order val="2"/>
          <c:tx>
            <c:strRef>
              <c:f>'[02 07 InstitutuFinA.xlsx]Lapas2'!$D$1</c:f>
              <c:strCache>
                <c:ptCount val="1"/>
                <c:pt idx="0">
                  <c:v>KITA</c:v>
                </c:pt>
              </c:strCache>
            </c:strRef>
          </c:tx>
          <c:spPr>
            <a:solidFill>
              <a:schemeClr val="accent3"/>
            </a:solidFill>
            <a:ln>
              <a:noFill/>
            </a:ln>
            <a:effectLst/>
          </c:spPr>
          <c:invertIfNegative val="0"/>
          <c:cat>
            <c:strRef>
              <c:f>'[02 07 InstitutuFinA.xlsx]Lapas2'!$A$2:$A$14</c:f>
              <c:strCache>
                <c:ptCount val="13"/>
                <c:pt idx="0">
                  <c:v>FTMC</c:v>
                </c:pt>
                <c:pt idx="1">
                  <c:v>GTC</c:v>
                </c:pt>
                <c:pt idx="2">
                  <c:v>LEI</c:v>
                </c:pt>
                <c:pt idx="3">
                  <c:v>LAMMC</c:v>
                </c:pt>
                <c:pt idx="4">
                  <c:v>NVI</c:v>
                </c:pt>
                <c:pt idx="5">
                  <c:v>IMC</c:v>
                </c:pt>
                <c:pt idx="6">
                  <c:v>LII</c:v>
                </c:pt>
                <c:pt idx="7">
                  <c:v>LKI</c:v>
                </c:pt>
                <c:pt idx="8">
                  <c:v>LKTI</c:v>
                </c:pt>
                <c:pt idx="9">
                  <c:v>LLTI</c:v>
                </c:pt>
                <c:pt idx="10">
                  <c:v>LSTC</c:v>
                </c:pt>
                <c:pt idx="11">
                  <c:v>LAEI</c:v>
                </c:pt>
                <c:pt idx="12">
                  <c:v>LTI</c:v>
                </c:pt>
              </c:strCache>
            </c:strRef>
          </c:cat>
          <c:val>
            <c:numRef>
              <c:f>'[02 07 InstitutuFinA.xlsx]Lapas2'!$D$2:$D$14</c:f>
              <c:numCache>
                <c:formatCode>0</c:formatCode>
                <c:ptCount val="13"/>
                <c:pt idx="0">
                  <c:v>1180.8525623169601</c:v>
                </c:pt>
                <c:pt idx="1">
                  <c:v>334.48074700000006</c:v>
                </c:pt>
                <c:pt idx="2">
                  <c:v>591.83003003892497</c:v>
                </c:pt>
                <c:pt idx="3">
                  <c:v>133.42536999999999</c:v>
                </c:pt>
                <c:pt idx="4">
                  <c:v>178.74019000000001</c:v>
                </c:pt>
                <c:pt idx="5">
                  <c:v>30.872543</c:v>
                </c:pt>
                <c:pt idx="6">
                  <c:v>42.279353999999998</c:v>
                </c:pt>
                <c:pt idx="7">
                  <c:v>29.647438000000001</c:v>
                </c:pt>
                <c:pt idx="8">
                  <c:v>3.522745</c:v>
                </c:pt>
                <c:pt idx="9">
                  <c:v>0</c:v>
                </c:pt>
                <c:pt idx="10">
                  <c:v>53.801231999999999</c:v>
                </c:pt>
                <c:pt idx="11">
                  <c:v>153.95864</c:v>
                </c:pt>
                <c:pt idx="12">
                  <c:v>52.103800000000007</c:v>
                </c:pt>
              </c:numCache>
            </c:numRef>
          </c:val>
        </c:ser>
        <c:dLbls>
          <c:showLegendKey val="0"/>
          <c:showVal val="0"/>
          <c:showCatName val="0"/>
          <c:showSerName val="0"/>
          <c:showPercent val="0"/>
          <c:showBubbleSize val="0"/>
        </c:dLbls>
        <c:gapWidth val="219"/>
        <c:overlap val="-27"/>
        <c:axId val="229333848"/>
        <c:axId val="229334240"/>
      </c:barChart>
      <c:catAx>
        <c:axId val="229333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29334240"/>
        <c:crosses val="autoZero"/>
        <c:auto val="1"/>
        <c:lblAlgn val="ctr"/>
        <c:lblOffset val="100"/>
        <c:noMultiLvlLbl val="0"/>
      </c:catAx>
      <c:valAx>
        <c:axId val="229334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293338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Lėšos pagal šaltinius,</a:t>
            </a:r>
            <a:r>
              <a:rPr lang="lt-LT" baseline="0"/>
              <a:t> pagrindinė sritis, tūkst. Eur</a:t>
            </a:r>
            <a:endParaRPr lang="lt-LT"/>
          </a:p>
        </c:rich>
      </c:tx>
      <c:layout>
        <c:manualLayout>
          <c:xMode val="edge"/>
          <c:yMode val="edge"/>
          <c:x val="0.11248600174978128"/>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v>VB</c:v>
          </c:tx>
          <c:spPr>
            <a:solidFill>
              <a:schemeClr val="accent1"/>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Lapas1!$D$2:$D$7</c:f>
              <c:numCache>
                <c:formatCode>0</c:formatCode>
                <c:ptCount val="6"/>
                <c:pt idx="0">
                  <c:v>3189.6750000000002</c:v>
                </c:pt>
                <c:pt idx="1">
                  <c:v>1660.9190000000001</c:v>
                </c:pt>
                <c:pt idx="2">
                  <c:v>1446.1759999999999</c:v>
                </c:pt>
                <c:pt idx="3">
                  <c:v>1629.789</c:v>
                </c:pt>
                <c:pt idx="4">
                  <c:v>406.33800000000002</c:v>
                </c:pt>
                <c:pt idx="5">
                  <c:v>445</c:v>
                </c:pt>
              </c:numCache>
            </c:numRef>
          </c:val>
        </c:ser>
        <c:ser>
          <c:idx val="1"/>
          <c:order val="1"/>
          <c:tx>
            <c:v>LMT</c:v>
          </c:tx>
          <c:spPr>
            <a:solidFill>
              <a:schemeClr val="accent2"/>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Lapas1!$F$2:$F$7</c:f>
              <c:numCache>
                <c:formatCode>0</c:formatCode>
                <c:ptCount val="6"/>
                <c:pt idx="0">
                  <c:v>968.186492500486</c:v>
                </c:pt>
                <c:pt idx="1">
                  <c:v>449.58629999999999</c:v>
                </c:pt>
                <c:pt idx="2">
                  <c:v>204.99199999999999</c:v>
                </c:pt>
                <c:pt idx="3">
                  <c:v>469.8766</c:v>
                </c:pt>
                <c:pt idx="4">
                  <c:v>113.5273</c:v>
                </c:pt>
                <c:pt idx="5">
                  <c:v>187.43100000000001</c:v>
                </c:pt>
              </c:numCache>
            </c:numRef>
          </c:val>
        </c:ser>
        <c:ser>
          <c:idx val="2"/>
          <c:order val="2"/>
          <c:tx>
            <c:v>Valst ir saviv įst</c:v>
          </c:tx>
          <c:spPr>
            <a:solidFill>
              <a:schemeClr val="accent3"/>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Lapas1!$H$2:$H$7</c:f>
              <c:numCache>
                <c:formatCode>0</c:formatCode>
                <c:ptCount val="6"/>
                <c:pt idx="0">
                  <c:v>14.9979</c:v>
                </c:pt>
                <c:pt idx="1">
                  <c:v>213.86580000000001</c:v>
                </c:pt>
                <c:pt idx="2">
                  <c:v>23.597859746679024</c:v>
                </c:pt>
                <c:pt idx="3">
                  <c:v>91.658569999999997</c:v>
                </c:pt>
                <c:pt idx="4">
                  <c:v>0</c:v>
                </c:pt>
                <c:pt idx="5">
                  <c:v>5.1552360000000004</c:v>
                </c:pt>
              </c:numCache>
            </c:numRef>
          </c:val>
        </c:ser>
        <c:ser>
          <c:idx val="3"/>
          <c:order val="3"/>
          <c:tx>
            <c:v>Liet ūkio subj</c:v>
          </c:tx>
          <c:spPr>
            <a:solidFill>
              <a:schemeClr val="accent4"/>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Lapas1!$J$2:$J$7</c:f>
              <c:numCache>
                <c:formatCode>0</c:formatCode>
                <c:ptCount val="6"/>
                <c:pt idx="0">
                  <c:v>22.509260000000001</c:v>
                </c:pt>
                <c:pt idx="1">
                  <c:v>18.68404</c:v>
                </c:pt>
                <c:pt idx="2">
                  <c:v>91.142482545566892</c:v>
                </c:pt>
                <c:pt idx="3">
                  <c:v>40.766800000000003</c:v>
                </c:pt>
                <c:pt idx="4">
                  <c:v>41.059809999999999</c:v>
                </c:pt>
                <c:pt idx="5">
                  <c:v>24.20064</c:v>
                </c:pt>
              </c:numCache>
            </c:numRef>
          </c:val>
        </c:ser>
        <c:ser>
          <c:idx val="4"/>
          <c:order val="4"/>
          <c:tx>
            <c:v>Užs ūkio subj</c:v>
          </c:tx>
          <c:spPr>
            <a:solidFill>
              <a:schemeClr val="accent5"/>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Lapas1!$L$2:$L$7</c:f>
              <c:numCache>
                <c:formatCode>0</c:formatCode>
                <c:ptCount val="6"/>
                <c:pt idx="0">
                  <c:v>58.7776</c:v>
                </c:pt>
                <c:pt idx="1">
                  <c:v>2</c:v>
                </c:pt>
                <c:pt idx="2">
                  <c:v>212.02985974667899</c:v>
                </c:pt>
                <c:pt idx="3">
                  <c:v>0</c:v>
                </c:pt>
                <c:pt idx="4">
                  <c:v>78.473709999999997</c:v>
                </c:pt>
                <c:pt idx="5">
                  <c:v>0</c:v>
                </c:pt>
              </c:numCache>
            </c:numRef>
          </c:val>
        </c:ser>
        <c:ser>
          <c:idx val="5"/>
          <c:order val="5"/>
          <c:tx>
            <c:v>Tarpt MTEP progr</c:v>
          </c:tx>
          <c:spPr>
            <a:solidFill>
              <a:schemeClr val="accent6"/>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Lapas1!$N$2:$N$7</c:f>
              <c:numCache>
                <c:formatCode>0</c:formatCode>
                <c:ptCount val="6"/>
                <c:pt idx="0">
                  <c:v>372.81330000000003</c:v>
                </c:pt>
                <c:pt idx="1">
                  <c:v>38.67</c:v>
                </c:pt>
                <c:pt idx="2">
                  <c:v>208.52670000000001</c:v>
                </c:pt>
                <c:pt idx="3">
                  <c:v>1</c:v>
                </c:pt>
                <c:pt idx="4">
                  <c:v>40.406669999999998</c:v>
                </c:pt>
                <c:pt idx="5">
                  <c:v>1.516667</c:v>
                </c:pt>
              </c:numCache>
            </c:numRef>
          </c:val>
        </c:ser>
        <c:dLbls>
          <c:showLegendKey val="0"/>
          <c:showVal val="0"/>
          <c:showCatName val="0"/>
          <c:showSerName val="0"/>
          <c:showPercent val="0"/>
          <c:showBubbleSize val="0"/>
        </c:dLbls>
        <c:gapWidth val="219"/>
        <c:overlap val="-27"/>
        <c:axId val="229335416"/>
        <c:axId val="229335808"/>
      </c:barChart>
      <c:catAx>
        <c:axId val="229335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29335808"/>
        <c:crosses val="autoZero"/>
        <c:auto val="1"/>
        <c:lblAlgn val="ctr"/>
        <c:lblOffset val="100"/>
        <c:noMultiLvlLbl val="0"/>
      </c:catAx>
      <c:valAx>
        <c:axId val="229335808"/>
        <c:scaling>
          <c:orientation val="minMax"/>
          <c:max val="32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293354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baseline="0">
                <a:effectLst/>
              </a:rPr>
              <a:t>Lėšos pagal šaltinius, gretutinė sritis, tūkst. Eur</a:t>
            </a:r>
            <a:endParaRPr lang="lt-LT"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v>VB</c:v>
          </c:tx>
          <c:spPr>
            <a:solidFill>
              <a:schemeClr val="accent1"/>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Lapas1!$E$2:$E$7</c:f>
              <c:numCache>
                <c:formatCode>0</c:formatCode>
                <c:ptCount val="6"/>
                <c:pt idx="0">
                  <c:v>1270.9949999999999</c:v>
                </c:pt>
                <c:pt idx="1">
                  <c:v>337.56319999999999</c:v>
                </c:pt>
                <c:pt idx="2">
                  <c:v>131.9744</c:v>
                </c:pt>
                <c:pt idx="3">
                  <c:v>90.134609999999995</c:v>
                </c:pt>
                <c:pt idx="4">
                  <c:v>44.206580000000002</c:v>
                </c:pt>
                <c:pt idx="5">
                  <c:v>0</c:v>
                </c:pt>
              </c:numCache>
            </c:numRef>
          </c:val>
        </c:ser>
        <c:ser>
          <c:idx val="1"/>
          <c:order val="1"/>
          <c:tx>
            <c:v>LMT</c:v>
          </c:tx>
          <c:spPr>
            <a:solidFill>
              <a:schemeClr val="accent2"/>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Lapas1!$G$2:$G$7</c:f>
              <c:numCache>
                <c:formatCode>0</c:formatCode>
                <c:ptCount val="6"/>
                <c:pt idx="0">
                  <c:v>385.79489999999998</c:v>
                </c:pt>
                <c:pt idx="1">
                  <c:v>91.373400000000004</c:v>
                </c:pt>
                <c:pt idx="2">
                  <c:v>18.707049999999999</c:v>
                </c:pt>
                <c:pt idx="3">
                  <c:v>25.986270000000001</c:v>
                </c:pt>
                <c:pt idx="4">
                  <c:v>12.35093</c:v>
                </c:pt>
                <c:pt idx="5">
                  <c:v>0</c:v>
                </c:pt>
              </c:numCache>
            </c:numRef>
          </c:val>
        </c:ser>
        <c:ser>
          <c:idx val="2"/>
          <c:order val="2"/>
          <c:tx>
            <c:v>Valst ir saviv įst</c:v>
          </c:tx>
          <c:spPr>
            <a:solidFill>
              <a:schemeClr val="accent3"/>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Lapas1!$I$2:$I$7</c:f>
              <c:numCache>
                <c:formatCode>0</c:formatCode>
                <c:ptCount val="6"/>
                <c:pt idx="0">
                  <c:v>7.0416280506641948</c:v>
                </c:pt>
                <c:pt idx="1">
                  <c:v>13.23644</c:v>
                </c:pt>
                <c:pt idx="2">
                  <c:v>14.20007</c:v>
                </c:pt>
                <c:pt idx="3">
                  <c:v>0</c:v>
                </c:pt>
                <c:pt idx="4">
                  <c:v>0</c:v>
                </c:pt>
                <c:pt idx="5">
                  <c:v>0</c:v>
                </c:pt>
              </c:numCache>
            </c:numRef>
          </c:val>
        </c:ser>
        <c:ser>
          <c:idx val="3"/>
          <c:order val="3"/>
          <c:tx>
            <c:v>Liet ūkio subj</c:v>
          </c:tx>
          <c:spPr>
            <a:solidFill>
              <a:schemeClr val="accent4"/>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Lapas1!$K$2:$K$7</c:f>
              <c:numCache>
                <c:formatCode>0</c:formatCode>
                <c:ptCount val="6"/>
                <c:pt idx="0">
                  <c:v>273.59954093296261</c:v>
                </c:pt>
                <c:pt idx="1">
                  <c:v>7.6111370000000003</c:v>
                </c:pt>
                <c:pt idx="2">
                  <c:v>2.2397279999999999</c:v>
                </c:pt>
                <c:pt idx="3">
                  <c:v>0</c:v>
                </c:pt>
                <c:pt idx="4">
                  <c:v>0</c:v>
                </c:pt>
                <c:pt idx="5">
                  <c:v>0</c:v>
                </c:pt>
              </c:numCache>
            </c:numRef>
          </c:val>
        </c:ser>
        <c:ser>
          <c:idx val="4"/>
          <c:order val="4"/>
          <c:tx>
            <c:v>Užs ūkio subj</c:v>
          </c:tx>
          <c:spPr>
            <a:solidFill>
              <a:schemeClr val="accent5"/>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Lapas1!$M$2:$M$7</c:f>
              <c:numCache>
                <c:formatCode>0</c:formatCode>
                <c:ptCount val="6"/>
                <c:pt idx="0">
                  <c:v>161.90333333333334</c:v>
                </c:pt>
                <c:pt idx="1">
                  <c:v>0</c:v>
                </c:pt>
                <c:pt idx="2">
                  <c:v>0</c:v>
                </c:pt>
                <c:pt idx="3">
                  <c:v>0</c:v>
                </c:pt>
                <c:pt idx="4">
                  <c:v>0</c:v>
                </c:pt>
                <c:pt idx="5">
                  <c:v>0</c:v>
                </c:pt>
              </c:numCache>
            </c:numRef>
          </c:val>
        </c:ser>
        <c:ser>
          <c:idx val="5"/>
          <c:order val="5"/>
          <c:tx>
            <c:v>Tarpt MTEP progr</c:v>
          </c:tx>
          <c:spPr>
            <a:solidFill>
              <a:schemeClr val="accent6"/>
            </a:solidFill>
            <a:ln>
              <a:noFill/>
            </a:ln>
            <a:effectLst/>
          </c:spPr>
          <c:invertIfNegative val="0"/>
          <c:cat>
            <c:strRef>
              <c:f>Lapas1!$C$2:$C$7</c:f>
              <c:strCache>
                <c:ptCount val="6"/>
                <c:pt idx="0">
                  <c:v>FTMC</c:v>
                </c:pt>
                <c:pt idx="1">
                  <c:v>GTC</c:v>
                </c:pt>
                <c:pt idx="2">
                  <c:v>LEI</c:v>
                </c:pt>
                <c:pt idx="3">
                  <c:v>LAMMC</c:v>
                </c:pt>
                <c:pt idx="4">
                  <c:v>NVI</c:v>
                </c:pt>
                <c:pt idx="5">
                  <c:v>IMC</c:v>
                </c:pt>
              </c:strCache>
            </c:strRef>
          </c:cat>
          <c:val>
            <c:numRef>
              <c:f>Lapas1!$O$2:$O$7</c:f>
              <c:numCache>
                <c:formatCode>0</c:formatCode>
                <c:ptCount val="6"/>
                <c:pt idx="0">
                  <c:v>269.20999999999998</c:v>
                </c:pt>
                <c:pt idx="1">
                  <c:v>40.413330000000002</c:v>
                </c:pt>
                <c:pt idx="2">
                  <c:v>40.093330000000002</c:v>
                </c:pt>
                <c:pt idx="3">
                  <c:v>0</c:v>
                </c:pt>
                <c:pt idx="4">
                  <c:v>0</c:v>
                </c:pt>
                <c:pt idx="5">
                  <c:v>0</c:v>
                </c:pt>
              </c:numCache>
            </c:numRef>
          </c:val>
        </c:ser>
        <c:dLbls>
          <c:showLegendKey val="0"/>
          <c:showVal val="0"/>
          <c:showCatName val="0"/>
          <c:showSerName val="0"/>
          <c:showPercent val="0"/>
          <c:showBubbleSize val="0"/>
        </c:dLbls>
        <c:gapWidth val="219"/>
        <c:overlap val="-27"/>
        <c:axId val="137858648"/>
        <c:axId val="137859040"/>
      </c:barChart>
      <c:catAx>
        <c:axId val="137858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7859040"/>
        <c:crosses val="autoZero"/>
        <c:auto val="1"/>
        <c:lblAlgn val="ctr"/>
        <c:lblOffset val="100"/>
        <c:noMultiLvlLbl val="0"/>
      </c:catAx>
      <c:valAx>
        <c:axId val="137859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78586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rPr>
              <a:t>Instituto gaunam</a:t>
            </a:r>
            <a:r>
              <a:rPr lang="lt-LT" sz="1400" b="0" i="0" baseline="0">
                <a:effectLst/>
              </a:rPr>
              <a:t>ų lėšų dalis, proc. nuo </a:t>
            </a:r>
            <a:r>
              <a:rPr lang="lt-LT" sz="1400" b="0" i="0" u="sng" baseline="0">
                <a:effectLst/>
              </a:rPr>
              <a:t>pagrindinei</a:t>
            </a:r>
            <a:r>
              <a:rPr lang="lt-LT" sz="1400" b="0" i="0" baseline="0">
                <a:effectLst/>
              </a:rPr>
              <a:t> mokslo sričiai tenkančių lėšų </a:t>
            </a:r>
            <a:endParaRPr lang="lt-LT"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v>vb</c:v>
          </c:tx>
          <c:spPr>
            <a:solidFill>
              <a:schemeClr val="accent1"/>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Lapas2!$E$4:$E$9</c:f>
              <c:numCache>
                <c:formatCode>0</c:formatCode>
                <c:ptCount val="6"/>
                <c:pt idx="0">
                  <c:v>24.811</c:v>
                </c:pt>
                <c:pt idx="1">
                  <c:v>16.999549999999999</c:v>
                </c:pt>
                <c:pt idx="2">
                  <c:v>13.391970000000001</c:v>
                </c:pt>
                <c:pt idx="3">
                  <c:v>52.822969999999998</c:v>
                </c:pt>
                <c:pt idx="4">
                  <c:v>4.1588799999999999</c:v>
                </c:pt>
                <c:pt idx="5">
                  <c:v>4.5572850000000003</c:v>
                </c:pt>
              </c:numCache>
            </c:numRef>
          </c:val>
        </c:ser>
        <c:ser>
          <c:idx val="1"/>
          <c:order val="1"/>
          <c:tx>
            <c:v>lmt</c:v>
          </c:tx>
          <c:spPr>
            <a:solidFill>
              <a:schemeClr val="accent2"/>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Lapas2!$G$4:$G$9</c:f>
              <c:numCache>
                <c:formatCode>0</c:formatCode>
                <c:ptCount val="6"/>
                <c:pt idx="0">
                  <c:v>39.302714575296839</c:v>
                </c:pt>
                <c:pt idx="1">
                  <c:v>11.850199999999999</c:v>
                </c:pt>
                <c:pt idx="2">
                  <c:v>9.8880543917806474</c:v>
                </c:pt>
                <c:pt idx="3">
                  <c:v>44.107379999999999</c:v>
                </c:pt>
                <c:pt idx="4">
                  <c:v>2.992353</c:v>
                </c:pt>
                <c:pt idx="5">
                  <c:v>4.9403082540094037</c:v>
                </c:pt>
              </c:numCache>
            </c:numRef>
          </c:val>
        </c:ser>
        <c:ser>
          <c:idx val="2"/>
          <c:order val="2"/>
          <c:tx>
            <c:v>Valstybės ir savivaldybių įstaigos</c:v>
          </c:tx>
          <c:spPr>
            <a:solidFill>
              <a:schemeClr val="accent3"/>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Lapas2!$I$4:$I$9</c:f>
              <c:numCache>
                <c:formatCode>0</c:formatCode>
                <c:ptCount val="6"/>
                <c:pt idx="0">
                  <c:v>25.593959999999999</c:v>
                </c:pt>
                <c:pt idx="1">
                  <c:v>66.426190000000005</c:v>
                </c:pt>
                <c:pt idx="2">
                  <c:v>5.0805540000000002</c:v>
                </c:pt>
                <c:pt idx="3">
                  <c:v>32.840490000000003</c:v>
                </c:pt>
                <c:pt idx="4">
                  <c:v>0</c:v>
                </c:pt>
                <c:pt idx="5">
                  <c:v>1.6012040000000001</c:v>
                </c:pt>
              </c:numCache>
            </c:numRef>
          </c:val>
        </c:ser>
        <c:ser>
          <c:idx val="3"/>
          <c:order val="3"/>
          <c:tx>
            <c:v>Lietuvos ūkio subjektai</c:v>
          </c:tx>
          <c:spPr>
            <a:solidFill>
              <a:schemeClr val="accent4"/>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Lapas2!$K$4:$K$9</c:f>
              <c:numCache>
                <c:formatCode>0</c:formatCode>
                <c:ptCount val="6"/>
                <c:pt idx="0">
                  <c:v>19.574300000000001</c:v>
                </c:pt>
                <c:pt idx="1">
                  <c:v>14.471069999999999</c:v>
                </c:pt>
                <c:pt idx="2">
                  <c:v>9.8972250000000006</c:v>
                </c:pt>
                <c:pt idx="3">
                  <c:v>60.984520000000003</c:v>
                </c:pt>
                <c:pt idx="4">
                  <c:v>31.80142</c:v>
                </c:pt>
                <c:pt idx="5">
                  <c:v>18.743749999999999</c:v>
                </c:pt>
              </c:numCache>
            </c:numRef>
          </c:val>
        </c:ser>
        <c:ser>
          <c:idx val="4"/>
          <c:order val="4"/>
          <c:tx>
            <c:v>Užsienio ūkio subjektai</c:v>
          </c:tx>
          <c:spPr>
            <a:solidFill>
              <a:schemeClr val="accent5"/>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Lapas2!$M$4:$M$9</c:f>
              <c:numCache>
                <c:formatCode>0</c:formatCode>
                <c:ptCount val="6"/>
                <c:pt idx="0">
                  <c:v>11.14005</c:v>
                </c:pt>
                <c:pt idx="1">
                  <c:v>1.753609</c:v>
                </c:pt>
                <c:pt idx="2">
                  <c:v>36.888240000000003</c:v>
                </c:pt>
                <c:pt idx="3">
                  <c:v>0</c:v>
                </c:pt>
                <c:pt idx="4">
                  <c:v>68.806120000000007</c:v>
                </c:pt>
                <c:pt idx="5">
                  <c:v>0</c:v>
                </c:pt>
              </c:numCache>
            </c:numRef>
          </c:val>
        </c:ser>
        <c:ser>
          <c:idx val="5"/>
          <c:order val="5"/>
          <c:tx>
            <c:v>Tarptautinės MTEP programos</c:v>
          </c:tx>
          <c:spPr>
            <a:solidFill>
              <a:schemeClr val="accent6"/>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Lapas2!$O$4:$O$9</c:f>
              <c:numCache>
                <c:formatCode>0</c:formatCode>
                <c:ptCount val="6"/>
                <c:pt idx="0">
                  <c:v>28.81</c:v>
                </c:pt>
                <c:pt idx="1">
                  <c:v>4.92</c:v>
                </c:pt>
                <c:pt idx="2">
                  <c:v>10.3</c:v>
                </c:pt>
                <c:pt idx="3">
                  <c:v>1.7</c:v>
                </c:pt>
                <c:pt idx="4">
                  <c:v>5.14</c:v>
                </c:pt>
                <c:pt idx="5">
                  <c:v>0.19</c:v>
                </c:pt>
              </c:numCache>
            </c:numRef>
          </c:val>
        </c:ser>
        <c:dLbls>
          <c:showLegendKey val="0"/>
          <c:showVal val="0"/>
          <c:showCatName val="0"/>
          <c:showSerName val="0"/>
          <c:showPercent val="0"/>
          <c:showBubbleSize val="0"/>
        </c:dLbls>
        <c:gapWidth val="219"/>
        <c:overlap val="-27"/>
        <c:axId val="275577264"/>
        <c:axId val="275577656"/>
      </c:barChart>
      <c:catAx>
        <c:axId val="27557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577656"/>
        <c:crosses val="autoZero"/>
        <c:auto val="1"/>
        <c:lblAlgn val="ctr"/>
        <c:lblOffset val="100"/>
        <c:noMultiLvlLbl val="0"/>
      </c:catAx>
      <c:valAx>
        <c:axId val="275577656"/>
        <c:scaling>
          <c:orientation val="minMax"/>
          <c:max val="7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577264"/>
        <c:crosses val="autoZero"/>
        <c:crossBetween val="between"/>
        <c:majorUnit val="1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rPr>
              <a:t>Instituto gaunam</a:t>
            </a:r>
            <a:r>
              <a:rPr lang="lt-LT" sz="1400" b="0" i="0" baseline="0">
                <a:effectLst/>
              </a:rPr>
              <a:t>ų lėšų dalis, proc. nuo </a:t>
            </a:r>
            <a:r>
              <a:rPr lang="lt-LT" sz="1400" b="0" i="0" u="sng" baseline="0">
                <a:effectLst/>
              </a:rPr>
              <a:t>gretutinei </a:t>
            </a:r>
            <a:r>
              <a:rPr lang="lt-LT" sz="1400" b="0" i="0" baseline="0">
                <a:effectLst/>
              </a:rPr>
              <a:t>mokslo sričiai tenkančių lėšų </a:t>
            </a:r>
            <a:endParaRPr lang="lt-LT"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v>VB</c:v>
          </c:tx>
          <c:spPr>
            <a:solidFill>
              <a:schemeClr val="accent1"/>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Lapas2!$F$4:$F$9</c:f>
              <c:numCache>
                <c:formatCode>0</c:formatCode>
                <c:ptCount val="6"/>
                <c:pt idx="0">
                  <c:v>11.76975</c:v>
                </c:pt>
                <c:pt idx="1">
                  <c:v>2.6257760000000001</c:v>
                </c:pt>
                <c:pt idx="2">
                  <c:v>2.3330000000000002</c:v>
                </c:pt>
                <c:pt idx="3">
                  <c:v>0.92252999999999996</c:v>
                </c:pt>
                <c:pt idx="4">
                  <c:v>0.343866</c:v>
                </c:pt>
                <c:pt idx="5">
                  <c:v>0</c:v>
                </c:pt>
              </c:numCache>
            </c:numRef>
          </c:val>
        </c:ser>
        <c:ser>
          <c:idx val="1"/>
          <c:order val="1"/>
          <c:tx>
            <c:v>LMT</c:v>
          </c:tx>
          <c:spPr>
            <a:solidFill>
              <a:schemeClr val="accent2"/>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Lapas2!$H$4:$H$9</c:f>
              <c:numCache>
                <c:formatCode>0</c:formatCode>
                <c:ptCount val="6"/>
                <c:pt idx="0">
                  <c:v>18.609317178695193</c:v>
                </c:pt>
                <c:pt idx="1">
                  <c:v>3.7092260000000001</c:v>
                </c:pt>
                <c:pt idx="2">
                  <c:v>0.7273035015980619</c:v>
                </c:pt>
                <c:pt idx="3">
                  <c:v>0.68494600000000005</c:v>
                </c:pt>
                <c:pt idx="4">
                  <c:v>0.50137600000000004</c:v>
                </c:pt>
                <c:pt idx="5">
                  <c:v>0</c:v>
                </c:pt>
              </c:numCache>
            </c:numRef>
          </c:val>
        </c:ser>
        <c:ser>
          <c:idx val="2"/>
          <c:order val="2"/>
          <c:tx>
            <c:v>Valstybės ir savivaldybių įstaigos</c:v>
          </c:tx>
          <c:spPr>
            <a:solidFill>
              <a:schemeClr val="accent3"/>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Lapas2!$J$4:$J$9</c:f>
              <c:numCache>
                <c:formatCode>0</c:formatCode>
                <c:ptCount val="6"/>
                <c:pt idx="0">
                  <c:v>1.516</c:v>
                </c:pt>
                <c:pt idx="1">
                  <c:v>22.589079999999999</c:v>
                </c:pt>
                <c:pt idx="2">
                  <c:v>5.2322430000000004</c:v>
                </c:pt>
                <c:pt idx="3">
                  <c:v>0</c:v>
                </c:pt>
                <c:pt idx="4">
                  <c:v>0</c:v>
                </c:pt>
                <c:pt idx="5">
                  <c:v>0</c:v>
                </c:pt>
              </c:numCache>
            </c:numRef>
          </c:val>
        </c:ser>
        <c:ser>
          <c:idx val="3"/>
          <c:order val="3"/>
          <c:tx>
            <c:v>Lietuvos ūkio subjektai</c:v>
          </c:tx>
          <c:spPr>
            <a:solidFill>
              <a:schemeClr val="accent4"/>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Lapas2!$L$4:$L$9</c:f>
              <c:numCache>
                <c:formatCode>0</c:formatCode>
                <c:ptCount val="6"/>
                <c:pt idx="0">
                  <c:v>29.710360000000001</c:v>
                </c:pt>
                <c:pt idx="1">
                  <c:v>6.6187259999999997</c:v>
                </c:pt>
                <c:pt idx="2">
                  <c:v>7.6411300000000004</c:v>
                </c:pt>
                <c:pt idx="3">
                  <c:v>0</c:v>
                </c:pt>
                <c:pt idx="4">
                  <c:v>0</c:v>
                </c:pt>
                <c:pt idx="5">
                  <c:v>0</c:v>
                </c:pt>
              </c:numCache>
            </c:numRef>
          </c:val>
        </c:ser>
        <c:ser>
          <c:idx val="4"/>
          <c:order val="4"/>
          <c:tx>
            <c:v>Užsienio ūkio subjektai</c:v>
          </c:tx>
          <c:spPr>
            <a:solidFill>
              <a:schemeClr val="accent5"/>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Lapas2!$N$4:$N$9</c:f>
              <c:numCache>
                <c:formatCode>0</c:formatCode>
                <c:ptCount val="6"/>
                <c:pt idx="0">
                  <c:v>28.167390000000001</c:v>
                </c:pt>
                <c:pt idx="1">
                  <c:v>0</c:v>
                </c:pt>
                <c:pt idx="2">
                  <c:v>0</c:v>
                </c:pt>
                <c:pt idx="3">
                  <c:v>0</c:v>
                </c:pt>
                <c:pt idx="4">
                  <c:v>0</c:v>
                </c:pt>
                <c:pt idx="5">
                  <c:v>0</c:v>
                </c:pt>
              </c:numCache>
            </c:numRef>
          </c:val>
        </c:ser>
        <c:ser>
          <c:idx val="5"/>
          <c:order val="5"/>
          <c:tx>
            <c:v>Tarptautinės MTEP programos</c:v>
          </c:tx>
          <c:spPr>
            <a:solidFill>
              <a:schemeClr val="accent6"/>
            </a:solidFill>
            <a:ln>
              <a:noFill/>
            </a:ln>
            <a:effectLst/>
          </c:spPr>
          <c:invertIfNegative val="0"/>
          <c:cat>
            <c:strRef>
              <c:f>Lapas2!$D$4:$D$9</c:f>
              <c:strCache>
                <c:ptCount val="6"/>
                <c:pt idx="0">
                  <c:v>FTMC</c:v>
                </c:pt>
                <c:pt idx="1">
                  <c:v>GTC</c:v>
                </c:pt>
                <c:pt idx="2">
                  <c:v>LEI</c:v>
                </c:pt>
                <c:pt idx="3">
                  <c:v>LAMMC</c:v>
                </c:pt>
                <c:pt idx="4">
                  <c:v>NVI</c:v>
                </c:pt>
                <c:pt idx="5">
                  <c:v>IMC</c:v>
                </c:pt>
              </c:strCache>
            </c:strRef>
          </c:cat>
          <c:val>
            <c:numRef>
              <c:f>Lapas2!$P$4:$P$9</c:f>
              <c:numCache>
                <c:formatCode>0</c:formatCode>
                <c:ptCount val="6"/>
                <c:pt idx="0">
                  <c:v>13.29</c:v>
                </c:pt>
                <c:pt idx="1">
                  <c:v>3.123326</c:v>
                </c:pt>
                <c:pt idx="2">
                  <c:v>7.1412459999999998</c:v>
                </c:pt>
                <c:pt idx="3">
                  <c:v>0</c:v>
                </c:pt>
                <c:pt idx="4">
                  <c:v>0</c:v>
                </c:pt>
                <c:pt idx="5">
                  <c:v>0</c:v>
                </c:pt>
              </c:numCache>
            </c:numRef>
          </c:val>
        </c:ser>
        <c:dLbls>
          <c:showLegendKey val="0"/>
          <c:showVal val="0"/>
          <c:showCatName val="0"/>
          <c:showSerName val="0"/>
          <c:showPercent val="0"/>
          <c:showBubbleSize val="0"/>
        </c:dLbls>
        <c:gapWidth val="219"/>
        <c:overlap val="-27"/>
        <c:axId val="275578832"/>
        <c:axId val="275579224"/>
      </c:barChart>
      <c:catAx>
        <c:axId val="27557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579224"/>
        <c:crosses val="autoZero"/>
        <c:auto val="1"/>
        <c:lblAlgn val="ctr"/>
        <c:lblOffset val="100"/>
        <c:noMultiLvlLbl val="0"/>
      </c:catAx>
      <c:valAx>
        <c:axId val="275579224"/>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5788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baseline="0">
                <a:effectLst/>
              </a:rPr>
              <a:t>Lėšos pagal šaltinius, pagrindinė sritis, tūkst. Eur</a:t>
            </a:r>
            <a:endParaRPr lang="lt-LT"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v>VB</c:v>
          </c:tx>
          <c:spPr>
            <a:solidFill>
              <a:schemeClr val="accent1"/>
            </a:solidFill>
            <a:ln>
              <a:noFill/>
            </a:ln>
            <a:effectLst/>
          </c:spPr>
          <c:invertIfNegative val="0"/>
          <c:cat>
            <c:strRef>
              <c:f>Lapas1!$C$8:$C$14</c:f>
              <c:strCache>
                <c:ptCount val="7"/>
                <c:pt idx="0">
                  <c:v>LII</c:v>
                </c:pt>
                <c:pt idx="1">
                  <c:v>LKI</c:v>
                </c:pt>
                <c:pt idx="2">
                  <c:v>LKTI</c:v>
                </c:pt>
                <c:pt idx="3">
                  <c:v>LLTI</c:v>
                </c:pt>
                <c:pt idx="4">
                  <c:v>LSTC</c:v>
                </c:pt>
                <c:pt idx="5">
                  <c:v>LAEI</c:v>
                </c:pt>
                <c:pt idx="6">
                  <c:v>LTI</c:v>
                </c:pt>
              </c:strCache>
            </c:strRef>
          </c:cat>
          <c:val>
            <c:numRef>
              <c:f>Lapas1!$D$8:$D$14</c:f>
              <c:numCache>
                <c:formatCode>0</c:formatCode>
                <c:ptCount val="7"/>
                <c:pt idx="0">
                  <c:v>1004</c:v>
                </c:pt>
                <c:pt idx="1">
                  <c:v>653</c:v>
                </c:pt>
                <c:pt idx="2">
                  <c:v>545</c:v>
                </c:pt>
                <c:pt idx="3">
                  <c:v>683</c:v>
                </c:pt>
                <c:pt idx="4">
                  <c:v>306</c:v>
                </c:pt>
                <c:pt idx="5">
                  <c:v>272</c:v>
                </c:pt>
                <c:pt idx="6">
                  <c:v>237</c:v>
                </c:pt>
              </c:numCache>
            </c:numRef>
          </c:val>
        </c:ser>
        <c:ser>
          <c:idx val="1"/>
          <c:order val="1"/>
          <c:tx>
            <c:v>LMT</c:v>
          </c:tx>
          <c:spPr>
            <a:solidFill>
              <a:schemeClr val="accent2"/>
            </a:solidFill>
            <a:ln>
              <a:noFill/>
            </a:ln>
            <a:effectLst/>
          </c:spPr>
          <c:invertIfNegative val="0"/>
          <c:cat>
            <c:strRef>
              <c:f>Lapas1!$C$8:$C$14</c:f>
              <c:strCache>
                <c:ptCount val="7"/>
                <c:pt idx="0">
                  <c:v>LII</c:v>
                </c:pt>
                <c:pt idx="1">
                  <c:v>LKI</c:v>
                </c:pt>
                <c:pt idx="2">
                  <c:v>LKTI</c:v>
                </c:pt>
                <c:pt idx="3">
                  <c:v>LLTI</c:v>
                </c:pt>
                <c:pt idx="4">
                  <c:v>LSTC</c:v>
                </c:pt>
                <c:pt idx="5">
                  <c:v>LAEI</c:v>
                </c:pt>
                <c:pt idx="6">
                  <c:v>LTI</c:v>
                </c:pt>
              </c:strCache>
            </c:strRef>
          </c:cat>
          <c:val>
            <c:numRef>
              <c:f>Lapas1!$F$8:$F$14</c:f>
              <c:numCache>
                <c:formatCode>0</c:formatCode>
                <c:ptCount val="7"/>
                <c:pt idx="0">
                  <c:v>405.91699999999997</c:v>
                </c:pt>
                <c:pt idx="1">
                  <c:v>145.86080000000001</c:v>
                </c:pt>
                <c:pt idx="2">
                  <c:v>172.7533</c:v>
                </c:pt>
                <c:pt idx="3">
                  <c:v>292.4889</c:v>
                </c:pt>
                <c:pt idx="4">
                  <c:v>301.87369999999999</c:v>
                </c:pt>
                <c:pt idx="5">
                  <c:v>33.223520000000001</c:v>
                </c:pt>
                <c:pt idx="6">
                  <c:v>5.0302499999999997</c:v>
                </c:pt>
              </c:numCache>
            </c:numRef>
          </c:val>
        </c:ser>
        <c:ser>
          <c:idx val="2"/>
          <c:order val="2"/>
          <c:tx>
            <c:v>Valst ir saviv įst</c:v>
          </c:tx>
          <c:spPr>
            <a:solidFill>
              <a:schemeClr val="accent3"/>
            </a:solidFill>
            <a:ln>
              <a:noFill/>
            </a:ln>
            <a:effectLst/>
          </c:spPr>
          <c:invertIfNegative val="0"/>
          <c:cat>
            <c:strRef>
              <c:f>Lapas1!$C$8:$C$14</c:f>
              <c:strCache>
                <c:ptCount val="7"/>
                <c:pt idx="0">
                  <c:v>LII</c:v>
                </c:pt>
                <c:pt idx="1">
                  <c:v>LKI</c:v>
                </c:pt>
                <c:pt idx="2">
                  <c:v>LKTI</c:v>
                </c:pt>
                <c:pt idx="3">
                  <c:v>LLTI</c:v>
                </c:pt>
                <c:pt idx="4">
                  <c:v>LSTC</c:v>
                </c:pt>
                <c:pt idx="5">
                  <c:v>LAEI</c:v>
                </c:pt>
                <c:pt idx="6">
                  <c:v>LTI</c:v>
                </c:pt>
              </c:strCache>
            </c:strRef>
          </c:cat>
          <c:val>
            <c:numRef>
              <c:f>Lapas1!$H$8:$H$14</c:f>
              <c:numCache>
                <c:formatCode>0</c:formatCode>
                <c:ptCount val="7"/>
                <c:pt idx="0">
                  <c:v>9.673</c:v>
                </c:pt>
                <c:pt idx="1">
                  <c:v>27.98695</c:v>
                </c:pt>
                <c:pt idx="2">
                  <c:v>3.522745</c:v>
                </c:pt>
                <c:pt idx="3">
                  <c:v>0</c:v>
                </c:pt>
                <c:pt idx="4">
                  <c:v>11.56453</c:v>
                </c:pt>
                <c:pt idx="5">
                  <c:v>64.015690000000006</c:v>
                </c:pt>
                <c:pt idx="6">
                  <c:v>16.66667</c:v>
                </c:pt>
              </c:numCache>
            </c:numRef>
          </c:val>
        </c:ser>
        <c:ser>
          <c:idx val="3"/>
          <c:order val="3"/>
          <c:tx>
            <c:v>Liet ūkio subj</c:v>
          </c:tx>
          <c:spPr>
            <a:solidFill>
              <a:schemeClr val="accent4"/>
            </a:solidFill>
            <a:ln>
              <a:noFill/>
            </a:ln>
            <a:effectLst/>
          </c:spPr>
          <c:invertIfNegative val="0"/>
          <c:cat>
            <c:strRef>
              <c:f>Lapas1!$C$8:$C$14</c:f>
              <c:strCache>
                <c:ptCount val="7"/>
                <c:pt idx="0">
                  <c:v>LII</c:v>
                </c:pt>
                <c:pt idx="1">
                  <c:v>LKI</c:v>
                </c:pt>
                <c:pt idx="2">
                  <c:v>LKTI</c:v>
                </c:pt>
                <c:pt idx="3">
                  <c:v>LLTI</c:v>
                </c:pt>
                <c:pt idx="4">
                  <c:v>LSTC</c:v>
                </c:pt>
                <c:pt idx="5">
                  <c:v>LAEI</c:v>
                </c:pt>
                <c:pt idx="6">
                  <c:v>LTI</c:v>
                </c:pt>
              </c:strCache>
            </c:strRef>
          </c:cat>
          <c:val>
            <c:numRef>
              <c:f>Lapas1!$J$8:$J$14</c:f>
              <c:numCache>
                <c:formatCode>0</c:formatCode>
                <c:ptCount val="7"/>
                <c:pt idx="0">
                  <c:v>8.8263540000000003</c:v>
                </c:pt>
                <c:pt idx="1">
                  <c:v>0</c:v>
                </c:pt>
                <c:pt idx="2">
                  <c:v>0</c:v>
                </c:pt>
                <c:pt idx="3">
                  <c:v>0</c:v>
                </c:pt>
                <c:pt idx="4">
                  <c:v>7.0001160000000002</c:v>
                </c:pt>
                <c:pt idx="5">
                  <c:v>3.4368240000000001</c:v>
                </c:pt>
                <c:pt idx="6">
                  <c:v>0.91713</c:v>
                </c:pt>
              </c:numCache>
            </c:numRef>
          </c:val>
        </c:ser>
        <c:ser>
          <c:idx val="4"/>
          <c:order val="4"/>
          <c:tx>
            <c:v>Užs ūkio subj</c:v>
          </c:tx>
          <c:spPr>
            <a:solidFill>
              <a:schemeClr val="accent5"/>
            </a:solidFill>
            <a:ln>
              <a:noFill/>
            </a:ln>
            <a:effectLst/>
          </c:spPr>
          <c:invertIfNegative val="0"/>
          <c:cat>
            <c:strRef>
              <c:f>Lapas1!$C$8:$C$14</c:f>
              <c:strCache>
                <c:ptCount val="7"/>
                <c:pt idx="0">
                  <c:v>LII</c:v>
                </c:pt>
                <c:pt idx="1">
                  <c:v>LKI</c:v>
                </c:pt>
                <c:pt idx="2">
                  <c:v>LKTI</c:v>
                </c:pt>
                <c:pt idx="3">
                  <c:v>LLTI</c:v>
                </c:pt>
                <c:pt idx="4">
                  <c:v>LSTC</c:v>
                </c:pt>
                <c:pt idx="5">
                  <c:v>LAEI</c:v>
                </c:pt>
                <c:pt idx="6">
                  <c:v>LTI</c:v>
                </c:pt>
              </c:strCache>
            </c:strRef>
          </c:cat>
          <c:val>
            <c:numRef>
              <c:f>Lapas1!$L$8:$L$14</c:f>
              <c:numCache>
                <c:formatCode>0</c:formatCode>
                <c:ptCount val="7"/>
                <c:pt idx="0">
                  <c:v>0</c:v>
                </c:pt>
                <c:pt idx="1">
                  <c:v>1.660488</c:v>
                </c:pt>
                <c:pt idx="2">
                  <c:v>0</c:v>
                </c:pt>
                <c:pt idx="3">
                  <c:v>0</c:v>
                </c:pt>
                <c:pt idx="4">
                  <c:v>5.3332560000000004</c:v>
                </c:pt>
                <c:pt idx="5">
                  <c:v>0.666126</c:v>
                </c:pt>
                <c:pt idx="6">
                  <c:v>0</c:v>
                </c:pt>
              </c:numCache>
            </c:numRef>
          </c:val>
        </c:ser>
        <c:ser>
          <c:idx val="5"/>
          <c:order val="5"/>
          <c:tx>
            <c:v>Tarpt MTEP progr</c:v>
          </c:tx>
          <c:spPr>
            <a:solidFill>
              <a:schemeClr val="accent6"/>
            </a:solidFill>
            <a:ln>
              <a:noFill/>
            </a:ln>
            <a:effectLst/>
          </c:spPr>
          <c:invertIfNegative val="0"/>
          <c:cat>
            <c:strRef>
              <c:f>Lapas1!$C$8:$C$14</c:f>
              <c:strCache>
                <c:ptCount val="7"/>
                <c:pt idx="0">
                  <c:v>LII</c:v>
                </c:pt>
                <c:pt idx="1">
                  <c:v>LKI</c:v>
                </c:pt>
                <c:pt idx="2">
                  <c:v>LKTI</c:v>
                </c:pt>
                <c:pt idx="3">
                  <c:v>LLTI</c:v>
                </c:pt>
                <c:pt idx="4">
                  <c:v>LSTC</c:v>
                </c:pt>
                <c:pt idx="5">
                  <c:v>LAEI</c:v>
                </c:pt>
                <c:pt idx="6">
                  <c:v>LTI</c:v>
                </c:pt>
              </c:strCache>
            </c:strRef>
          </c:cat>
          <c:val>
            <c:numRef>
              <c:f>Lapas1!$N$8:$N$14</c:f>
              <c:numCache>
                <c:formatCode>0</c:formatCode>
                <c:ptCount val="7"/>
                <c:pt idx="0">
                  <c:v>23.78</c:v>
                </c:pt>
                <c:pt idx="1">
                  <c:v>0</c:v>
                </c:pt>
                <c:pt idx="2">
                  <c:v>0</c:v>
                </c:pt>
                <c:pt idx="3">
                  <c:v>0</c:v>
                </c:pt>
                <c:pt idx="4">
                  <c:v>29.90333</c:v>
                </c:pt>
                <c:pt idx="5">
                  <c:v>85.84</c:v>
                </c:pt>
                <c:pt idx="6">
                  <c:v>34.520000000000003</c:v>
                </c:pt>
              </c:numCache>
            </c:numRef>
          </c:val>
        </c:ser>
        <c:dLbls>
          <c:showLegendKey val="0"/>
          <c:showVal val="0"/>
          <c:showCatName val="0"/>
          <c:showSerName val="0"/>
          <c:showPercent val="0"/>
          <c:showBubbleSize val="0"/>
        </c:dLbls>
        <c:gapWidth val="219"/>
        <c:overlap val="-27"/>
        <c:axId val="275580400"/>
        <c:axId val="275580792"/>
      </c:barChart>
      <c:catAx>
        <c:axId val="27558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580792"/>
        <c:crosses val="autoZero"/>
        <c:auto val="1"/>
        <c:lblAlgn val="ctr"/>
        <c:lblOffset val="100"/>
        <c:noMultiLvlLbl val="0"/>
      </c:catAx>
      <c:valAx>
        <c:axId val="275580792"/>
        <c:scaling>
          <c:orientation val="minMax"/>
          <c:max val="1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5804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rPr>
              <a:t>Instituto gaunam</a:t>
            </a:r>
            <a:r>
              <a:rPr lang="lt-LT" sz="1400" b="0" i="0" baseline="0">
                <a:effectLst/>
              </a:rPr>
              <a:t>ų lėšų dalis, proc. nuo mokslo sričiai tenkančių lėšų </a:t>
            </a:r>
            <a:endParaRPr lang="lt-LT"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v>VB</c:v>
          </c:tx>
          <c:spPr>
            <a:solidFill>
              <a:schemeClr val="accent1"/>
            </a:solidFill>
            <a:ln>
              <a:noFill/>
            </a:ln>
            <a:effectLst/>
          </c:spPr>
          <c:invertIfNegative val="0"/>
          <c:cat>
            <c:strRef>
              <c:f>Lapas2!$D$10:$D$16</c:f>
              <c:strCache>
                <c:ptCount val="7"/>
                <c:pt idx="0">
                  <c:v>LII</c:v>
                </c:pt>
                <c:pt idx="1">
                  <c:v>LKI</c:v>
                </c:pt>
                <c:pt idx="2">
                  <c:v>LKTI</c:v>
                </c:pt>
                <c:pt idx="3">
                  <c:v>LLTI</c:v>
                </c:pt>
                <c:pt idx="4">
                  <c:v>LSTC</c:v>
                </c:pt>
                <c:pt idx="5">
                  <c:v>LAEI</c:v>
                </c:pt>
                <c:pt idx="6">
                  <c:v>LTI</c:v>
                </c:pt>
              </c:strCache>
            </c:strRef>
          </c:cat>
          <c:val>
            <c:numRef>
              <c:f>Lapas2!$E$10:$E$16</c:f>
              <c:numCache>
                <c:formatCode>0</c:formatCode>
                <c:ptCount val="7"/>
                <c:pt idx="0">
                  <c:v>13.949559000000001</c:v>
                </c:pt>
                <c:pt idx="1">
                  <c:v>9.071275</c:v>
                </c:pt>
                <c:pt idx="2">
                  <c:v>7.5743</c:v>
                </c:pt>
                <c:pt idx="3">
                  <c:v>9.4913127999999993</c:v>
                </c:pt>
                <c:pt idx="4">
                  <c:v>5.4169900000000002</c:v>
                </c:pt>
                <c:pt idx="5">
                  <c:v>4.8109999999999999</c:v>
                </c:pt>
                <c:pt idx="6">
                  <c:v>4.1081260000000004</c:v>
                </c:pt>
              </c:numCache>
            </c:numRef>
          </c:val>
        </c:ser>
        <c:ser>
          <c:idx val="1"/>
          <c:order val="1"/>
          <c:tx>
            <c:v>LMT</c:v>
          </c:tx>
          <c:spPr>
            <a:solidFill>
              <a:schemeClr val="accent2"/>
            </a:solidFill>
            <a:ln>
              <a:noFill/>
            </a:ln>
            <a:effectLst/>
          </c:spPr>
          <c:invertIfNegative val="0"/>
          <c:cat>
            <c:strRef>
              <c:f>Lapas2!$D$10:$D$16</c:f>
              <c:strCache>
                <c:ptCount val="7"/>
                <c:pt idx="0">
                  <c:v>LII</c:v>
                </c:pt>
                <c:pt idx="1">
                  <c:v>LKI</c:v>
                </c:pt>
                <c:pt idx="2">
                  <c:v>LKTI</c:v>
                </c:pt>
                <c:pt idx="3">
                  <c:v>LLTI</c:v>
                </c:pt>
                <c:pt idx="4">
                  <c:v>LSTC</c:v>
                </c:pt>
                <c:pt idx="5">
                  <c:v>LAEI</c:v>
                </c:pt>
                <c:pt idx="6">
                  <c:v>LTI</c:v>
                </c:pt>
              </c:strCache>
            </c:strRef>
          </c:cat>
          <c:val>
            <c:numRef>
              <c:f>Lapas2!$G$10:$G$16</c:f>
              <c:numCache>
                <c:formatCode>0</c:formatCode>
                <c:ptCount val="7"/>
                <c:pt idx="0">
                  <c:v>16.905329949759345</c:v>
                </c:pt>
                <c:pt idx="1">
                  <c:v>6.0747038911645337</c:v>
                </c:pt>
                <c:pt idx="2">
                  <c:v>7.1947003282539752</c:v>
                </c:pt>
                <c:pt idx="3">
                  <c:v>12.181359143625055</c:v>
                </c:pt>
                <c:pt idx="4">
                  <c:v>11.736421311735597</c:v>
                </c:pt>
                <c:pt idx="5">
                  <c:v>1.2916834226119809</c:v>
                </c:pt>
                <c:pt idx="6">
                  <c:v>0.19556899860682783</c:v>
                </c:pt>
              </c:numCache>
            </c:numRef>
          </c:val>
        </c:ser>
        <c:ser>
          <c:idx val="2"/>
          <c:order val="2"/>
          <c:tx>
            <c:v>Valstybės ir savivaldybių įstaigos</c:v>
          </c:tx>
          <c:spPr>
            <a:solidFill>
              <a:schemeClr val="accent3"/>
            </a:solidFill>
            <a:ln>
              <a:noFill/>
            </a:ln>
            <a:effectLst/>
          </c:spPr>
          <c:invertIfNegative val="0"/>
          <c:cat>
            <c:strRef>
              <c:f>Lapas2!$D$10:$D$16</c:f>
              <c:strCache>
                <c:ptCount val="7"/>
                <c:pt idx="0">
                  <c:v>LII</c:v>
                </c:pt>
                <c:pt idx="1">
                  <c:v>LKI</c:v>
                </c:pt>
                <c:pt idx="2">
                  <c:v>LKTI</c:v>
                </c:pt>
                <c:pt idx="3">
                  <c:v>LLTI</c:v>
                </c:pt>
                <c:pt idx="4">
                  <c:v>LSTC</c:v>
                </c:pt>
                <c:pt idx="5">
                  <c:v>LAEI</c:v>
                </c:pt>
                <c:pt idx="6">
                  <c:v>LTI</c:v>
                </c:pt>
              </c:strCache>
            </c:strRef>
          </c:cat>
          <c:val>
            <c:numRef>
              <c:f>Lapas2!$I$10:$I$16</c:f>
              <c:numCache>
                <c:formatCode>0</c:formatCode>
                <c:ptCount val="7"/>
                <c:pt idx="0">
                  <c:v>5.9165760000000001</c:v>
                </c:pt>
                <c:pt idx="1">
                  <c:v>17.118459999999999</c:v>
                </c:pt>
                <c:pt idx="2">
                  <c:v>2.1547179999999999</c:v>
                </c:pt>
                <c:pt idx="3">
                  <c:v>0</c:v>
                </c:pt>
                <c:pt idx="4">
                  <c:v>4.2611359999999996</c:v>
                </c:pt>
                <c:pt idx="5">
                  <c:v>23.587610000000002</c:v>
                </c:pt>
                <c:pt idx="6">
                  <c:v>6.1411009999999999</c:v>
                </c:pt>
              </c:numCache>
            </c:numRef>
          </c:val>
        </c:ser>
        <c:ser>
          <c:idx val="3"/>
          <c:order val="3"/>
          <c:tx>
            <c:v>Lietuvos ūkio subjektai</c:v>
          </c:tx>
          <c:spPr>
            <a:solidFill>
              <a:schemeClr val="accent4"/>
            </a:solidFill>
            <a:ln>
              <a:noFill/>
            </a:ln>
            <a:effectLst/>
          </c:spPr>
          <c:invertIfNegative val="0"/>
          <c:cat>
            <c:strRef>
              <c:f>Lapas2!$D$10:$D$16</c:f>
              <c:strCache>
                <c:ptCount val="7"/>
                <c:pt idx="0">
                  <c:v>LII</c:v>
                </c:pt>
                <c:pt idx="1">
                  <c:v>LKI</c:v>
                </c:pt>
                <c:pt idx="2">
                  <c:v>LKTI</c:v>
                </c:pt>
                <c:pt idx="3">
                  <c:v>LLTI</c:v>
                </c:pt>
                <c:pt idx="4">
                  <c:v>LSTC</c:v>
                </c:pt>
                <c:pt idx="5">
                  <c:v>LAEI</c:v>
                </c:pt>
                <c:pt idx="6">
                  <c:v>LTI</c:v>
                </c:pt>
              </c:strCache>
            </c:strRef>
          </c:cat>
          <c:val>
            <c:numRef>
              <c:f>Lapas2!$K$10:$K$16</c:f>
              <c:numCache>
                <c:formatCode>0</c:formatCode>
                <c:ptCount val="7"/>
                <c:pt idx="0">
                  <c:v>3.2402790000000001</c:v>
                </c:pt>
                <c:pt idx="1">
                  <c:v>0</c:v>
                </c:pt>
                <c:pt idx="2">
                  <c:v>0</c:v>
                </c:pt>
                <c:pt idx="3">
                  <c:v>0</c:v>
                </c:pt>
                <c:pt idx="4">
                  <c:v>23.881830000000001</c:v>
                </c:pt>
                <c:pt idx="5">
                  <c:v>11.72518</c:v>
                </c:pt>
                <c:pt idx="6">
                  <c:v>3.128911</c:v>
                </c:pt>
              </c:numCache>
            </c:numRef>
          </c:val>
        </c:ser>
        <c:ser>
          <c:idx val="4"/>
          <c:order val="4"/>
          <c:tx>
            <c:v>Užsienio ūkio subjektai</c:v>
          </c:tx>
          <c:spPr>
            <a:solidFill>
              <a:schemeClr val="accent5"/>
            </a:solidFill>
            <a:ln>
              <a:noFill/>
            </a:ln>
            <a:effectLst/>
          </c:spPr>
          <c:invertIfNegative val="0"/>
          <c:cat>
            <c:strRef>
              <c:f>Lapas2!$D$10:$D$16</c:f>
              <c:strCache>
                <c:ptCount val="7"/>
                <c:pt idx="0">
                  <c:v>LII</c:v>
                </c:pt>
                <c:pt idx="1">
                  <c:v>LKI</c:v>
                </c:pt>
                <c:pt idx="2">
                  <c:v>LKTI</c:v>
                </c:pt>
                <c:pt idx="3">
                  <c:v>LLTI</c:v>
                </c:pt>
                <c:pt idx="4">
                  <c:v>LSTC</c:v>
                </c:pt>
                <c:pt idx="5">
                  <c:v>LAEI</c:v>
                </c:pt>
                <c:pt idx="6">
                  <c:v>LTI</c:v>
                </c:pt>
              </c:strCache>
            </c:strRef>
          </c:cat>
          <c:val>
            <c:numRef>
              <c:f>Lapas2!$M$10:$M$16</c:f>
              <c:numCache>
                <c:formatCode>0</c:formatCode>
                <c:ptCount val="7"/>
                <c:pt idx="0">
                  <c:v>0</c:v>
                </c:pt>
                <c:pt idx="1">
                  <c:v>3.7324440000000001</c:v>
                </c:pt>
                <c:pt idx="2">
                  <c:v>0</c:v>
                </c:pt>
                <c:pt idx="3">
                  <c:v>0</c:v>
                </c:pt>
                <c:pt idx="4">
                  <c:v>83.996459999999999</c:v>
                </c:pt>
                <c:pt idx="5">
                  <c:v>10.49119</c:v>
                </c:pt>
                <c:pt idx="6">
                  <c:v>0</c:v>
                </c:pt>
              </c:numCache>
            </c:numRef>
          </c:val>
        </c:ser>
        <c:ser>
          <c:idx val="5"/>
          <c:order val="5"/>
          <c:tx>
            <c:v>Tarptautinės MTEP programos</c:v>
          </c:tx>
          <c:spPr>
            <a:solidFill>
              <a:schemeClr val="accent6"/>
            </a:solidFill>
            <a:ln>
              <a:noFill/>
            </a:ln>
            <a:effectLst/>
          </c:spPr>
          <c:invertIfNegative val="0"/>
          <c:cat>
            <c:strRef>
              <c:f>Lapas2!$D$10:$D$16</c:f>
              <c:strCache>
                <c:ptCount val="7"/>
                <c:pt idx="0">
                  <c:v>LII</c:v>
                </c:pt>
                <c:pt idx="1">
                  <c:v>LKI</c:v>
                </c:pt>
                <c:pt idx="2">
                  <c:v>LKTI</c:v>
                </c:pt>
                <c:pt idx="3">
                  <c:v>LLTI</c:v>
                </c:pt>
                <c:pt idx="4">
                  <c:v>LSTC</c:v>
                </c:pt>
                <c:pt idx="5">
                  <c:v>LAEI</c:v>
                </c:pt>
                <c:pt idx="6">
                  <c:v>LTI</c:v>
                </c:pt>
              </c:strCache>
            </c:strRef>
          </c:cat>
          <c:val>
            <c:numRef>
              <c:f>Lapas2!$O$10:$O$16</c:f>
              <c:numCache>
                <c:formatCode>0</c:formatCode>
                <c:ptCount val="7"/>
                <c:pt idx="0">
                  <c:v>36.69</c:v>
                </c:pt>
                <c:pt idx="1">
                  <c:v>0</c:v>
                </c:pt>
                <c:pt idx="2">
                  <c:v>0</c:v>
                </c:pt>
                <c:pt idx="3">
                  <c:v>0</c:v>
                </c:pt>
                <c:pt idx="4">
                  <c:v>5.33</c:v>
                </c:pt>
                <c:pt idx="5">
                  <c:v>15.29</c:v>
                </c:pt>
                <c:pt idx="6">
                  <c:v>6.15</c:v>
                </c:pt>
              </c:numCache>
            </c:numRef>
          </c:val>
        </c:ser>
        <c:dLbls>
          <c:showLegendKey val="0"/>
          <c:showVal val="0"/>
          <c:showCatName val="0"/>
          <c:showSerName val="0"/>
          <c:showPercent val="0"/>
          <c:showBubbleSize val="0"/>
        </c:dLbls>
        <c:gapWidth val="219"/>
        <c:overlap val="-27"/>
        <c:axId val="274376008"/>
        <c:axId val="274376400"/>
      </c:barChart>
      <c:catAx>
        <c:axId val="274376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4376400"/>
        <c:crosses val="autoZero"/>
        <c:auto val="1"/>
        <c:lblAlgn val="ctr"/>
        <c:lblOffset val="100"/>
        <c:noMultiLvlLbl val="0"/>
      </c:catAx>
      <c:valAx>
        <c:axId val="274376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43760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EF8BC-E4D9-46C2-808B-1CD0FB1B8451}"/>
</file>

<file path=customXml/itemProps2.xml><?xml version="1.0" encoding="utf-8"?>
<ds:datastoreItem xmlns:ds="http://schemas.openxmlformats.org/officeDocument/2006/customXml" ds:itemID="{8E44F8C8-18B1-4CDC-B848-4B87D8F73797}"/>
</file>

<file path=customXml/itemProps3.xml><?xml version="1.0" encoding="utf-8"?>
<ds:datastoreItem xmlns:ds="http://schemas.openxmlformats.org/officeDocument/2006/customXml" ds:itemID="{2B7459CF-27A2-47A5-9700-F8D840729929}"/>
</file>

<file path=docProps/app.xml><?xml version="1.0" encoding="utf-8"?>
<Properties xmlns="http://schemas.openxmlformats.org/officeDocument/2006/extended-properties" xmlns:vt="http://schemas.openxmlformats.org/officeDocument/2006/docPropsVTypes">
  <Template>Normal</Template>
  <TotalTime>6</TotalTime>
  <Pages>8</Pages>
  <Words>7456</Words>
  <Characters>4251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aff70f54-1740-40d1-b2ea-a32f62d30f94</dc:title>
  <dc:subject/>
  <dc:creator>Jekentienė Ginvilė</dc:creator>
  <cp:keywords/>
  <dc:description/>
  <cp:lastModifiedBy>Jekentienė Ginvilė</cp:lastModifiedBy>
  <cp:revision>5</cp:revision>
  <dcterms:created xsi:type="dcterms:W3CDTF">2018-02-22T12:12:00Z</dcterms:created>
  <dcterms:modified xsi:type="dcterms:W3CDTF">2018-02-26T16:13:00Z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