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3F" w:rsidRPr="00DE3E30" w:rsidRDefault="0020275E" w:rsidP="00DE3E30">
      <w:pPr>
        <w:spacing w:line="276" w:lineRule="auto"/>
        <w:jc w:val="center"/>
        <w:rPr>
          <w:b/>
          <w:bCs/>
          <w:szCs w:val="24"/>
          <w:lang w:eastAsia="en-GB"/>
        </w:rPr>
      </w:pPr>
      <w:bookmarkStart w:id="0" w:name="_GoBack"/>
      <w:bookmarkEnd w:id="0"/>
      <w:r w:rsidRPr="00DE3E30">
        <w:rPr>
          <w:b/>
          <w:bCs/>
          <w:szCs w:val="24"/>
          <w:lang w:eastAsia="en-GB"/>
        </w:rPr>
        <w:t xml:space="preserve">LIETUVOS RESPUBLIKOS </w:t>
      </w:r>
      <w:r w:rsidR="00091012" w:rsidRPr="00DE3E30">
        <w:rPr>
          <w:b/>
          <w:bCs/>
          <w:szCs w:val="24"/>
          <w:lang w:eastAsia="en-GB"/>
        </w:rPr>
        <w:t>JAUNIMO POLITIKOS PAGRINDŲ ĮSTATYMO</w:t>
      </w:r>
      <w:r w:rsidR="0010057E" w:rsidRPr="00DE3E30">
        <w:rPr>
          <w:b/>
          <w:bCs/>
          <w:szCs w:val="24"/>
          <w:lang w:eastAsia="en-GB"/>
        </w:rPr>
        <w:t xml:space="preserve"> NR.</w:t>
      </w:r>
      <w:r w:rsidR="00091012" w:rsidRPr="00DE3E30">
        <w:rPr>
          <w:b/>
          <w:bCs/>
          <w:szCs w:val="24"/>
          <w:lang w:eastAsia="en-GB"/>
        </w:rPr>
        <w:t xml:space="preserve"> IX-1871</w:t>
      </w:r>
      <w:r w:rsidR="0010057E" w:rsidRPr="00DE3E30">
        <w:rPr>
          <w:b/>
          <w:bCs/>
          <w:szCs w:val="24"/>
          <w:lang w:eastAsia="en-GB"/>
        </w:rPr>
        <w:t xml:space="preserve"> </w:t>
      </w:r>
      <w:r w:rsidR="00B940AF" w:rsidRPr="00DE3E30">
        <w:rPr>
          <w:b/>
          <w:bCs/>
          <w:szCs w:val="24"/>
          <w:lang w:eastAsia="en-GB"/>
        </w:rPr>
        <w:t xml:space="preserve">PAKEITIMO </w:t>
      </w:r>
      <w:r w:rsidR="00ED483F" w:rsidRPr="00DE3E30">
        <w:rPr>
          <w:b/>
          <w:bCs/>
          <w:szCs w:val="24"/>
          <w:lang w:eastAsia="en-GB"/>
        </w:rPr>
        <w:t xml:space="preserve">ĮSTATYMO PROJEKTO </w:t>
      </w:r>
    </w:p>
    <w:p w:rsidR="007C5AF9" w:rsidRPr="00DE3E30" w:rsidRDefault="007C5AF9" w:rsidP="00DE3E30">
      <w:pPr>
        <w:widowControl w:val="0"/>
        <w:spacing w:line="276" w:lineRule="auto"/>
        <w:jc w:val="center"/>
        <w:rPr>
          <w:b/>
          <w:szCs w:val="24"/>
        </w:rPr>
      </w:pPr>
      <w:r w:rsidRPr="00DE3E30">
        <w:rPr>
          <w:b/>
          <w:szCs w:val="24"/>
        </w:rPr>
        <w:t>ANTIKORUPCINIO VERTINIMO PAŽYMA</w:t>
      </w:r>
    </w:p>
    <w:p w:rsidR="007C5AF9" w:rsidRPr="00DE3E30" w:rsidRDefault="007C5AF9" w:rsidP="00DE3E30">
      <w:pPr>
        <w:widowControl w:val="0"/>
        <w:spacing w:line="276" w:lineRule="auto"/>
        <w:rPr>
          <w:szCs w:val="24"/>
        </w:rPr>
      </w:pPr>
    </w:p>
    <w:p w:rsidR="005837D8" w:rsidRPr="00DE3E30" w:rsidRDefault="007C5AF9" w:rsidP="00DE3E30">
      <w:pPr>
        <w:widowControl w:val="0"/>
        <w:spacing w:after="240" w:line="276" w:lineRule="auto"/>
        <w:jc w:val="both"/>
        <w:rPr>
          <w:szCs w:val="24"/>
        </w:rPr>
      </w:pPr>
      <w:r w:rsidRPr="00DE3E30">
        <w:rPr>
          <w:szCs w:val="24"/>
        </w:rPr>
        <w:t>Teisės akto projekto pavadinimas:</w:t>
      </w:r>
      <w:r w:rsidR="00337527" w:rsidRPr="00DE3E30">
        <w:rPr>
          <w:bCs/>
          <w:szCs w:val="24"/>
        </w:rPr>
        <w:t xml:space="preserve"> </w:t>
      </w:r>
      <w:r w:rsidR="0010057E" w:rsidRPr="00DE3E30">
        <w:rPr>
          <w:rStyle w:val="bold1"/>
          <w:b w:val="0"/>
          <w:color w:val="000000"/>
          <w:szCs w:val="24"/>
        </w:rPr>
        <w:t xml:space="preserve">Lietuvos Respublikos </w:t>
      </w:r>
      <w:r w:rsidR="00091012" w:rsidRPr="00DE3E30">
        <w:rPr>
          <w:rStyle w:val="bold1"/>
          <w:b w:val="0"/>
          <w:color w:val="000000"/>
          <w:szCs w:val="24"/>
        </w:rPr>
        <w:t>jaunimo politikos pagrindų įstatymo</w:t>
      </w:r>
      <w:r w:rsidR="0020275E" w:rsidRPr="00DE3E30">
        <w:rPr>
          <w:szCs w:val="24"/>
        </w:rPr>
        <w:t xml:space="preserve"> </w:t>
      </w:r>
      <w:r w:rsidR="00D93793" w:rsidRPr="00DE3E30">
        <w:rPr>
          <w:szCs w:val="24"/>
          <w:lang w:eastAsia="en-GB"/>
        </w:rPr>
        <w:t xml:space="preserve">Nr. </w:t>
      </w:r>
      <w:r w:rsidR="00091012" w:rsidRPr="00DE3E30">
        <w:rPr>
          <w:szCs w:val="24"/>
          <w:lang w:eastAsia="en-GB"/>
        </w:rPr>
        <w:t xml:space="preserve">IX-1871 </w:t>
      </w:r>
      <w:r w:rsidR="0010057E" w:rsidRPr="00DE3E30">
        <w:rPr>
          <w:szCs w:val="24"/>
          <w:lang w:eastAsia="en-GB"/>
        </w:rPr>
        <w:t xml:space="preserve">pakeitimo </w:t>
      </w:r>
      <w:r w:rsidR="00ED483F" w:rsidRPr="00DE3E30">
        <w:rPr>
          <w:szCs w:val="24"/>
          <w:lang w:eastAsia="en-GB"/>
        </w:rPr>
        <w:t xml:space="preserve">įstatymo </w:t>
      </w:r>
      <w:r w:rsidR="0020275E" w:rsidRPr="00DE3E30">
        <w:rPr>
          <w:szCs w:val="24"/>
        </w:rPr>
        <w:t xml:space="preserve">projektas </w:t>
      </w:r>
      <w:r w:rsidR="00337527" w:rsidRPr="00DE3E30">
        <w:rPr>
          <w:bCs/>
          <w:szCs w:val="24"/>
        </w:rPr>
        <w:t xml:space="preserve">(toliau – </w:t>
      </w:r>
      <w:r w:rsidR="00ED483F" w:rsidRPr="00DE3E30">
        <w:rPr>
          <w:bCs/>
          <w:szCs w:val="24"/>
        </w:rPr>
        <w:t>Į</w:t>
      </w:r>
      <w:r w:rsidR="00337527" w:rsidRPr="00DE3E30">
        <w:rPr>
          <w:bCs/>
          <w:szCs w:val="24"/>
        </w:rPr>
        <w:t>statymo projektas)</w:t>
      </w:r>
      <w:r w:rsidR="003E08BB" w:rsidRPr="00DE3E30">
        <w:rPr>
          <w:bCs/>
          <w:szCs w:val="24"/>
        </w:rPr>
        <w:t>.</w:t>
      </w:r>
    </w:p>
    <w:p w:rsidR="006403A6" w:rsidRPr="00DE3E30" w:rsidRDefault="007C5AF9" w:rsidP="00DE3E30">
      <w:pPr>
        <w:widowControl w:val="0"/>
        <w:spacing w:after="240" w:line="276" w:lineRule="auto"/>
        <w:rPr>
          <w:bCs/>
          <w:szCs w:val="24"/>
        </w:rPr>
      </w:pPr>
      <w:r w:rsidRPr="00DE3E30">
        <w:rPr>
          <w:szCs w:val="24"/>
        </w:rPr>
        <w:t>Teisės akto projekto tiesioginis rengėjas:</w:t>
      </w:r>
      <w:r w:rsidR="00337527" w:rsidRPr="00DE3E30">
        <w:rPr>
          <w:bCs/>
          <w:szCs w:val="24"/>
        </w:rPr>
        <w:t xml:space="preserve"> </w:t>
      </w:r>
      <w:r w:rsidR="0038726A" w:rsidRPr="00DE3E30">
        <w:rPr>
          <w:rStyle w:val="typewriter0"/>
          <w:szCs w:val="24"/>
        </w:rPr>
        <w:t>Vyriausioji patarėja jaunimo klausimais Jolanta Sakalauskienė</w:t>
      </w:r>
      <w:r w:rsidR="006403A6" w:rsidRPr="00DE3E30">
        <w:rPr>
          <w:bCs/>
          <w:szCs w:val="24"/>
        </w:rPr>
        <w:t>.</w:t>
      </w:r>
    </w:p>
    <w:p w:rsidR="00337527" w:rsidRPr="00DE3E30" w:rsidRDefault="007C5AF9" w:rsidP="00DE3E30">
      <w:pPr>
        <w:widowControl w:val="0"/>
        <w:spacing w:line="276" w:lineRule="auto"/>
        <w:jc w:val="both"/>
        <w:rPr>
          <w:b/>
          <w:szCs w:val="24"/>
        </w:rPr>
      </w:pPr>
      <w:r w:rsidRPr="00DE3E30">
        <w:rPr>
          <w:szCs w:val="24"/>
        </w:rPr>
        <w:t>Antikorupciniu požiūriu rizikingos</w:t>
      </w:r>
      <w:r w:rsidR="00185A31" w:rsidRPr="00DE3E30">
        <w:rPr>
          <w:szCs w:val="24"/>
        </w:rPr>
        <w:t xml:space="preserve"> teisės akto projekto nuostatos</w:t>
      </w:r>
      <w:r w:rsidR="00337527" w:rsidRPr="00DE3E30">
        <w:rPr>
          <w:szCs w:val="24"/>
        </w:rPr>
        <w:t>: nėra.</w:t>
      </w:r>
      <w:r w:rsidRPr="00DE3E30">
        <w:rPr>
          <w:b/>
          <w:szCs w:val="24"/>
        </w:rPr>
        <w:t xml:space="preserve"> </w:t>
      </w:r>
    </w:p>
    <w:p w:rsidR="00A63BC9" w:rsidRPr="00DE3E30" w:rsidRDefault="00A63BC9" w:rsidP="00DE3E30">
      <w:pPr>
        <w:widowControl w:val="0"/>
        <w:spacing w:line="276" w:lineRule="auto"/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6379"/>
        <w:gridCol w:w="2410"/>
        <w:gridCol w:w="2126"/>
      </w:tblGrid>
      <w:tr w:rsidR="00664044" w:rsidRPr="00DE3E30" w:rsidTr="00B40618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DE3E30" w:rsidRDefault="00185A31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 xml:space="preserve">Eil. </w:t>
            </w:r>
            <w:r w:rsidR="007C5AF9" w:rsidRPr="00DE3E30">
              <w:rPr>
                <w:szCs w:val="24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Kriterijus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 w:rsidRPr="00DE3E30">
              <w:rPr>
                <w:szCs w:val="24"/>
              </w:rPr>
              <w:t>Pagrindimas (nurodomos konkrečios teisės akto projekto ar kitų teisės aktų nuostatos, pagrindžiančios teigiamą atsakymą</w:t>
            </w:r>
            <w:r w:rsidR="00185A31" w:rsidRPr="00DE3E30">
              <w:rPr>
                <w:szCs w:val="24"/>
              </w:rPr>
              <w:t>,</w:t>
            </w:r>
            <w:r w:rsidRPr="00DE3E30">
              <w:rPr>
                <w:szCs w:val="24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Išvada dėl teisės akto projekto pakeitimų arba argumentų, kodėl neatsižvelgta į pastabą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i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7C5AF9" w:rsidRPr="00DE3E30" w:rsidRDefault="00185A31" w:rsidP="00DE3E30">
            <w:pPr>
              <w:widowControl w:val="0"/>
              <w:spacing w:line="276" w:lineRule="auto"/>
              <w:jc w:val="center"/>
              <w:rPr>
                <w:i/>
                <w:szCs w:val="24"/>
              </w:rPr>
            </w:pPr>
            <w:r w:rsidRPr="00DE3E30">
              <w:rPr>
                <w:i/>
                <w:szCs w:val="24"/>
              </w:rPr>
              <w:t>p</w:t>
            </w:r>
            <w:r w:rsidR="007C5AF9" w:rsidRPr="00DE3E30">
              <w:rPr>
                <w:i/>
                <w:szCs w:val="24"/>
              </w:rPr>
              <w:t>ildo teisės akto projekto vertintojas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5AF9" w:rsidRPr="00DE3E30" w:rsidRDefault="00185A31" w:rsidP="00DE3E30">
            <w:pPr>
              <w:widowControl w:val="0"/>
              <w:spacing w:line="276" w:lineRule="auto"/>
              <w:jc w:val="center"/>
              <w:rPr>
                <w:i/>
                <w:szCs w:val="24"/>
              </w:rPr>
            </w:pPr>
            <w:r w:rsidRPr="00DE3E30">
              <w:rPr>
                <w:i/>
                <w:szCs w:val="24"/>
              </w:rPr>
              <w:t>pi</w:t>
            </w:r>
            <w:r w:rsidR="007C5AF9" w:rsidRPr="00DE3E30">
              <w:rPr>
                <w:i/>
                <w:szCs w:val="24"/>
              </w:rPr>
              <w:t>ldo teisės akto projekto tiesioginis rengėjas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5AF9" w:rsidRPr="00DE3E30" w:rsidRDefault="00185A31" w:rsidP="00DE3E30">
            <w:pPr>
              <w:widowControl w:val="0"/>
              <w:spacing w:line="276" w:lineRule="auto"/>
              <w:jc w:val="center"/>
              <w:rPr>
                <w:i/>
                <w:szCs w:val="24"/>
              </w:rPr>
            </w:pPr>
            <w:r w:rsidRPr="00DE3E30">
              <w:rPr>
                <w:i/>
                <w:szCs w:val="24"/>
              </w:rPr>
              <w:t>p</w:t>
            </w:r>
            <w:r w:rsidR="007C5AF9" w:rsidRPr="00DE3E30">
              <w:rPr>
                <w:i/>
                <w:szCs w:val="24"/>
              </w:rPr>
              <w:t>ildo teisės akto projekto vertintojas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projektas nesu</w:t>
            </w:r>
            <w:r w:rsidR="00185A31" w:rsidRPr="00DE3E30">
              <w:rPr>
                <w:szCs w:val="24"/>
              </w:rPr>
              <w:t>daro</w:t>
            </w:r>
            <w:r w:rsidRPr="00DE3E30">
              <w:rPr>
                <w:szCs w:val="24"/>
              </w:rPr>
              <w:t xml:space="preserve"> išskirtinių ar nevienodų sąlygų subjektams,</w:t>
            </w:r>
            <w:r w:rsidR="00185A31" w:rsidRPr="00DE3E30">
              <w:rPr>
                <w:szCs w:val="24"/>
              </w:rPr>
              <w:t xml:space="preserve"> su kuriais susijęs teisės akto</w:t>
            </w:r>
            <w:r w:rsidRPr="00DE3E30">
              <w:rPr>
                <w:szCs w:val="24"/>
              </w:rPr>
              <w:t xml:space="preserve"> įgyvendinimas</w:t>
            </w:r>
          </w:p>
        </w:tc>
        <w:tc>
          <w:tcPr>
            <w:tcW w:w="6379" w:type="dxa"/>
            <w:shd w:val="clear" w:color="auto" w:fill="auto"/>
          </w:tcPr>
          <w:p w:rsidR="00ED483F" w:rsidRPr="00DE3E30" w:rsidRDefault="000B4BE8" w:rsidP="00DE3E30">
            <w:pPr>
              <w:widowControl w:val="0"/>
              <w:spacing w:line="276" w:lineRule="auto"/>
              <w:jc w:val="both"/>
              <w:rPr>
                <w:b/>
                <w:szCs w:val="24"/>
              </w:rPr>
            </w:pPr>
            <w:r w:rsidRPr="00DE3E30">
              <w:rPr>
                <w:szCs w:val="24"/>
              </w:rPr>
              <w:t>Įstatymo projektu siūlomas reglamentavimas nesudaro išskirtinių ar nevienodų sąlygų fiziniams ir juridiniams asmenims.</w:t>
            </w:r>
          </w:p>
        </w:tc>
        <w:tc>
          <w:tcPr>
            <w:tcW w:w="2410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6379" w:type="dxa"/>
            <w:shd w:val="clear" w:color="auto" w:fill="auto"/>
          </w:tcPr>
          <w:p w:rsidR="007C5AF9" w:rsidRPr="00DE3E30" w:rsidRDefault="00EA0289" w:rsidP="00DE3E30">
            <w:pPr>
              <w:widowControl w:val="0"/>
              <w:spacing w:before="100" w:beforeAutospacing="1" w:after="100" w:afterAutospacing="1"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Siūlomas reglamentavimas aiškus, nėra spragų, kurios sudarytų sąlygas dviprasmiškai aiškinti ir taikyti teisės aktus.</w:t>
            </w:r>
          </w:p>
        </w:tc>
        <w:tc>
          <w:tcPr>
            <w:tcW w:w="2410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Teisės akto projekte </w:t>
            </w:r>
            <w:r w:rsidR="00185A31" w:rsidRPr="00DE3E30">
              <w:rPr>
                <w:szCs w:val="24"/>
              </w:rPr>
              <w:t>nustaty</w:t>
            </w:r>
            <w:r w:rsidRPr="00DE3E30">
              <w:rPr>
                <w:szCs w:val="24"/>
              </w:rPr>
              <w:t>ta, kad sprendimą dėl teisių suteikimo, apribojimų nus</w:t>
            </w:r>
            <w:r w:rsidR="00185A31" w:rsidRPr="00DE3E30">
              <w:rPr>
                <w:szCs w:val="24"/>
              </w:rPr>
              <w:t>tatymo, sankcijų taikymo ir panašiai</w:t>
            </w:r>
            <w:r w:rsidRPr="00DE3E30">
              <w:rPr>
                <w:szCs w:val="24"/>
              </w:rPr>
              <w:t xml:space="preserve"> priimantis subjektas </w:t>
            </w:r>
            <w:r w:rsidRPr="00DE3E30">
              <w:rPr>
                <w:szCs w:val="24"/>
              </w:rPr>
              <w:lastRenderedPageBreak/>
              <w:t>atskirtas nuo šių sprendimų teisėtumą ir įgyvendinimą kontroliuojančio (prižiūrinčio) subjekto</w:t>
            </w:r>
          </w:p>
        </w:tc>
        <w:tc>
          <w:tcPr>
            <w:tcW w:w="6379" w:type="dxa"/>
            <w:shd w:val="clear" w:color="auto" w:fill="auto"/>
          </w:tcPr>
          <w:p w:rsidR="007D1DE5" w:rsidRPr="00DE3E30" w:rsidRDefault="007D1DE5" w:rsidP="00DE3E30">
            <w:pPr>
              <w:pStyle w:val="HTMLiankstoformatuotas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E3E30">
              <w:rPr>
                <w:rFonts w:ascii="Times New Roman" w:hAnsi="Times New Roman"/>
                <w:sz w:val="24"/>
                <w:szCs w:val="24"/>
              </w:rPr>
              <w:lastRenderedPageBreak/>
              <w:t>Jaunimo politiką įgyvendinančios institucijos ir įstaigos atskirtos nuo jų veiklą kontroliuojančio (prižiūrinčio) subjekto.</w:t>
            </w:r>
          </w:p>
          <w:p w:rsidR="007D1DE5" w:rsidRPr="007D1DE5" w:rsidRDefault="007D1DE5" w:rsidP="00DE3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ourier New" w:hAnsi="Courier New" w:cs="Courier New"/>
                <w:szCs w:val="24"/>
              </w:rPr>
            </w:pPr>
            <w:r w:rsidRPr="007D1DE5">
              <w:rPr>
                <w:szCs w:val="24"/>
                <w:lang w:val="x-none"/>
              </w:rPr>
              <w:t xml:space="preserve">Socialinės apsaugos ir darbo ministerijos </w:t>
            </w:r>
            <w:r w:rsidRPr="007D1DE5">
              <w:rPr>
                <w:szCs w:val="24"/>
              </w:rPr>
              <w:t xml:space="preserve">įgaliotos institucijos veiklą kontroliuoja </w:t>
            </w:r>
            <w:r w:rsidRPr="007D1DE5">
              <w:rPr>
                <w:szCs w:val="24"/>
                <w:lang w:val="x-none"/>
              </w:rPr>
              <w:t>Lietuvos Respublikos socialinės apsaugos ir darbo ministerij</w:t>
            </w:r>
            <w:r w:rsidRPr="007D1DE5">
              <w:rPr>
                <w:szCs w:val="24"/>
              </w:rPr>
              <w:t xml:space="preserve">a. </w:t>
            </w:r>
          </w:p>
          <w:p w:rsidR="007D1DE5" w:rsidRPr="007D1DE5" w:rsidRDefault="007D1DE5" w:rsidP="00DE3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ourier New" w:hAnsi="Courier New" w:cs="Courier New"/>
                <w:szCs w:val="24"/>
              </w:rPr>
            </w:pPr>
            <w:r w:rsidRPr="007D1DE5">
              <w:rPr>
                <w:szCs w:val="24"/>
              </w:rPr>
              <w:lastRenderedPageBreak/>
              <w:t>Skundus dėl savivaldybės pareigūnų</w:t>
            </w:r>
            <w:r w:rsidRPr="007D1DE5">
              <w:rPr>
                <w:color w:val="365F91"/>
                <w:szCs w:val="24"/>
              </w:rPr>
              <w:t xml:space="preserve"> </w:t>
            </w:r>
            <w:r w:rsidRPr="007D1DE5">
              <w:rPr>
                <w:szCs w:val="24"/>
              </w:rPr>
              <w:t>piktnaudžiavimo ar biurokratizmo tiria Seimo kontrolieriai</w:t>
            </w:r>
            <w:r w:rsidR="00706017" w:rsidRPr="00DE3E30">
              <w:rPr>
                <w:szCs w:val="24"/>
              </w:rPr>
              <w:t>.</w:t>
            </w:r>
            <w:r w:rsidRPr="007D1DE5">
              <w:rPr>
                <w:szCs w:val="24"/>
              </w:rPr>
              <w:t xml:space="preserve">    </w:t>
            </w:r>
          </w:p>
          <w:p w:rsidR="007D1DE5" w:rsidRPr="00DE3E30" w:rsidRDefault="007D1DE5" w:rsidP="00DE3E30">
            <w:pPr>
              <w:pStyle w:val="HTMLiankstoformatuotas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7A44F3" w:rsidRPr="00DE3E30" w:rsidRDefault="007A44F3" w:rsidP="00DE3E30">
            <w:pPr>
              <w:pStyle w:val="HTMLiankstoformatuotas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Teisės akto projekte </w:t>
            </w:r>
            <w:r w:rsidR="00185A31" w:rsidRPr="00DE3E30">
              <w:rPr>
                <w:szCs w:val="24"/>
              </w:rPr>
              <w:t>nustaty</w:t>
            </w:r>
            <w:r w:rsidRPr="00DE3E30">
              <w:rPr>
                <w:szCs w:val="24"/>
              </w:rPr>
              <w:t xml:space="preserve">ti subjekto įgaliojimai (teisės) atitinka subjekto </w:t>
            </w:r>
            <w:r w:rsidR="00185A31" w:rsidRPr="00DE3E30">
              <w:rPr>
                <w:szCs w:val="24"/>
              </w:rPr>
              <w:t>atlieka</w:t>
            </w:r>
            <w:r w:rsidRPr="00DE3E30">
              <w:rPr>
                <w:szCs w:val="24"/>
              </w:rPr>
              <w:t>mas funkcijas (pareigas)</w:t>
            </w:r>
          </w:p>
        </w:tc>
        <w:tc>
          <w:tcPr>
            <w:tcW w:w="6379" w:type="dxa"/>
            <w:shd w:val="clear" w:color="auto" w:fill="auto"/>
          </w:tcPr>
          <w:p w:rsidR="009D005B" w:rsidRPr="009D005B" w:rsidRDefault="009D005B" w:rsidP="00DE3E30">
            <w:pPr>
              <w:spacing w:line="276" w:lineRule="auto"/>
              <w:jc w:val="both"/>
              <w:rPr>
                <w:szCs w:val="24"/>
              </w:rPr>
            </w:pPr>
            <w:r w:rsidRPr="009D005B">
              <w:rPr>
                <w:szCs w:val="24"/>
              </w:rPr>
              <w:t xml:space="preserve">Lietuvos Respublikos socialinės apsaugos ir darbo ministerijos įgaliojimai atitinka jos atliekamas funkcijas, nustatytas Lietuvos Respublikos Vyriausybės įstatymo 29 straipsnyje. </w:t>
            </w:r>
          </w:p>
          <w:p w:rsidR="00431E80" w:rsidRPr="00DE3E30" w:rsidRDefault="009D005B" w:rsidP="00DE3E30">
            <w:pPr>
              <w:spacing w:line="276" w:lineRule="auto"/>
              <w:jc w:val="both"/>
              <w:rPr>
                <w:szCs w:val="24"/>
              </w:rPr>
            </w:pPr>
            <w:r w:rsidRPr="009D005B">
              <w:rPr>
                <w:szCs w:val="24"/>
              </w:rPr>
              <w:t>Savivaldybių įgaliojimai atitinka jų atliekamas funkcijas (Lietuvos Respublikos vietos savivaldos įstatymo 6 straipsnio 8 punktas ir 7 straipsnio 22 punktas).</w:t>
            </w:r>
          </w:p>
        </w:tc>
        <w:tc>
          <w:tcPr>
            <w:tcW w:w="2410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7C5AF9" w:rsidRPr="00DE3E30" w:rsidRDefault="007C5AF9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projekte nustatytas baigtinis sprendimo priėmimo kriterijų (atvejų) sąrašas</w:t>
            </w:r>
          </w:p>
        </w:tc>
        <w:tc>
          <w:tcPr>
            <w:tcW w:w="6379" w:type="dxa"/>
            <w:shd w:val="clear" w:color="auto" w:fill="auto"/>
          </w:tcPr>
          <w:p w:rsidR="00722539" w:rsidRPr="00DE3E30" w:rsidRDefault="005D10E6" w:rsidP="00707FD9">
            <w:pPr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Įstatymo projekte nustatytas </w:t>
            </w:r>
            <w:r w:rsidR="0038726A" w:rsidRPr="00DE3E30">
              <w:rPr>
                <w:szCs w:val="24"/>
              </w:rPr>
              <w:t xml:space="preserve">jaunimo politiką  </w:t>
            </w:r>
            <w:r w:rsidRPr="00DE3E30">
              <w:rPr>
                <w:szCs w:val="24"/>
              </w:rPr>
              <w:t>formuojančių ir įgyvendinančių subjektų baigtinis sąrašas (Įstatymo projekto</w:t>
            </w:r>
            <w:r w:rsidR="0038726A" w:rsidRPr="00DE3E30">
              <w:rPr>
                <w:szCs w:val="24"/>
              </w:rPr>
              <w:t xml:space="preserve"> 3 straipsnis),</w:t>
            </w:r>
            <w:r w:rsidRPr="00DE3E30">
              <w:rPr>
                <w:szCs w:val="24"/>
              </w:rPr>
              <w:t xml:space="preserve"> </w:t>
            </w:r>
            <w:r w:rsidR="00492422" w:rsidRPr="00DE3E30">
              <w:rPr>
                <w:szCs w:val="24"/>
              </w:rPr>
              <w:t xml:space="preserve">darbo su jaunimu principų baigtinis sąrašas (Įstatymo projekto 5 straipsnis), </w:t>
            </w:r>
            <w:r w:rsidR="00707FD9">
              <w:rPr>
                <w:szCs w:val="24"/>
              </w:rPr>
              <w:t>atvirųjų jaunimo centrų</w:t>
            </w:r>
            <w:r w:rsidR="00492422" w:rsidRPr="00DE3E30">
              <w:rPr>
                <w:szCs w:val="24"/>
              </w:rPr>
              <w:t xml:space="preserve"> (Įstatymo projekto 7</w:t>
            </w:r>
            <w:r w:rsidRPr="00DE3E30">
              <w:rPr>
                <w:szCs w:val="24"/>
              </w:rPr>
              <w:t xml:space="preserve"> straipsnio 1 dalis) bei atvirųjų jaunimo erdvių </w:t>
            </w:r>
            <w:r w:rsidR="00707FD9" w:rsidRPr="00DE3E30">
              <w:rPr>
                <w:szCs w:val="24"/>
              </w:rPr>
              <w:t xml:space="preserve">(Įstatymo projekto 7 straipsnio 2 dalis) </w:t>
            </w:r>
            <w:r w:rsidR="00707FD9">
              <w:rPr>
                <w:szCs w:val="24"/>
              </w:rPr>
              <w:t>veiklai taikomų reikalavimų</w:t>
            </w:r>
            <w:r w:rsidR="00492422" w:rsidRPr="00DE3E30">
              <w:rPr>
                <w:szCs w:val="24"/>
              </w:rPr>
              <w:t xml:space="preserve"> </w:t>
            </w:r>
            <w:r w:rsidRPr="00DE3E30">
              <w:rPr>
                <w:szCs w:val="24"/>
              </w:rPr>
              <w:t>baigtinis sąr</w:t>
            </w:r>
            <w:r w:rsidR="00492422" w:rsidRPr="00DE3E30">
              <w:rPr>
                <w:szCs w:val="24"/>
              </w:rPr>
              <w:t>ašas ir atvirųjų jaunimo centrų</w:t>
            </w:r>
            <w:r w:rsidRPr="00DE3E30">
              <w:rPr>
                <w:szCs w:val="24"/>
              </w:rPr>
              <w:t xml:space="preserve"> bei atvirųjų jau</w:t>
            </w:r>
            <w:r w:rsidR="00492422" w:rsidRPr="00DE3E30">
              <w:rPr>
                <w:szCs w:val="24"/>
              </w:rPr>
              <w:t>nimo erdvių (Įstatymo projekto 7 straipsnio 3</w:t>
            </w:r>
            <w:r w:rsidRPr="00DE3E30">
              <w:rPr>
                <w:szCs w:val="24"/>
              </w:rPr>
              <w:t xml:space="preserve"> dalis) veiklos tikslų baigtinis sąrašas.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6471DC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Nereglamentuota.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Teisės akto projekte nustatyta sprendimų priėmimo, </w:t>
            </w:r>
            <w:r w:rsidRPr="00DE3E30">
              <w:rPr>
                <w:szCs w:val="24"/>
              </w:rPr>
              <w:lastRenderedPageBreak/>
              <w:t>įforminimo tvarka ir priimtų sprendimų viešinimas</w:t>
            </w:r>
          </w:p>
        </w:tc>
        <w:tc>
          <w:tcPr>
            <w:tcW w:w="6379" w:type="dxa"/>
            <w:shd w:val="clear" w:color="auto" w:fill="auto"/>
          </w:tcPr>
          <w:p w:rsidR="005B4526" w:rsidRPr="00DE3E30" w:rsidRDefault="003E1BFD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Nereglamentuota.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6379" w:type="dxa"/>
            <w:shd w:val="clear" w:color="auto" w:fill="auto"/>
          </w:tcPr>
          <w:p w:rsidR="005837D8" w:rsidRPr="00DE3E30" w:rsidRDefault="005837D8" w:rsidP="00DE3E30">
            <w:pPr>
              <w:widowControl w:val="0"/>
              <w:spacing w:before="100" w:beforeAutospacing="1" w:after="100" w:afterAutospacing="1"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Nereglamentuota</w:t>
            </w:r>
            <w:r w:rsidR="00F23308" w:rsidRPr="00DE3E30">
              <w:rPr>
                <w:szCs w:val="24"/>
              </w:rPr>
              <w:t>.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Jeigu pagal numatomą reguliavimą sprendimus priima kolegialus subjektas, teisės akto projekte nustatyta kolegialaus sprendimus priimančio subjekto:</w:t>
            </w:r>
          </w:p>
          <w:p w:rsidR="00CE71F8" w:rsidRPr="00DE3E30" w:rsidRDefault="00CE71F8" w:rsidP="00DE3E30">
            <w:pPr>
              <w:pStyle w:val="Sraopastraipa"/>
              <w:widowControl w:val="0"/>
              <w:spacing w:line="276" w:lineRule="auto"/>
              <w:ind w:left="33"/>
              <w:contextualSpacing w:val="0"/>
              <w:jc w:val="both"/>
              <w:rPr>
                <w:sz w:val="24"/>
                <w:szCs w:val="24"/>
              </w:rPr>
            </w:pPr>
            <w:r w:rsidRPr="00DE3E3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:rsidR="00CE71F8" w:rsidRPr="00DE3E30" w:rsidRDefault="00CE71F8" w:rsidP="00DE3E30">
            <w:pPr>
              <w:pStyle w:val="Sraopastraipa"/>
              <w:widowControl w:val="0"/>
              <w:spacing w:line="276" w:lineRule="auto"/>
              <w:ind w:left="33"/>
              <w:contextualSpacing w:val="0"/>
              <w:jc w:val="both"/>
              <w:rPr>
                <w:sz w:val="24"/>
                <w:szCs w:val="24"/>
              </w:rPr>
            </w:pPr>
            <w:r w:rsidRPr="00DE3E3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9.3</w:t>
            </w:r>
            <w:r w:rsidRPr="00DE3E30">
              <w:rPr>
                <w:spacing w:val="-4"/>
                <w:szCs w:val="24"/>
              </w:rPr>
              <w:t>. narių skyrimo mechanizmas;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9.4. narių rotacija ir kadencijų skaičius ir trukmė;</w:t>
            </w:r>
          </w:p>
          <w:p w:rsidR="00CE71F8" w:rsidRPr="00DE3E30" w:rsidRDefault="00CE71F8" w:rsidP="00DE3E30">
            <w:pPr>
              <w:pStyle w:val="Sraopastraipa"/>
              <w:widowControl w:val="0"/>
              <w:spacing w:line="276" w:lineRule="auto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DE3E30">
              <w:rPr>
                <w:sz w:val="24"/>
                <w:szCs w:val="24"/>
              </w:rPr>
              <w:t>9.5. veiklos pobūdis laiko atžvilgiu;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9.6. individuali narių atsakomybė</w:t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3E1BFD" w:rsidP="00707FD9">
            <w:pPr>
              <w:widowControl w:val="0"/>
              <w:spacing w:before="100" w:beforeAutospacing="1" w:after="100" w:afterAutospacing="1"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Įstatymo projekte numatyti kolegialūs organai Jaunimo reikalų taryba</w:t>
            </w:r>
            <w:r w:rsidR="00707FD9">
              <w:rPr>
                <w:szCs w:val="24"/>
              </w:rPr>
              <w:t xml:space="preserve"> (institucinę sudėtį ir nuostatus tvirtina Lietuvos Respublikos socialinės apsaugos ir darbo ministras, o personalinę sudėtį – Jaunimo agentūros vadovas. Sudėtis nustatoma lygybės principu iš valstybės institucijų, Lietuvos jaunimo organizacijų tarybos ir Pasaulio lietuvių jaunimo sąjungos atstovų)</w:t>
            </w:r>
            <w:r w:rsidRPr="00DE3E30">
              <w:rPr>
                <w:szCs w:val="24"/>
              </w:rPr>
              <w:t xml:space="preserve"> ir</w:t>
            </w:r>
            <w:r w:rsidRPr="00DE3E30">
              <w:rPr>
                <w:b/>
                <w:bCs/>
                <w:szCs w:val="24"/>
              </w:rPr>
              <w:t xml:space="preserve"> </w:t>
            </w:r>
            <w:r w:rsidRPr="00DE3E30">
              <w:rPr>
                <w:szCs w:val="24"/>
              </w:rPr>
              <w:t>Savivaldybės jaunimo reikalų tarybos</w:t>
            </w:r>
            <w:r w:rsidR="00707FD9">
              <w:rPr>
                <w:szCs w:val="24"/>
              </w:rPr>
              <w:t xml:space="preserve"> (nuostatus ir personalinę sudėtį tvirtina savivaldybės taryba)</w:t>
            </w:r>
            <w:r w:rsidRPr="00DE3E30">
              <w:rPr>
                <w:szCs w:val="24"/>
              </w:rPr>
              <w:t>, kurios spendimų nepriima.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10.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Teisės akto projekto nuostatoms įgyvendinti numatytos administracinės procedūros yra </w:t>
            </w:r>
            <w:r w:rsidRPr="00DE3E30">
              <w:rPr>
                <w:szCs w:val="24"/>
                <w:shd w:val="clear" w:color="auto" w:fill="FFFFFF"/>
              </w:rPr>
              <w:t>būtinos,</w:t>
            </w:r>
            <w:r w:rsidRPr="00DE3E30">
              <w:rPr>
                <w:szCs w:val="24"/>
              </w:rPr>
              <w:t xml:space="preserve"> nustatyta išsami jų taikymo tvarka </w:t>
            </w:r>
          </w:p>
        </w:tc>
        <w:tc>
          <w:tcPr>
            <w:tcW w:w="6379" w:type="dxa"/>
            <w:shd w:val="clear" w:color="auto" w:fill="auto"/>
          </w:tcPr>
          <w:p w:rsidR="00176251" w:rsidRDefault="00447D01" w:rsidP="00DE3E30">
            <w:pPr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Įstatymo projekto 3 straipsnio 2</w:t>
            </w:r>
            <w:r w:rsidR="003E1BFD" w:rsidRPr="003E1BFD">
              <w:rPr>
                <w:szCs w:val="24"/>
              </w:rPr>
              <w:t xml:space="preserve"> dalyje nurodyta, kad </w:t>
            </w:r>
            <w:r w:rsidR="00176251">
              <w:rPr>
                <w:szCs w:val="24"/>
              </w:rPr>
              <w:t>Jaunimo agentūros prie Socialinės apsaugos ir darbo ministerijos nuostatus tvirtinta Lietuvos Respublikos Vyriausybė.</w:t>
            </w:r>
          </w:p>
          <w:p w:rsidR="003E1BFD" w:rsidRPr="003E1BFD" w:rsidRDefault="00447D01" w:rsidP="00DE3E30">
            <w:pPr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Jaunimo reikalų tarybos </w:t>
            </w:r>
            <w:r w:rsidR="00176251">
              <w:rPr>
                <w:szCs w:val="24"/>
              </w:rPr>
              <w:t>institucinę</w:t>
            </w:r>
            <w:r w:rsidRPr="00DE3E30">
              <w:rPr>
                <w:szCs w:val="24"/>
              </w:rPr>
              <w:t xml:space="preserve"> sudėtį</w:t>
            </w:r>
            <w:r w:rsidR="00176251">
              <w:rPr>
                <w:szCs w:val="24"/>
              </w:rPr>
              <w:t xml:space="preserve"> ir nuostatus tvirtinta socialinės apsaugos ir darbo ministras, o personalinę sudėtį</w:t>
            </w:r>
            <w:r w:rsidRPr="00DE3E30">
              <w:rPr>
                <w:szCs w:val="24"/>
              </w:rPr>
              <w:t xml:space="preserve"> </w:t>
            </w:r>
            <w:r w:rsidR="00176251">
              <w:rPr>
                <w:szCs w:val="24"/>
              </w:rPr>
              <w:t>Jaunimo agentūros vadovas.</w:t>
            </w:r>
          </w:p>
          <w:p w:rsidR="003E1BFD" w:rsidRPr="003E1BFD" w:rsidRDefault="003E1BFD" w:rsidP="00DE3E30">
            <w:pPr>
              <w:spacing w:line="276" w:lineRule="auto"/>
              <w:jc w:val="both"/>
              <w:rPr>
                <w:szCs w:val="24"/>
              </w:rPr>
            </w:pPr>
            <w:r w:rsidRPr="003E1BFD">
              <w:rPr>
                <w:szCs w:val="24"/>
              </w:rPr>
              <w:t xml:space="preserve">Įstatymo projekto </w:t>
            </w:r>
            <w:r w:rsidR="00447D01" w:rsidRPr="00DE3E30">
              <w:rPr>
                <w:szCs w:val="24"/>
              </w:rPr>
              <w:t>4 straipsnio 3</w:t>
            </w:r>
            <w:r w:rsidRPr="003E1BFD">
              <w:rPr>
                <w:szCs w:val="24"/>
              </w:rPr>
              <w:t xml:space="preserve"> dalyje nurodyta, kad </w:t>
            </w:r>
            <w:r w:rsidR="00447D01" w:rsidRPr="00DE3E30">
              <w:rPr>
                <w:bCs/>
                <w:szCs w:val="24"/>
              </w:rPr>
              <w:t>Savivaldybės jaunimo reikalų tarybos sudarymo tvarką nustato, nuostatus ir sudėtį tvirtina savivaldybės taryba</w:t>
            </w:r>
            <w:r w:rsidRPr="003E1BFD">
              <w:rPr>
                <w:szCs w:val="24"/>
              </w:rPr>
              <w:t>.</w:t>
            </w:r>
          </w:p>
          <w:p w:rsidR="00CE71F8" w:rsidRPr="00DE3E30" w:rsidRDefault="00447D01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Įstatymo projekto 6</w:t>
            </w:r>
            <w:r w:rsidR="003E1BFD" w:rsidRPr="003E1BFD">
              <w:rPr>
                <w:szCs w:val="24"/>
              </w:rPr>
              <w:t xml:space="preserve"> straipsnio 4 dalyje nurodyta, kad </w:t>
            </w:r>
            <w:r w:rsidRPr="00DE3E30">
              <w:rPr>
                <w:szCs w:val="24"/>
              </w:rPr>
              <w:t xml:space="preserve">formų darbo su jaunimu tvarką nustato socialinės apsaugos ir darbo ministras. 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projekte nustatytas baigtinis sąrašas motyvuotų atvejų, kai administracinė procedūra netaikoma</w:t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030D5C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Nereglamentuota</w:t>
            </w:r>
            <w:r w:rsidR="00F23308" w:rsidRPr="00DE3E30">
              <w:rPr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Teisės akto projektas nustato </w:t>
            </w:r>
            <w:r w:rsidR="00DF645D" w:rsidRPr="00DE3E30">
              <w:rPr>
                <w:szCs w:val="24"/>
              </w:rPr>
              <w:t xml:space="preserve">konkrečius </w:t>
            </w:r>
            <w:r w:rsidRPr="00DE3E30">
              <w:rPr>
                <w:szCs w:val="24"/>
              </w:rPr>
              <w:t xml:space="preserve">jo nuostatoms įgyvendinti numatytų </w:t>
            </w:r>
            <w:r w:rsidRPr="00DE3E30">
              <w:rPr>
                <w:szCs w:val="24"/>
              </w:rPr>
              <w:lastRenderedPageBreak/>
              <w:t>administracinių procedūrų ir sprendimo priėmimo terminus</w:t>
            </w:r>
          </w:p>
        </w:tc>
        <w:tc>
          <w:tcPr>
            <w:tcW w:w="6379" w:type="dxa"/>
            <w:shd w:val="clear" w:color="auto" w:fill="auto"/>
          </w:tcPr>
          <w:p w:rsidR="002D5B1B" w:rsidRPr="00DE3E30" w:rsidRDefault="00706017" w:rsidP="00DE3E30">
            <w:pPr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Nereglamentuota.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projektas nustato motyvuotas terminų sustabdymo ir pratęsimo galimybes</w:t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7B6137" w:rsidP="00DE3E30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Nereglamentuota.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projektas nustato administracinių procedūrų viešinimo tvarką</w:t>
            </w:r>
          </w:p>
        </w:tc>
        <w:tc>
          <w:tcPr>
            <w:tcW w:w="6379" w:type="dxa"/>
            <w:shd w:val="clear" w:color="auto" w:fill="auto"/>
          </w:tcPr>
          <w:p w:rsidR="00FC5D2F" w:rsidRPr="00DE3E30" w:rsidRDefault="007B6137" w:rsidP="00DE3E30">
            <w:pPr>
              <w:pStyle w:val="HTMLiankstoformatuotas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DE3E30">
              <w:rPr>
                <w:rFonts w:ascii="Times New Roman" w:hAnsi="Times New Roman"/>
                <w:sz w:val="24"/>
                <w:szCs w:val="24"/>
                <w:lang w:val="lt-LT"/>
              </w:rPr>
              <w:t>Nereglamentuota.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255DF7" w:rsidP="00DE3E30">
            <w:pPr>
              <w:spacing w:before="100" w:beforeAutospacing="1" w:after="100" w:afterAutospacing="1"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Nereglamentuota.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akto projekte nustatytos kontrolės (priežiūros) skaidrumo ir objektyvumo užtikrinimo priemonės</w:t>
            </w:r>
            <w:r w:rsidRPr="00DE3E30">
              <w:rPr>
                <w:rStyle w:val="Puslapioinaosnuoroda"/>
                <w:szCs w:val="24"/>
              </w:rPr>
              <w:footnoteReference w:id="1"/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255DF7" w:rsidP="00DE3E30">
            <w:pPr>
              <w:spacing w:before="100" w:beforeAutospacing="1" w:after="100" w:afterAutospacing="1"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Nereglamentuota.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 xml:space="preserve">Teisės akto projekte nustatyta subjektų, su kuriais susijęs teisės akto projekto nuostatų įgyvendinimas, atsakomybės </w:t>
            </w:r>
            <w:r w:rsidRPr="00DE3E30">
              <w:rPr>
                <w:szCs w:val="24"/>
              </w:rPr>
              <w:lastRenderedPageBreak/>
              <w:t>rūšis (tarnybinė, administracinė, baudžiamoji ir panašiai)</w:t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706017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Įstatymo projekte nustatytų subjektų, su kuriais susijęs Įstatymo projekto nuostatų įgyvendinimas, atsakomybę reglamentuoja bendrieji atsakomybę (tarnybinę, civilinę, baudžiamąją ir kt.) nustatantys teisės aktai.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lastRenderedPageBreak/>
              <w:t>18.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6379" w:type="dxa"/>
            <w:shd w:val="clear" w:color="auto" w:fill="auto"/>
          </w:tcPr>
          <w:p w:rsidR="000E0952" w:rsidRPr="00DE3E30" w:rsidRDefault="000E0952" w:rsidP="00DE3E30">
            <w:pPr>
              <w:widowControl w:val="0"/>
              <w:spacing w:before="100" w:beforeAutospacing="1" w:after="100" w:afterAutospacing="1"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Nereglamentuota</w:t>
            </w:r>
            <w:r w:rsidR="00552E14" w:rsidRPr="00DE3E30">
              <w:rPr>
                <w:szCs w:val="24"/>
              </w:rPr>
              <w:t>.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  <w:tr w:rsidR="00664044" w:rsidRPr="00DE3E30" w:rsidTr="00B40618">
        <w:trPr>
          <w:trHeight w:val="23"/>
        </w:trPr>
        <w:tc>
          <w:tcPr>
            <w:tcW w:w="709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E3E30">
              <w:rPr>
                <w:szCs w:val="24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Kiti svarbūs kriterijai</w:t>
            </w:r>
          </w:p>
        </w:tc>
        <w:tc>
          <w:tcPr>
            <w:tcW w:w="6379" w:type="dxa"/>
            <w:shd w:val="clear" w:color="auto" w:fill="auto"/>
          </w:tcPr>
          <w:p w:rsidR="00CE71F8" w:rsidRPr="00DE3E30" w:rsidRDefault="00030D5C" w:rsidP="00DE3E30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E3E30">
              <w:rPr>
                <w:szCs w:val="24"/>
              </w:rPr>
              <w:t>Nėra.</w:t>
            </w:r>
          </w:p>
        </w:tc>
        <w:tc>
          <w:tcPr>
            <w:tcW w:w="2410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tenkina</w:t>
            </w:r>
          </w:p>
          <w:p w:rsidR="00CE71F8" w:rsidRPr="00DE3E30" w:rsidRDefault="00CE71F8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□ netenkina</w:t>
            </w:r>
          </w:p>
        </w:tc>
      </w:tr>
    </w:tbl>
    <w:p w:rsidR="00A26344" w:rsidRPr="00DE3E30" w:rsidRDefault="00A26344" w:rsidP="00DE3E30">
      <w:pPr>
        <w:pStyle w:val="Antrats"/>
        <w:widowControl w:val="0"/>
        <w:tabs>
          <w:tab w:val="clear" w:pos="4153"/>
          <w:tab w:val="clear" w:pos="8306"/>
          <w:tab w:val="left" w:pos="6237"/>
        </w:tabs>
        <w:spacing w:line="276" w:lineRule="auto"/>
        <w:rPr>
          <w:color w:val="000000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664044" w:rsidRPr="00DE3E30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szCs w:val="24"/>
              </w:rPr>
              <w:t>Te</w:t>
            </w:r>
            <w:r w:rsidR="00B57826" w:rsidRPr="00DE3E30">
              <w:rPr>
                <w:szCs w:val="24"/>
              </w:rPr>
              <w:t xml:space="preserve">isės akto projekto tiesioginis </w:t>
            </w:r>
            <w:r w:rsidRPr="00DE3E30">
              <w:rPr>
                <w:szCs w:val="24"/>
              </w:rPr>
              <w:t>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956B9A" w:rsidRDefault="00956B9A" w:rsidP="00DE3E30">
            <w:pPr>
              <w:widowControl w:val="0"/>
              <w:spacing w:line="276" w:lineRule="auto"/>
              <w:rPr>
                <w:rStyle w:val="typewriter0"/>
                <w:szCs w:val="24"/>
              </w:rPr>
            </w:pPr>
            <w:r>
              <w:rPr>
                <w:rStyle w:val="typewriter0"/>
                <w:szCs w:val="24"/>
              </w:rPr>
              <w:t xml:space="preserve">Lygių galimybių, moterų ir vyrų lygybės skyriaus vedėja </w:t>
            </w:r>
          </w:p>
          <w:p w:rsidR="00AA480E" w:rsidRPr="00DE3E30" w:rsidRDefault="00706017" w:rsidP="00DE3E30">
            <w:pPr>
              <w:widowControl w:val="0"/>
              <w:spacing w:line="276" w:lineRule="auto"/>
              <w:rPr>
                <w:szCs w:val="24"/>
              </w:rPr>
            </w:pPr>
            <w:r w:rsidRPr="00DE3E30">
              <w:rPr>
                <w:rStyle w:val="typewriter0"/>
                <w:szCs w:val="24"/>
              </w:rPr>
              <w:t>Jolanta Sakalauskienė</w:t>
            </w:r>
            <w:r w:rsidRPr="00DE3E30">
              <w:rPr>
                <w:szCs w:val="24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rStyle w:val="typewriter0"/>
                <w:szCs w:val="24"/>
              </w:rPr>
            </w:pPr>
            <w:r w:rsidRPr="00DE3E30">
              <w:rPr>
                <w:rStyle w:val="typewriter0"/>
                <w:szCs w:val="24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D93793" w:rsidRPr="00DE3E30" w:rsidRDefault="00030D5C" w:rsidP="00DE3E30">
            <w:pPr>
              <w:widowControl w:val="0"/>
              <w:spacing w:line="276" w:lineRule="auto"/>
              <w:rPr>
                <w:rStyle w:val="typewriter0"/>
                <w:szCs w:val="24"/>
              </w:rPr>
            </w:pPr>
            <w:r w:rsidRPr="00DE3E30">
              <w:rPr>
                <w:rStyle w:val="typewriter0"/>
                <w:szCs w:val="24"/>
              </w:rPr>
              <w:t>Teisės skyriaus vyriausioji specialistė</w:t>
            </w:r>
          </w:p>
          <w:p w:rsidR="00AA480E" w:rsidRPr="00DE3E30" w:rsidRDefault="007B6137" w:rsidP="00DE3E30">
            <w:pPr>
              <w:widowControl w:val="0"/>
              <w:spacing w:line="276" w:lineRule="auto"/>
              <w:rPr>
                <w:rStyle w:val="typewriter0"/>
                <w:szCs w:val="24"/>
              </w:rPr>
            </w:pPr>
            <w:r w:rsidRPr="00DE3E30">
              <w:rPr>
                <w:rStyle w:val="typewriter0"/>
                <w:szCs w:val="24"/>
              </w:rPr>
              <w:t>Lina Kovalčuk</w:t>
            </w:r>
          </w:p>
        </w:tc>
      </w:tr>
      <w:tr w:rsidR="00664044" w:rsidRPr="00DE3E30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AA480E" w:rsidRPr="00DE3E30" w:rsidRDefault="00B57826" w:rsidP="00DE3E30">
            <w:pPr>
              <w:widowControl w:val="0"/>
              <w:spacing w:line="276" w:lineRule="auto"/>
              <w:ind w:left="-11" w:firstLine="11"/>
              <w:rPr>
                <w:szCs w:val="24"/>
              </w:rPr>
            </w:pPr>
            <w:r w:rsidRPr="00DE3E30">
              <w:rPr>
                <w:szCs w:val="24"/>
              </w:rPr>
              <w:t>(</w:t>
            </w:r>
            <w:r w:rsidR="00AA480E" w:rsidRPr="00DE3E30">
              <w:rPr>
                <w:szCs w:val="24"/>
              </w:rPr>
              <w:t>pareigos</w:t>
            </w:r>
            <w:r w:rsidRPr="00DE3E30">
              <w:rPr>
                <w:szCs w:val="24"/>
              </w:rPr>
              <w:t>)</w:t>
            </w:r>
            <w:r w:rsidR="00AA480E" w:rsidRPr="00DE3E30">
              <w:rPr>
                <w:szCs w:val="24"/>
              </w:rPr>
              <w:t xml:space="preserve">                         </w:t>
            </w:r>
            <w:r w:rsidRPr="00DE3E30">
              <w:rPr>
                <w:szCs w:val="24"/>
              </w:rPr>
              <w:t>(vardas ir</w:t>
            </w:r>
            <w:r w:rsidR="00AA480E" w:rsidRPr="00DE3E30">
              <w:rPr>
                <w:szCs w:val="24"/>
              </w:rPr>
              <w:t xml:space="preserve"> pavardė</w:t>
            </w:r>
            <w:r w:rsidRPr="00DE3E30">
              <w:rPr>
                <w:szCs w:val="24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DE3E30" w:rsidRDefault="00B57826" w:rsidP="00DE3E30">
            <w:pPr>
              <w:widowControl w:val="0"/>
              <w:spacing w:line="276" w:lineRule="auto"/>
              <w:ind w:left="-11" w:firstLine="11"/>
              <w:rPr>
                <w:szCs w:val="24"/>
              </w:rPr>
            </w:pPr>
            <w:r w:rsidRPr="00DE3E30">
              <w:rPr>
                <w:szCs w:val="24"/>
              </w:rPr>
              <w:t>(</w:t>
            </w:r>
            <w:r w:rsidR="00AA480E" w:rsidRPr="00DE3E30">
              <w:rPr>
                <w:szCs w:val="24"/>
              </w:rPr>
              <w:t>pareigos</w:t>
            </w:r>
            <w:r w:rsidRPr="00DE3E30">
              <w:rPr>
                <w:szCs w:val="24"/>
              </w:rPr>
              <w:t>)</w:t>
            </w:r>
            <w:r w:rsidR="00AA480E" w:rsidRPr="00DE3E30">
              <w:rPr>
                <w:szCs w:val="24"/>
              </w:rPr>
              <w:t xml:space="preserve">                    </w:t>
            </w:r>
            <w:r w:rsidRPr="00DE3E30">
              <w:rPr>
                <w:szCs w:val="24"/>
              </w:rPr>
              <w:t xml:space="preserve">             </w:t>
            </w:r>
            <w:r w:rsidR="00AA480E" w:rsidRPr="00DE3E30">
              <w:rPr>
                <w:szCs w:val="24"/>
              </w:rPr>
              <w:t xml:space="preserve">      </w:t>
            </w:r>
            <w:r w:rsidRPr="00DE3E30">
              <w:rPr>
                <w:szCs w:val="24"/>
              </w:rPr>
              <w:t xml:space="preserve">(vardas ir </w:t>
            </w:r>
            <w:r w:rsidR="00AA480E" w:rsidRPr="00DE3E30">
              <w:rPr>
                <w:szCs w:val="24"/>
              </w:rPr>
              <w:t>pavardė</w:t>
            </w:r>
            <w:r w:rsidRPr="00DE3E30">
              <w:rPr>
                <w:szCs w:val="24"/>
              </w:rPr>
              <w:t>)</w:t>
            </w:r>
          </w:p>
        </w:tc>
      </w:tr>
      <w:tr w:rsidR="00664044" w:rsidRPr="00DE3E30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ind w:left="-11" w:firstLine="11"/>
              <w:rPr>
                <w:szCs w:val="24"/>
              </w:rPr>
            </w:pPr>
          </w:p>
        </w:tc>
      </w:tr>
      <w:tr w:rsidR="00664044" w:rsidRPr="00DE3E30" w:rsidTr="00A14BF4">
        <w:trPr>
          <w:trHeight w:val="23"/>
        </w:trPr>
        <w:tc>
          <w:tcPr>
            <w:tcW w:w="2457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4773" w:type="dxa"/>
            <w:shd w:val="clear" w:color="auto" w:fill="auto"/>
          </w:tcPr>
          <w:p w:rsidR="00AA480E" w:rsidRPr="00DE3E30" w:rsidRDefault="00B57826" w:rsidP="00DE3E30">
            <w:pPr>
              <w:widowControl w:val="0"/>
              <w:spacing w:line="276" w:lineRule="auto"/>
              <w:ind w:left="-11" w:firstLine="11"/>
              <w:rPr>
                <w:szCs w:val="24"/>
              </w:rPr>
            </w:pPr>
            <w:r w:rsidRPr="00DE3E30">
              <w:rPr>
                <w:szCs w:val="24"/>
              </w:rPr>
              <w:t>(</w:t>
            </w:r>
            <w:r w:rsidR="00AA480E" w:rsidRPr="00DE3E30">
              <w:rPr>
                <w:szCs w:val="24"/>
              </w:rPr>
              <w:t>parašas</w:t>
            </w:r>
            <w:r w:rsidRPr="00DE3E30">
              <w:rPr>
                <w:szCs w:val="24"/>
              </w:rPr>
              <w:t>)</w:t>
            </w:r>
            <w:r w:rsidR="00AA480E" w:rsidRPr="00DE3E30">
              <w:rPr>
                <w:szCs w:val="24"/>
              </w:rPr>
              <w:t xml:space="preserve">                    </w:t>
            </w:r>
            <w:r w:rsidRPr="00DE3E30">
              <w:rPr>
                <w:szCs w:val="24"/>
              </w:rPr>
              <w:t xml:space="preserve">                 </w:t>
            </w:r>
            <w:r w:rsidR="00AA480E" w:rsidRPr="00DE3E30">
              <w:rPr>
                <w:szCs w:val="24"/>
              </w:rPr>
              <w:t xml:space="preserve"> </w:t>
            </w:r>
            <w:r w:rsidRPr="00DE3E30">
              <w:rPr>
                <w:szCs w:val="24"/>
              </w:rPr>
              <w:t>(</w:t>
            </w:r>
            <w:r w:rsidR="00AA480E" w:rsidRPr="00DE3E30">
              <w:rPr>
                <w:szCs w:val="24"/>
              </w:rPr>
              <w:t>data</w:t>
            </w:r>
            <w:r w:rsidRPr="00DE3E30">
              <w:rPr>
                <w:szCs w:val="24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:rsidR="00AA480E" w:rsidRPr="00DE3E30" w:rsidRDefault="00AA480E" w:rsidP="00DE3E30">
            <w:pPr>
              <w:widowControl w:val="0"/>
              <w:spacing w:line="276" w:lineRule="auto"/>
              <w:rPr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DE3E30" w:rsidRDefault="00B57826" w:rsidP="00DE3E30">
            <w:pPr>
              <w:widowControl w:val="0"/>
              <w:spacing w:line="276" w:lineRule="auto"/>
              <w:ind w:left="-11" w:firstLine="11"/>
              <w:rPr>
                <w:szCs w:val="24"/>
              </w:rPr>
            </w:pPr>
            <w:r w:rsidRPr="00DE3E30">
              <w:rPr>
                <w:szCs w:val="24"/>
              </w:rPr>
              <w:t xml:space="preserve"> (</w:t>
            </w:r>
            <w:r w:rsidR="00AA480E" w:rsidRPr="00DE3E30">
              <w:rPr>
                <w:szCs w:val="24"/>
              </w:rPr>
              <w:t>parašas</w:t>
            </w:r>
            <w:r w:rsidRPr="00DE3E30">
              <w:rPr>
                <w:szCs w:val="24"/>
              </w:rPr>
              <w:t>)</w:t>
            </w:r>
            <w:r w:rsidR="00AA480E" w:rsidRPr="00DE3E30">
              <w:rPr>
                <w:szCs w:val="24"/>
              </w:rPr>
              <w:t xml:space="preserve">                       </w:t>
            </w:r>
            <w:r w:rsidRPr="00DE3E30">
              <w:rPr>
                <w:szCs w:val="24"/>
              </w:rPr>
              <w:t xml:space="preserve">                             </w:t>
            </w:r>
            <w:r w:rsidR="00AA480E" w:rsidRPr="00DE3E30">
              <w:rPr>
                <w:szCs w:val="24"/>
              </w:rPr>
              <w:t xml:space="preserve"> </w:t>
            </w:r>
            <w:r w:rsidRPr="00DE3E30">
              <w:rPr>
                <w:szCs w:val="24"/>
              </w:rPr>
              <w:t>(</w:t>
            </w:r>
            <w:r w:rsidR="00AA480E" w:rsidRPr="00DE3E30">
              <w:rPr>
                <w:szCs w:val="24"/>
              </w:rPr>
              <w:t>data</w:t>
            </w:r>
            <w:r w:rsidRPr="00DE3E30">
              <w:rPr>
                <w:szCs w:val="24"/>
              </w:rPr>
              <w:t>)</w:t>
            </w:r>
          </w:p>
        </w:tc>
      </w:tr>
    </w:tbl>
    <w:p w:rsidR="00B57826" w:rsidRPr="00DE3E30" w:rsidRDefault="00B57826" w:rsidP="00DE3E30">
      <w:pPr>
        <w:pStyle w:val="Antrats"/>
        <w:widowControl w:val="0"/>
        <w:tabs>
          <w:tab w:val="clear" w:pos="4153"/>
          <w:tab w:val="clear" w:pos="8306"/>
          <w:tab w:val="left" w:pos="6237"/>
        </w:tabs>
        <w:spacing w:line="276" w:lineRule="auto"/>
        <w:rPr>
          <w:color w:val="000000"/>
          <w:szCs w:val="24"/>
        </w:rPr>
      </w:pPr>
    </w:p>
    <w:sectPr w:rsidR="00B57826" w:rsidRPr="00DE3E30" w:rsidSect="00DE3E30">
      <w:headerReference w:type="even" r:id="rId9"/>
      <w:headerReference w:type="default" r:id="rId10"/>
      <w:pgSz w:w="16838" w:h="11906" w:orient="landscape" w:code="9"/>
      <w:pgMar w:top="709" w:right="395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0E2" w:rsidRDefault="00AC30E2">
      <w:r>
        <w:separator/>
      </w:r>
    </w:p>
  </w:endnote>
  <w:endnote w:type="continuationSeparator" w:id="0">
    <w:p w:rsidR="00AC30E2" w:rsidRDefault="00AC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0E2" w:rsidRDefault="00AC30E2">
      <w:r>
        <w:separator/>
      </w:r>
    </w:p>
  </w:footnote>
  <w:footnote w:type="continuationSeparator" w:id="0">
    <w:p w:rsidR="00AC30E2" w:rsidRDefault="00AC30E2">
      <w:r>
        <w:continuationSeparator/>
      </w:r>
    </w:p>
  </w:footnote>
  <w:footnote w:id="1">
    <w:p w:rsidR="0036172B" w:rsidRPr="008E4C80" w:rsidRDefault="0036172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2B" w:rsidRDefault="0036172B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6172B" w:rsidRDefault="003617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72B" w:rsidRDefault="0036172B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117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6172B" w:rsidRDefault="0036172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4C982E8A"/>
    <w:multiLevelType w:val="hybridMultilevel"/>
    <w:tmpl w:val="CAE43A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619"/>
    <w:rsid w:val="0000252E"/>
    <w:rsid w:val="00013BF8"/>
    <w:rsid w:val="00015401"/>
    <w:rsid w:val="00021155"/>
    <w:rsid w:val="000213BA"/>
    <w:rsid w:val="0002398C"/>
    <w:rsid w:val="00023F53"/>
    <w:rsid w:val="00030D5C"/>
    <w:rsid w:val="00040AA2"/>
    <w:rsid w:val="00040D80"/>
    <w:rsid w:val="0004100C"/>
    <w:rsid w:val="0004392A"/>
    <w:rsid w:val="00045183"/>
    <w:rsid w:val="00050062"/>
    <w:rsid w:val="0005781B"/>
    <w:rsid w:val="00061715"/>
    <w:rsid w:val="00071F90"/>
    <w:rsid w:val="00077563"/>
    <w:rsid w:val="00077A3B"/>
    <w:rsid w:val="000826E8"/>
    <w:rsid w:val="0008470F"/>
    <w:rsid w:val="00090835"/>
    <w:rsid w:val="00091012"/>
    <w:rsid w:val="00097EC7"/>
    <w:rsid w:val="000A24FA"/>
    <w:rsid w:val="000A6572"/>
    <w:rsid w:val="000B0E98"/>
    <w:rsid w:val="000B1D23"/>
    <w:rsid w:val="000B4BE8"/>
    <w:rsid w:val="000B6A65"/>
    <w:rsid w:val="000B7C46"/>
    <w:rsid w:val="000C1F13"/>
    <w:rsid w:val="000C564A"/>
    <w:rsid w:val="000D47C2"/>
    <w:rsid w:val="000D5B8B"/>
    <w:rsid w:val="000D7983"/>
    <w:rsid w:val="000E0952"/>
    <w:rsid w:val="000E1B35"/>
    <w:rsid w:val="000E1CAC"/>
    <w:rsid w:val="000E22BD"/>
    <w:rsid w:val="000E479B"/>
    <w:rsid w:val="000E5567"/>
    <w:rsid w:val="000E6350"/>
    <w:rsid w:val="000F12E8"/>
    <w:rsid w:val="000F4514"/>
    <w:rsid w:val="000F4DAE"/>
    <w:rsid w:val="000F52F1"/>
    <w:rsid w:val="0010057E"/>
    <w:rsid w:val="00106000"/>
    <w:rsid w:val="001062F6"/>
    <w:rsid w:val="001063F7"/>
    <w:rsid w:val="001079FB"/>
    <w:rsid w:val="00107D7F"/>
    <w:rsid w:val="001130BB"/>
    <w:rsid w:val="0011343E"/>
    <w:rsid w:val="00126EE6"/>
    <w:rsid w:val="001272CA"/>
    <w:rsid w:val="00130979"/>
    <w:rsid w:val="0013525D"/>
    <w:rsid w:val="00135C4E"/>
    <w:rsid w:val="0013687E"/>
    <w:rsid w:val="00136AFB"/>
    <w:rsid w:val="00136E81"/>
    <w:rsid w:val="00143451"/>
    <w:rsid w:val="00144257"/>
    <w:rsid w:val="00144BD5"/>
    <w:rsid w:val="00144F31"/>
    <w:rsid w:val="0014792A"/>
    <w:rsid w:val="00151EA6"/>
    <w:rsid w:val="0015253C"/>
    <w:rsid w:val="00153234"/>
    <w:rsid w:val="0015374A"/>
    <w:rsid w:val="0015590E"/>
    <w:rsid w:val="0015599C"/>
    <w:rsid w:val="0015638C"/>
    <w:rsid w:val="00162228"/>
    <w:rsid w:val="0016498C"/>
    <w:rsid w:val="00170355"/>
    <w:rsid w:val="00176251"/>
    <w:rsid w:val="00183972"/>
    <w:rsid w:val="00185A31"/>
    <w:rsid w:val="0019388E"/>
    <w:rsid w:val="00194342"/>
    <w:rsid w:val="001946BD"/>
    <w:rsid w:val="001A0A85"/>
    <w:rsid w:val="001A320C"/>
    <w:rsid w:val="001A3D33"/>
    <w:rsid w:val="001A64C6"/>
    <w:rsid w:val="001A72C3"/>
    <w:rsid w:val="001B7E03"/>
    <w:rsid w:val="001C15FF"/>
    <w:rsid w:val="001C7639"/>
    <w:rsid w:val="001D0ECF"/>
    <w:rsid w:val="001D257A"/>
    <w:rsid w:val="001D444A"/>
    <w:rsid w:val="001D77D7"/>
    <w:rsid w:val="001F03BA"/>
    <w:rsid w:val="001F4A01"/>
    <w:rsid w:val="00201AC2"/>
    <w:rsid w:val="0020275E"/>
    <w:rsid w:val="00207C40"/>
    <w:rsid w:val="00217859"/>
    <w:rsid w:val="002241D5"/>
    <w:rsid w:val="00226350"/>
    <w:rsid w:val="00231B50"/>
    <w:rsid w:val="002325E5"/>
    <w:rsid w:val="00233FFE"/>
    <w:rsid w:val="00234578"/>
    <w:rsid w:val="002351DA"/>
    <w:rsid w:val="002368EF"/>
    <w:rsid w:val="00240846"/>
    <w:rsid w:val="00243E54"/>
    <w:rsid w:val="00244099"/>
    <w:rsid w:val="00245C90"/>
    <w:rsid w:val="002504B1"/>
    <w:rsid w:val="00253D0C"/>
    <w:rsid w:val="00255DF7"/>
    <w:rsid w:val="0026001E"/>
    <w:rsid w:val="0026181F"/>
    <w:rsid w:val="002672B6"/>
    <w:rsid w:val="0027356B"/>
    <w:rsid w:val="00275E8C"/>
    <w:rsid w:val="00280CAF"/>
    <w:rsid w:val="002814A8"/>
    <w:rsid w:val="002836C5"/>
    <w:rsid w:val="0029473A"/>
    <w:rsid w:val="00294A1F"/>
    <w:rsid w:val="0029537F"/>
    <w:rsid w:val="00297E04"/>
    <w:rsid w:val="002A1B35"/>
    <w:rsid w:val="002B3947"/>
    <w:rsid w:val="002B3A50"/>
    <w:rsid w:val="002C1849"/>
    <w:rsid w:val="002C2FE0"/>
    <w:rsid w:val="002C69E1"/>
    <w:rsid w:val="002D0CD9"/>
    <w:rsid w:val="002D22B6"/>
    <w:rsid w:val="002D4B01"/>
    <w:rsid w:val="002D5B1B"/>
    <w:rsid w:val="002D7C0A"/>
    <w:rsid w:val="002E061B"/>
    <w:rsid w:val="002E3918"/>
    <w:rsid w:val="002E695E"/>
    <w:rsid w:val="002F6CE1"/>
    <w:rsid w:val="00300133"/>
    <w:rsid w:val="0030023B"/>
    <w:rsid w:val="00313C58"/>
    <w:rsid w:val="00315D7B"/>
    <w:rsid w:val="00317A35"/>
    <w:rsid w:val="00321C73"/>
    <w:rsid w:val="003224B3"/>
    <w:rsid w:val="00325364"/>
    <w:rsid w:val="003254E3"/>
    <w:rsid w:val="00326039"/>
    <w:rsid w:val="00326793"/>
    <w:rsid w:val="00331F88"/>
    <w:rsid w:val="00337527"/>
    <w:rsid w:val="00337AF3"/>
    <w:rsid w:val="00337FE5"/>
    <w:rsid w:val="00341916"/>
    <w:rsid w:val="003548DA"/>
    <w:rsid w:val="0036172B"/>
    <w:rsid w:val="003654F4"/>
    <w:rsid w:val="003673CF"/>
    <w:rsid w:val="00375384"/>
    <w:rsid w:val="00377337"/>
    <w:rsid w:val="0038726A"/>
    <w:rsid w:val="00396211"/>
    <w:rsid w:val="003A32AD"/>
    <w:rsid w:val="003A6166"/>
    <w:rsid w:val="003B09B2"/>
    <w:rsid w:val="003B1B9D"/>
    <w:rsid w:val="003C4F25"/>
    <w:rsid w:val="003C7C06"/>
    <w:rsid w:val="003D2AAA"/>
    <w:rsid w:val="003D6349"/>
    <w:rsid w:val="003D6996"/>
    <w:rsid w:val="003E08BB"/>
    <w:rsid w:val="003E1BFD"/>
    <w:rsid w:val="003E24DC"/>
    <w:rsid w:val="003E7F7B"/>
    <w:rsid w:val="003F0025"/>
    <w:rsid w:val="003F22B2"/>
    <w:rsid w:val="004024B7"/>
    <w:rsid w:val="00404A91"/>
    <w:rsid w:val="0040785D"/>
    <w:rsid w:val="00411173"/>
    <w:rsid w:val="00411A4D"/>
    <w:rsid w:val="00412549"/>
    <w:rsid w:val="00430175"/>
    <w:rsid w:val="00431E80"/>
    <w:rsid w:val="00431F67"/>
    <w:rsid w:val="004369D8"/>
    <w:rsid w:val="00440821"/>
    <w:rsid w:val="00447D01"/>
    <w:rsid w:val="00455B9B"/>
    <w:rsid w:val="00456B69"/>
    <w:rsid w:val="0046127E"/>
    <w:rsid w:val="00461459"/>
    <w:rsid w:val="004633D0"/>
    <w:rsid w:val="00465D2F"/>
    <w:rsid w:val="00481D88"/>
    <w:rsid w:val="0048238D"/>
    <w:rsid w:val="00482C99"/>
    <w:rsid w:val="0048524F"/>
    <w:rsid w:val="00486062"/>
    <w:rsid w:val="00486830"/>
    <w:rsid w:val="00492422"/>
    <w:rsid w:val="00495855"/>
    <w:rsid w:val="004967C2"/>
    <w:rsid w:val="004973D1"/>
    <w:rsid w:val="00497F39"/>
    <w:rsid w:val="004A0AD8"/>
    <w:rsid w:val="004A2F39"/>
    <w:rsid w:val="004A31DC"/>
    <w:rsid w:val="004A3796"/>
    <w:rsid w:val="004A3B94"/>
    <w:rsid w:val="004A438D"/>
    <w:rsid w:val="004A6A6E"/>
    <w:rsid w:val="004B008E"/>
    <w:rsid w:val="004B034A"/>
    <w:rsid w:val="004B35AE"/>
    <w:rsid w:val="004B533D"/>
    <w:rsid w:val="004B6528"/>
    <w:rsid w:val="004B76BF"/>
    <w:rsid w:val="004C66E7"/>
    <w:rsid w:val="004D10EE"/>
    <w:rsid w:val="004D2FF3"/>
    <w:rsid w:val="004D4B55"/>
    <w:rsid w:val="004D58F0"/>
    <w:rsid w:val="004E005E"/>
    <w:rsid w:val="004E5C75"/>
    <w:rsid w:val="004F0BC4"/>
    <w:rsid w:val="004F4562"/>
    <w:rsid w:val="004F465A"/>
    <w:rsid w:val="004F779C"/>
    <w:rsid w:val="005017B9"/>
    <w:rsid w:val="00503306"/>
    <w:rsid w:val="0051002D"/>
    <w:rsid w:val="00511E2D"/>
    <w:rsid w:val="00511EF3"/>
    <w:rsid w:val="00514C76"/>
    <w:rsid w:val="00526EE2"/>
    <w:rsid w:val="00530414"/>
    <w:rsid w:val="00535363"/>
    <w:rsid w:val="00535DB9"/>
    <w:rsid w:val="005428FA"/>
    <w:rsid w:val="0055005E"/>
    <w:rsid w:val="00552E14"/>
    <w:rsid w:val="00553870"/>
    <w:rsid w:val="00553FB0"/>
    <w:rsid w:val="005709CF"/>
    <w:rsid w:val="0057362D"/>
    <w:rsid w:val="00574F8C"/>
    <w:rsid w:val="00581771"/>
    <w:rsid w:val="005837D8"/>
    <w:rsid w:val="00592506"/>
    <w:rsid w:val="005A5535"/>
    <w:rsid w:val="005B0B0D"/>
    <w:rsid w:val="005B203B"/>
    <w:rsid w:val="005B3583"/>
    <w:rsid w:val="005B4526"/>
    <w:rsid w:val="005B45E9"/>
    <w:rsid w:val="005B5D82"/>
    <w:rsid w:val="005B74F3"/>
    <w:rsid w:val="005C1717"/>
    <w:rsid w:val="005D10DA"/>
    <w:rsid w:val="005D10E6"/>
    <w:rsid w:val="005D1663"/>
    <w:rsid w:val="005E23ED"/>
    <w:rsid w:val="005E3E9F"/>
    <w:rsid w:val="005E7198"/>
    <w:rsid w:val="005E7DD4"/>
    <w:rsid w:val="005F21A0"/>
    <w:rsid w:val="005F41D9"/>
    <w:rsid w:val="00600A4B"/>
    <w:rsid w:val="00601EBA"/>
    <w:rsid w:val="006157D4"/>
    <w:rsid w:val="00616BDE"/>
    <w:rsid w:val="0062183E"/>
    <w:rsid w:val="006225E0"/>
    <w:rsid w:val="00625D07"/>
    <w:rsid w:val="00626574"/>
    <w:rsid w:val="00626F9E"/>
    <w:rsid w:val="006338DA"/>
    <w:rsid w:val="006403A6"/>
    <w:rsid w:val="006471DC"/>
    <w:rsid w:val="00651514"/>
    <w:rsid w:val="006547B6"/>
    <w:rsid w:val="006579C1"/>
    <w:rsid w:val="00664044"/>
    <w:rsid w:val="00665225"/>
    <w:rsid w:val="006672DE"/>
    <w:rsid w:val="00670213"/>
    <w:rsid w:val="00672980"/>
    <w:rsid w:val="00672A7F"/>
    <w:rsid w:val="00674FBE"/>
    <w:rsid w:val="00677A14"/>
    <w:rsid w:val="00680411"/>
    <w:rsid w:val="006817AF"/>
    <w:rsid w:val="00681FFE"/>
    <w:rsid w:val="006827A5"/>
    <w:rsid w:val="00684C7E"/>
    <w:rsid w:val="00684EEB"/>
    <w:rsid w:val="00685AA4"/>
    <w:rsid w:val="006871FC"/>
    <w:rsid w:val="00691100"/>
    <w:rsid w:val="0069349D"/>
    <w:rsid w:val="006972E2"/>
    <w:rsid w:val="00697FD6"/>
    <w:rsid w:val="006A2A82"/>
    <w:rsid w:val="006A6F92"/>
    <w:rsid w:val="006B023A"/>
    <w:rsid w:val="006B0EEB"/>
    <w:rsid w:val="006B7E9D"/>
    <w:rsid w:val="006D47C4"/>
    <w:rsid w:val="006D5495"/>
    <w:rsid w:val="006D5D3D"/>
    <w:rsid w:val="006D64AE"/>
    <w:rsid w:val="006D7067"/>
    <w:rsid w:val="006E2CD3"/>
    <w:rsid w:val="006E35A5"/>
    <w:rsid w:val="006E65D0"/>
    <w:rsid w:val="006F3AB7"/>
    <w:rsid w:val="00701EE2"/>
    <w:rsid w:val="00702DBE"/>
    <w:rsid w:val="00704DB7"/>
    <w:rsid w:val="00706017"/>
    <w:rsid w:val="00707FD9"/>
    <w:rsid w:val="00710CFB"/>
    <w:rsid w:val="00712B13"/>
    <w:rsid w:val="0071447A"/>
    <w:rsid w:val="00714ABA"/>
    <w:rsid w:val="007163B0"/>
    <w:rsid w:val="0071780B"/>
    <w:rsid w:val="00722539"/>
    <w:rsid w:val="00722BF7"/>
    <w:rsid w:val="00722FC0"/>
    <w:rsid w:val="007259CA"/>
    <w:rsid w:val="00742292"/>
    <w:rsid w:val="007430CE"/>
    <w:rsid w:val="00746968"/>
    <w:rsid w:val="007469D8"/>
    <w:rsid w:val="0075181B"/>
    <w:rsid w:val="007537F3"/>
    <w:rsid w:val="00757DFF"/>
    <w:rsid w:val="00761339"/>
    <w:rsid w:val="00761FF2"/>
    <w:rsid w:val="00763C5D"/>
    <w:rsid w:val="0076403E"/>
    <w:rsid w:val="00765E1F"/>
    <w:rsid w:val="007822A1"/>
    <w:rsid w:val="00784E27"/>
    <w:rsid w:val="007920E1"/>
    <w:rsid w:val="007932A1"/>
    <w:rsid w:val="007942ED"/>
    <w:rsid w:val="007A39E8"/>
    <w:rsid w:val="007A44F3"/>
    <w:rsid w:val="007A5B23"/>
    <w:rsid w:val="007B2E69"/>
    <w:rsid w:val="007B3399"/>
    <w:rsid w:val="007B6137"/>
    <w:rsid w:val="007B7C73"/>
    <w:rsid w:val="007C13F1"/>
    <w:rsid w:val="007C1C24"/>
    <w:rsid w:val="007C5707"/>
    <w:rsid w:val="007C5AF9"/>
    <w:rsid w:val="007D1DE5"/>
    <w:rsid w:val="007D6E06"/>
    <w:rsid w:val="007E46ED"/>
    <w:rsid w:val="007F27AF"/>
    <w:rsid w:val="007F78DC"/>
    <w:rsid w:val="00814D28"/>
    <w:rsid w:val="00815173"/>
    <w:rsid w:val="008167FF"/>
    <w:rsid w:val="00822697"/>
    <w:rsid w:val="00824675"/>
    <w:rsid w:val="00824EF3"/>
    <w:rsid w:val="00825919"/>
    <w:rsid w:val="008264A8"/>
    <w:rsid w:val="008277E3"/>
    <w:rsid w:val="00827AF1"/>
    <w:rsid w:val="00833583"/>
    <w:rsid w:val="0083531F"/>
    <w:rsid w:val="00836152"/>
    <w:rsid w:val="0084220B"/>
    <w:rsid w:val="008423A5"/>
    <w:rsid w:val="008431FA"/>
    <w:rsid w:val="008471CD"/>
    <w:rsid w:val="00852CCE"/>
    <w:rsid w:val="008605BD"/>
    <w:rsid w:val="00864642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2FF9"/>
    <w:rsid w:val="00897303"/>
    <w:rsid w:val="008A1290"/>
    <w:rsid w:val="008A2661"/>
    <w:rsid w:val="008A3B8F"/>
    <w:rsid w:val="008B40E7"/>
    <w:rsid w:val="008B5D0F"/>
    <w:rsid w:val="008C051C"/>
    <w:rsid w:val="008C095C"/>
    <w:rsid w:val="008C5C61"/>
    <w:rsid w:val="008C5E17"/>
    <w:rsid w:val="008C6421"/>
    <w:rsid w:val="008E465F"/>
    <w:rsid w:val="008E5EA4"/>
    <w:rsid w:val="008E77F9"/>
    <w:rsid w:val="008F68C6"/>
    <w:rsid w:val="00901D43"/>
    <w:rsid w:val="009029DC"/>
    <w:rsid w:val="00906F89"/>
    <w:rsid w:val="00907FC5"/>
    <w:rsid w:val="00913F4B"/>
    <w:rsid w:val="00914213"/>
    <w:rsid w:val="009203F0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56B9A"/>
    <w:rsid w:val="00967488"/>
    <w:rsid w:val="00967551"/>
    <w:rsid w:val="00967D10"/>
    <w:rsid w:val="00967EAF"/>
    <w:rsid w:val="00974C53"/>
    <w:rsid w:val="00975541"/>
    <w:rsid w:val="00982A24"/>
    <w:rsid w:val="00990DF7"/>
    <w:rsid w:val="009927AF"/>
    <w:rsid w:val="009A1F69"/>
    <w:rsid w:val="009A4204"/>
    <w:rsid w:val="009A612B"/>
    <w:rsid w:val="009A6DE7"/>
    <w:rsid w:val="009A78FD"/>
    <w:rsid w:val="009B2682"/>
    <w:rsid w:val="009C214C"/>
    <w:rsid w:val="009C2A3A"/>
    <w:rsid w:val="009C6305"/>
    <w:rsid w:val="009C6CA2"/>
    <w:rsid w:val="009D005B"/>
    <w:rsid w:val="009D22CB"/>
    <w:rsid w:val="009D2302"/>
    <w:rsid w:val="009E5694"/>
    <w:rsid w:val="009F22D3"/>
    <w:rsid w:val="00A005AF"/>
    <w:rsid w:val="00A00E8B"/>
    <w:rsid w:val="00A044BB"/>
    <w:rsid w:val="00A06E95"/>
    <w:rsid w:val="00A14BF4"/>
    <w:rsid w:val="00A14E8E"/>
    <w:rsid w:val="00A259A8"/>
    <w:rsid w:val="00A26344"/>
    <w:rsid w:val="00A26AC1"/>
    <w:rsid w:val="00A26C9E"/>
    <w:rsid w:val="00A3153C"/>
    <w:rsid w:val="00A31E62"/>
    <w:rsid w:val="00A33B1C"/>
    <w:rsid w:val="00A359DC"/>
    <w:rsid w:val="00A42EF8"/>
    <w:rsid w:val="00A508F2"/>
    <w:rsid w:val="00A50C4A"/>
    <w:rsid w:val="00A51051"/>
    <w:rsid w:val="00A54498"/>
    <w:rsid w:val="00A63BC9"/>
    <w:rsid w:val="00A651E0"/>
    <w:rsid w:val="00A831D7"/>
    <w:rsid w:val="00A8541A"/>
    <w:rsid w:val="00A90C10"/>
    <w:rsid w:val="00A9243E"/>
    <w:rsid w:val="00A93A1B"/>
    <w:rsid w:val="00AA2395"/>
    <w:rsid w:val="00AA284F"/>
    <w:rsid w:val="00AA480E"/>
    <w:rsid w:val="00AA7247"/>
    <w:rsid w:val="00AB52EB"/>
    <w:rsid w:val="00AC0152"/>
    <w:rsid w:val="00AC02DA"/>
    <w:rsid w:val="00AC0E29"/>
    <w:rsid w:val="00AC30E2"/>
    <w:rsid w:val="00AC31A7"/>
    <w:rsid w:val="00AC3FCD"/>
    <w:rsid w:val="00AC7386"/>
    <w:rsid w:val="00AD29ED"/>
    <w:rsid w:val="00AD373C"/>
    <w:rsid w:val="00AD7299"/>
    <w:rsid w:val="00AE1E21"/>
    <w:rsid w:val="00AF4619"/>
    <w:rsid w:val="00AF507D"/>
    <w:rsid w:val="00AF7D79"/>
    <w:rsid w:val="00B04272"/>
    <w:rsid w:val="00B16079"/>
    <w:rsid w:val="00B1730B"/>
    <w:rsid w:val="00B33936"/>
    <w:rsid w:val="00B3477E"/>
    <w:rsid w:val="00B34A6A"/>
    <w:rsid w:val="00B40618"/>
    <w:rsid w:val="00B429AE"/>
    <w:rsid w:val="00B43310"/>
    <w:rsid w:val="00B46FED"/>
    <w:rsid w:val="00B5137D"/>
    <w:rsid w:val="00B538BF"/>
    <w:rsid w:val="00B55C88"/>
    <w:rsid w:val="00B57826"/>
    <w:rsid w:val="00B60F4C"/>
    <w:rsid w:val="00B631C6"/>
    <w:rsid w:val="00B66AFD"/>
    <w:rsid w:val="00B67659"/>
    <w:rsid w:val="00B71E40"/>
    <w:rsid w:val="00B72613"/>
    <w:rsid w:val="00B74F46"/>
    <w:rsid w:val="00B76743"/>
    <w:rsid w:val="00B857C2"/>
    <w:rsid w:val="00B8729A"/>
    <w:rsid w:val="00B905AA"/>
    <w:rsid w:val="00B940AF"/>
    <w:rsid w:val="00BA12C2"/>
    <w:rsid w:val="00BA3254"/>
    <w:rsid w:val="00BA3D16"/>
    <w:rsid w:val="00BA4F2E"/>
    <w:rsid w:val="00BB2555"/>
    <w:rsid w:val="00BB7241"/>
    <w:rsid w:val="00BB7CE8"/>
    <w:rsid w:val="00BB7E71"/>
    <w:rsid w:val="00BC1F64"/>
    <w:rsid w:val="00BC59D7"/>
    <w:rsid w:val="00BC7D01"/>
    <w:rsid w:val="00BD1CC3"/>
    <w:rsid w:val="00BD4132"/>
    <w:rsid w:val="00BD72C5"/>
    <w:rsid w:val="00BD7B28"/>
    <w:rsid w:val="00BE12E2"/>
    <w:rsid w:val="00BE1A23"/>
    <w:rsid w:val="00BE3618"/>
    <w:rsid w:val="00BE659E"/>
    <w:rsid w:val="00BE7224"/>
    <w:rsid w:val="00BE75D8"/>
    <w:rsid w:val="00BF1B5A"/>
    <w:rsid w:val="00BF52AD"/>
    <w:rsid w:val="00C02FFC"/>
    <w:rsid w:val="00C130E7"/>
    <w:rsid w:val="00C2286B"/>
    <w:rsid w:val="00C30976"/>
    <w:rsid w:val="00C316F0"/>
    <w:rsid w:val="00C32EEB"/>
    <w:rsid w:val="00C34DDA"/>
    <w:rsid w:val="00C35E85"/>
    <w:rsid w:val="00C409B9"/>
    <w:rsid w:val="00C417B9"/>
    <w:rsid w:val="00C42E52"/>
    <w:rsid w:val="00C43F6C"/>
    <w:rsid w:val="00C43F9A"/>
    <w:rsid w:val="00C45A1A"/>
    <w:rsid w:val="00C46B48"/>
    <w:rsid w:val="00C539BD"/>
    <w:rsid w:val="00C551EE"/>
    <w:rsid w:val="00C555CC"/>
    <w:rsid w:val="00C658E2"/>
    <w:rsid w:val="00C67D01"/>
    <w:rsid w:val="00C80CD4"/>
    <w:rsid w:val="00C845B7"/>
    <w:rsid w:val="00C86F4C"/>
    <w:rsid w:val="00C905CA"/>
    <w:rsid w:val="00C90CFC"/>
    <w:rsid w:val="00C94846"/>
    <w:rsid w:val="00C94C03"/>
    <w:rsid w:val="00C96342"/>
    <w:rsid w:val="00C9637E"/>
    <w:rsid w:val="00CA2571"/>
    <w:rsid w:val="00CA4F58"/>
    <w:rsid w:val="00CB2611"/>
    <w:rsid w:val="00CB5874"/>
    <w:rsid w:val="00CC52D8"/>
    <w:rsid w:val="00CD03D2"/>
    <w:rsid w:val="00CD2DBA"/>
    <w:rsid w:val="00CE5414"/>
    <w:rsid w:val="00CE6C6B"/>
    <w:rsid w:val="00CE6FA4"/>
    <w:rsid w:val="00CE71F8"/>
    <w:rsid w:val="00CF45B1"/>
    <w:rsid w:val="00CF6571"/>
    <w:rsid w:val="00D00D9F"/>
    <w:rsid w:val="00D01C42"/>
    <w:rsid w:val="00D02FBB"/>
    <w:rsid w:val="00D04A4C"/>
    <w:rsid w:val="00D0548B"/>
    <w:rsid w:val="00D1030B"/>
    <w:rsid w:val="00D12D83"/>
    <w:rsid w:val="00D13A73"/>
    <w:rsid w:val="00D13FB0"/>
    <w:rsid w:val="00D1594D"/>
    <w:rsid w:val="00D166C9"/>
    <w:rsid w:val="00D22470"/>
    <w:rsid w:val="00D33019"/>
    <w:rsid w:val="00D35AB8"/>
    <w:rsid w:val="00D42CA5"/>
    <w:rsid w:val="00D44FE5"/>
    <w:rsid w:val="00D46CF6"/>
    <w:rsid w:val="00D47507"/>
    <w:rsid w:val="00D50F32"/>
    <w:rsid w:val="00D553BE"/>
    <w:rsid w:val="00D57DCE"/>
    <w:rsid w:val="00D57EC3"/>
    <w:rsid w:val="00D621A4"/>
    <w:rsid w:val="00D63865"/>
    <w:rsid w:val="00D6390F"/>
    <w:rsid w:val="00D64147"/>
    <w:rsid w:val="00D65483"/>
    <w:rsid w:val="00D65504"/>
    <w:rsid w:val="00D667C7"/>
    <w:rsid w:val="00D67570"/>
    <w:rsid w:val="00D7032A"/>
    <w:rsid w:val="00D729AC"/>
    <w:rsid w:val="00D732D2"/>
    <w:rsid w:val="00D73FD5"/>
    <w:rsid w:val="00D80E1C"/>
    <w:rsid w:val="00D93793"/>
    <w:rsid w:val="00D97C73"/>
    <w:rsid w:val="00DA215C"/>
    <w:rsid w:val="00DA2223"/>
    <w:rsid w:val="00DA3554"/>
    <w:rsid w:val="00DA38CD"/>
    <w:rsid w:val="00DA7F0F"/>
    <w:rsid w:val="00DB0A26"/>
    <w:rsid w:val="00DB7786"/>
    <w:rsid w:val="00DC3B31"/>
    <w:rsid w:val="00DC746D"/>
    <w:rsid w:val="00DD0084"/>
    <w:rsid w:val="00DD0109"/>
    <w:rsid w:val="00DD42F5"/>
    <w:rsid w:val="00DD5230"/>
    <w:rsid w:val="00DE080C"/>
    <w:rsid w:val="00DE13A1"/>
    <w:rsid w:val="00DE1645"/>
    <w:rsid w:val="00DE3E30"/>
    <w:rsid w:val="00DE4809"/>
    <w:rsid w:val="00DE5C27"/>
    <w:rsid w:val="00DE64B4"/>
    <w:rsid w:val="00DF31CE"/>
    <w:rsid w:val="00DF43C3"/>
    <w:rsid w:val="00DF645D"/>
    <w:rsid w:val="00DF71B1"/>
    <w:rsid w:val="00E06A06"/>
    <w:rsid w:val="00E12A00"/>
    <w:rsid w:val="00E14DB1"/>
    <w:rsid w:val="00E15D1B"/>
    <w:rsid w:val="00E2089E"/>
    <w:rsid w:val="00E26949"/>
    <w:rsid w:val="00E30B01"/>
    <w:rsid w:val="00E3319B"/>
    <w:rsid w:val="00E34514"/>
    <w:rsid w:val="00E44E34"/>
    <w:rsid w:val="00E510A6"/>
    <w:rsid w:val="00E5628E"/>
    <w:rsid w:val="00E62893"/>
    <w:rsid w:val="00E658A0"/>
    <w:rsid w:val="00E74020"/>
    <w:rsid w:val="00E82C50"/>
    <w:rsid w:val="00E854D8"/>
    <w:rsid w:val="00E93CF4"/>
    <w:rsid w:val="00E963E3"/>
    <w:rsid w:val="00EA0289"/>
    <w:rsid w:val="00EA167C"/>
    <w:rsid w:val="00EA1C1B"/>
    <w:rsid w:val="00EA5325"/>
    <w:rsid w:val="00EA6659"/>
    <w:rsid w:val="00EC4DFD"/>
    <w:rsid w:val="00EC57A1"/>
    <w:rsid w:val="00EC739C"/>
    <w:rsid w:val="00ED0125"/>
    <w:rsid w:val="00ED3AFB"/>
    <w:rsid w:val="00ED3FC0"/>
    <w:rsid w:val="00ED483F"/>
    <w:rsid w:val="00EE2B99"/>
    <w:rsid w:val="00EE5D78"/>
    <w:rsid w:val="00EE6842"/>
    <w:rsid w:val="00EF031D"/>
    <w:rsid w:val="00EF1437"/>
    <w:rsid w:val="00EF1840"/>
    <w:rsid w:val="00EF1B7D"/>
    <w:rsid w:val="00EF3123"/>
    <w:rsid w:val="00EF6526"/>
    <w:rsid w:val="00EF7BD0"/>
    <w:rsid w:val="00F03F3A"/>
    <w:rsid w:val="00F05574"/>
    <w:rsid w:val="00F07C22"/>
    <w:rsid w:val="00F1040E"/>
    <w:rsid w:val="00F10831"/>
    <w:rsid w:val="00F10DDD"/>
    <w:rsid w:val="00F22EF5"/>
    <w:rsid w:val="00F23308"/>
    <w:rsid w:val="00F26EA5"/>
    <w:rsid w:val="00F2796F"/>
    <w:rsid w:val="00F33B18"/>
    <w:rsid w:val="00F40B4C"/>
    <w:rsid w:val="00F41AF2"/>
    <w:rsid w:val="00F425E3"/>
    <w:rsid w:val="00F428C7"/>
    <w:rsid w:val="00F5075A"/>
    <w:rsid w:val="00F52D86"/>
    <w:rsid w:val="00F54938"/>
    <w:rsid w:val="00F61D40"/>
    <w:rsid w:val="00F65D0F"/>
    <w:rsid w:val="00F67BD6"/>
    <w:rsid w:val="00F734D6"/>
    <w:rsid w:val="00F757FE"/>
    <w:rsid w:val="00F86B95"/>
    <w:rsid w:val="00F87A0D"/>
    <w:rsid w:val="00F9146A"/>
    <w:rsid w:val="00F92F26"/>
    <w:rsid w:val="00F93953"/>
    <w:rsid w:val="00F93EB6"/>
    <w:rsid w:val="00FA6C20"/>
    <w:rsid w:val="00FB1FD4"/>
    <w:rsid w:val="00FB39A4"/>
    <w:rsid w:val="00FC0C10"/>
    <w:rsid w:val="00FC1F84"/>
    <w:rsid w:val="00FC2C23"/>
    <w:rsid w:val="00FC5D2F"/>
    <w:rsid w:val="00FC75A4"/>
    <w:rsid w:val="00FC7E28"/>
    <w:rsid w:val="00FD1DD5"/>
    <w:rsid w:val="00FE1302"/>
    <w:rsid w:val="00FE1404"/>
    <w:rsid w:val="00FE4F63"/>
    <w:rsid w:val="00FE6EC9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val="x-none"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customStyle="1" w:styleId="bold1">
    <w:name w:val="bold1"/>
    <w:rsid w:val="0010057E"/>
    <w:rPr>
      <w:b/>
      <w:bCs/>
    </w:rPr>
  </w:style>
  <w:style w:type="character" w:customStyle="1" w:styleId="typewriter0">
    <w:name w:val="typewriter"/>
    <w:rsid w:val="0038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val="x-none"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character" w:customStyle="1" w:styleId="bold1">
    <w:name w:val="bold1"/>
    <w:rsid w:val="0010057E"/>
    <w:rPr>
      <w:b/>
      <w:bCs/>
    </w:rPr>
  </w:style>
  <w:style w:type="character" w:customStyle="1" w:styleId="typewriter0">
    <w:name w:val="typewriter"/>
    <w:rsid w:val="0038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2196-BBC5-4F5D-94CF-C2B1EBAC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5029</Words>
  <Characters>2868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2019-12-17T11:17:00Z</dcterms:created>
  <dc:creator>lrvk</dc:creator>
  <cp:lastModifiedBy>Jolanta Sakalauskienė</cp:lastModifiedBy>
  <cp:lastPrinted>2015-09-16T11:34:00Z</cp:lastPrinted>
  <dcterms:modified xsi:type="dcterms:W3CDTF">2019-12-17T11:17:00Z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1940778225</vt:i4>
  </property>
  <property fmtid="{D5CDD505-2E9C-101B-9397-08002B2CF9AE}" pid="3" name="_NewReviewCycle">
    <vt:lpwstr/>
  </property>
  <property fmtid="{D5CDD505-2E9C-101B-9397-08002B2CF9AE}" pid="4" name="_EmailSubject">
    <vt:lpwstr>antikorupcinis</vt:lpwstr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PreviousAdHocReviewCycleID">
    <vt:i4>-1721956551</vt:i4>
  </property>
  <property fmtid="{D5CDD505-2E9C-101B-9397-08002B2CF9AE}" pid="8" name="_ReviewingToolsShownOnce">
    <vt:lpwstr/>
  </property>
</Properties>
</file>