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D8259" w14:textId="77777777" w:rsidR="00451A59" w:rsidRPr="00451A59" w:rsidRDefault="00451A59" w:rsidP="00451A59">
      <w:pPr>
        <w:jc w:val="right"/>
        <w:rPr>
          <w:rFonts w:ascii="Times New Roman" w:hAnsi="Times New Roman"/>
          <w:b/>
          <w:lang w:val="lt-LT"/>
        </w:rPr>
      </w:pPr>
      <w:r w:rsidRPr="00451A59">
        <w:rPr>
          <w:rFonts w:ascii="Times New Roman" w:hAnsi="Times New Roman"/>
          <w:b/>
          <w:lang w:val="lt-LT"/>
        </w:rPr>
        <w:t>1 priedas</w:t>
      </w:r>
    </w:p>
    <w:p w14:paraId="1A4E5E8F" w14:textId="77777777" w:rsidR="00451A59" w:rsidRPr="00451A59" w:rsidRDefault="00451A59" w:rsidP="00451A59">
      <w:pPr>
        <w:jc w:val="right"/>
        <w:rPr>
          <w:rFonts w:ascii="Times New Roman" w:hAnsi="Times New Roman"/>
          <w:b/>
          <w:lang w:val="lt-LT"/>
        </w:rPr>
      </w:pPr>
    </w:p>
    <w:p w14:paraId="4B8E5FB4" w14:textId="74ADC114" w:rsidR="00451A59" w:rsidRPr="00451A59" w:rsidRDefault="00451A59" w:rsidP="00451A59">
      <w:pPr>
        <w:jc w:val="center"/>
        <w:rPr>
          <w:rFonts w:ascii="Times New Roman" w:hAnsi="Times New Roman"/>
          <w:b/>
          <w:lang w:val="lt-LT"/>
        </w:rPr>
      </w:pPr>
      <w:r w:rsidRPr="00451A59">
        <w:rPr>
          <w:rFonts w:ascii="Times New Roman" w:hAnsi="Times New Roman"/>
          <w:b/>
          <w:lang w:val="lt-LT"/>
        </w:rPr>
        <w:t>VĮ IGNALINOS ATOMINĖS ELEKTRINĖS 2019 M. PASIEKTI REZULTATAI PAGAL IGNALINOS ATOMINĖS ELEKTRINĖS VEIKLOS STRATEGIJOS ĮGYVENDINIMO 2019 M. PRIEMONIŲ PLANĄ</w:t>
      </w:r>
    </w:p>
    <w:p w14:paraId="48D50CE2" w14:textId="305C143E" w:rsidR="00451A59" w:rsidRPr="00451A59" w:rsidRDefault="00451A59" w:rsidP="00451A59">
      <w:pPr>
        <w:jc w:val="center"/>
        <w:rPr>
          <w:rFonts w:ascii="Times New Roman" w:hAnsi="Times New Roman"/>
          <w:b/>
          <w:lang w:val="lt-LT"/>
        </w:rPr>
      </w:pPr>
    </w:p>
    <w:p w14:paraId="297642A2" w14:textId="7FCA1647" w:rsidR="00D663CF" w:rsidRDefault="00D663CF" w:rsidP="00D663CF">
      <w:pPr>
        <w:shd w:val="clear" w:color="auto" w:fill="FFFFFF" w:themeFill="background1"/>
        <w:rPr>
          <w:rFonts w:ascii="Times New Roman" w:eastAsia="Calibri" w:hAnsi="Times New Roman"/>
          <w:sz w:val="20"/>
          <w:szCs w:val="20"/>
        </w:rPr>
      </w:pPr>
      <w:proofErr w:type="spellStart"/>
      <w:r>
        <w:rPr>
          <w:rFonts w:ascii="Times New Roman" w:eastAsia="Calibri" w:hAnsi="Times New Roman"/>
          <w:b/>
          <w:sz w:val="20"/>
          <w:szCs w:val="20"/>
        </w:rPr>
        <w:t>Efekto</w:t>
      </w:r>
      <w:proofErr w:type="spellEnd"/>
      <w:r w:rsidRPr="009D0E28">
        <w:rPr>
          <w:rFonts w:ascii="Times New Roman" w:eastAsia="Calibri" w:hAnsi="Times New Roman"/>
          <w:b/>
          <w:sz w:val="20"/>
          <w:szCs w:val="20"/>
        </w:rPr>
        <w:t xml:space="preserve"> </w:t>
      </w:r>
      <w:proofErr w:type="spellStart"/>
      <w:r w:rsidRPr="009D0E28">
        <w:rPr>
          <w:rFonts w:ascii="Times New Roman" w:eastAsia="Calibri" w:hAnsi="Times New Roman"/>
          <w:b/>
          <w:sz w:val="20"/>
          <w:szCs w:val="20"/>
        </w:rPr>
        <w:t>vertinimo</w:t>
      </w:r>
      <w:proofErr w:type="spellEnd"/>
      <w:r w:rsidRPr="009D0E28">
        <w:rPr>
          <w:rFonts w:ascii="Times New Roman" w:eastAsia="Calibri" w:hAnsi="Times New Roman"/>
          <w:b/>
          <w:sz w:val="20"/>
          <w:szCs w:val="20"/>
        </w:rPr>
        <w:t xml:space="preserve"> </w:t>
      </w:r>
      <w:proofErr w:type="spellStart"/>
      <w:r w:rsidRPr="009D0E28">
        <w:rPr>
          <w:rFonts w:ascii="Times New Roman" w:eastAsia="Calibri" w:hAnsi="Times New Roman"/>
          <w:b/>
          <w:sz w:val="20"/>
          <w:szCs w:val="20"/>
        </w:rPr>
        <w:t>kriterijus</w:t>
      </w:r>
      <w:proofErr w:type="spellEnd"/>
      <w:r>
        <w:rPr>
          <w:rFonts w:ascii="Times New Roman" w:eastAsia="Calibri" w:hAnsi="Times New Roman"/>
          <w:b/>
          <w:sz w:val="20"/>
          <w:szCs w:val="20"/>
        </w:rPr>
        <w:t xml:space="preserve"> E-02-01</w:t>
      </w:r>
      <w:r w:rsidRPr="009D0E28">
        <w:rPr>
          <w:rFonts w:ascii="Times New Roman" w:eastAsia="Calibri" w:hAnsi="Times New Roman"/>
          <w:b/>
          <w:sz w:val="20"/>
          <w:szCs w:val="20"/>
        </w:rPr>
        <w:t xml:space="preserve"> „</w:t>
      </w:r>
      <w:r>
        <w:rPr>
          <w:rFonts w:ascii="Times New Roman" w:eastAsia="Calibri" w:hAnsi="Times New Roman"/>
          <w:b/>
          <w:sz w:val="20"/>
          <w:szCs w:val="20"/>
        </w:rPr>
        <w:t xml:space="preserve">VĮ </w:t>
      </w:r>
      <w:proofErr w:type="spellStart"/>
      <w:r>
        <w:rPr>
          <w:rFonts w:ascii="Times New Roman" w:eastAsia="Calibri" w:hAnsi="Times New Roman"/>
          <w:b/>
          <w:sz w:val="20"/>
          <w:szCs w:val="20"/>
        </w:rPr>
        <w:t>Ignalinos</w:t>
      </w:r>
      <w:proofErr w:type="spellEnd"/>
      <w:r>
        <w:rPr>
          <w:rFonts w:ascii="Times New Roman" w:eastAsia="Calibri" w:hAnsi="Times New Roman"/>
          <w:b/>
          <w:sz w:val="20"/>
          <w:szCs w:val="20"/>
        </w:rPr>
        <w:t xml:space="preserve"> AE </w:t>
      </w:r>
      <w:proofErr w:type="spellStart"/>
      <w:r>
        <w:rPr>
          <w:rFonts w:ascii="Times New Roman" w:eastAsia="Calibri" w:hAnsi="Times New Roman"/>
          <w:b/>
          <w:sz w:val="20"/>
          <w:szCs w:val="20"/>
        </w:rPr>
        <w:t>vykdomų</w:t>
      </w:r>
      <w:proofErr w:type="spellEnd"/>
      <w:r>
        <w:rPr>
          <w:rFonts w:ascii="Times New Roman" w:eastAsia="Calibri" w:hAnsi="Times New Roman"/>
          <w:b/>
          <w:sz w:val="20"/>
          <w:szCs w:val="20"/>
        </w:rPr>
        <w:t xml:space="preserve"> </w:t>
      </w:r>
      <w:proofErr w:type="spellStart"/>
      <w:r>
        <w:rPr>
          <w:rFonts w:ascii="Times New Roman" w:eastAsia="Calibri" w:hAnsi="Times New Roman"/>
          <w:b/>
          <w:sz w:val="20"/>
          <w:szCs w:val="20"/>
        </w:rPr>
        <w:t>projektų</w:t>
      </w:r>
      <w:proofErr w:type="spellEnd"/>
      <w:r>
        <w:rPr>
          <w:rFonts w:ascii="Times New Roman" w:eastAsia="Calibri" w:hAnsi="Times New Roman"/>
          <w:b/>
          <w:sz w:val="20"/>
          <w:szCs w:val="20"/>
        </w:rPr>
        <w:t xml:space="preserve"> </w:t>
      </w:r>
      <w:proofErr w:type="spellStart"/>
      <w:r>
        <w:rPr>
          <w:rFonts w:ascii="Times New Roman" w:eastAsia="Calibri" w:hAnsi="Times New Roman"/>
          <w:b/>
          <w:sz w:val="20"/>
          <w:szCs w:val="20"/>
        </w:rPr>
        <w:t>įgyvendinimo</w:t>
      </w:r>
      <w:proofErr w:type="spellEnd"/>
      <w:r>
        <w:rPr>
          <w:rFonts w:ascii="Times New Roman" w:eastAsia="Calibri" w:hAnsi="Times New Roman"/>
          <w:b/>
          <w:sz w:val="20"/>
          <w:szCs w:val="20"/>
        </w:rPr>
        <w:t xml:space="preserve"> </w:t>
      </w:r>
      <w:proofErr w:type="spellStart"/>
      <w:r>
        <w:rPr>
          <w:rFonts w:ascii="Times New Roman" w:eastAsia="Calibri" w:hAnsi="Times New Roman"/>
          <w:b/>
          <w:sz w:val="20"/>
          <w:szCs w:val="20"/>
        </w:rPr>
        <w:t>rodiklių</w:t>
      </w:r>
      <w:proofErr w:type="spellEnd"/>
      <w:r>
        <w:rPr>
          <w:rFonts w:ascii="Times New Roman" w:eastAsia="Calibri" w:hAnsi="Times New Roman"/>
          <w:b/>
          <w:sz w:val="20"/>
          <w:szCs w:val="20"/>
        </w:rPr>
        <w:t xml:space="preserve"> </w:t>
      </w:r>
      <w:proofErr w:type="spellStart"/>
      <w:r>
        <w:rPr>
          <w:rFonts w:ascii="Times New Roman" w:eastAsia="Calibri" w:hAnsi="Times New Roman"/>
          <w:b/>
          <w:sz w:val="20"/>
          <w:szCs w:val="20"/>
        </w:rPr>
        <w:t>vykdymas</w:t>
      </w:r>
      <w:proofErr w:type="spellEnd"/>
      <w:r>
        <w:rPr>
          <w:rFonts w:ascii="Times New Roman" w:eastAsia="Calibri" w:hAnsi="Times New Roman"/>
          <w:b/>
          <w:sz w:val="20"/>
          <w:szCs w:val="20"/>
        </w:rPr>
        <w:t xml:space="preserve">, </w:t>
      </w:r>
      <w:proofErr w:type="spellStart"/>
      <w:proofErr w:type="gramStart"/>
      <w:r>
        <w:rPr>
          <w:rFonts w:ascii="Times New Roman" w:eastAsia="Calibri" w:hAnsi="Times New Roman"/>
          <w:b/>
          <w:sz w:val="20"/>
          <w:szCs w:val="20"/>
        </w:rPr>
        <w:t>procentai</w:t>
      </w:r>
      <w:proofErr w:type="spellEnd"/>
      <w:r w:rsidRPr="009D0E28">
        <w:rPr>
          <w:rFonts w:ascii="Times New Roman" w:eastAsia="Calibri" w:hAnsi="Times New Roman"/>
          <w:b/>
          <w:sz w:val="20"/>
          <w:szCs w:val="20"/>
        </w:rPr>
        <w:t>“</w:t>
      </w:r>
      <w:proofErr w:type="gramEnd"/>
    </w:p>
    <w:p w14:paraId="38E7172B" w14:textId="77777777" w:rsidR="00D663CF" w:rsidRDefault="00D663CF" w:rsidP="00D663CF">
      <w:pPr>
        <w:shd w:val="clear" w:color="auto" w:fill="FFFFFF" w:themeFill="background1"/>
        <w:rPr>
          <w:rFonts w:ascii="Times New Roman" w:eastAsia="Calibri" w:hAnsi="Times New Roman"/>
          <w:sz w:val="20"/>
          <w:szCs w:val="20"/>
        </w:rPr>
      </w:pPr>
    </w:p>
    <w:p w14:paraId="1470B00E" w14:textId="77777777" w:rsidR="00D663CF" w:rsidRDefault="00D663CF" w:rsidP="00D663CF">
      <w:pPr>
        <w:shd w:val="clear" w:color="auto" w:fill="FFFFFF" w:themeFill="background1"/>
        <w:rPr>
          <w:rFonts w:ascii="Times New Roman" w:eastAsia="Calibri" w:hAnsi="Times New Roman"/>
          <w:sz w:val="20"/>
          <w:szCs w:val="20"/>
        </w:rPr>
      </w:pPr>
      <w:r>
        <w:rPr>
          <w:rFonts w:ascii="Times New Roman" w:eastAsia="Calibri" w:hAnsi="Times New Roman"/>
          <w:sz w:val="20"/>
          <w:szCs w:val="20"/>
        </w:rPr>
        <w:t xml:space="preserve">E-02-01 </w:t>
      </w:r>
      <w:proofErr w:type="spellStart"/>
      <w:r>
        <w:rPr>
          <w:rFonts w:ascii="Times New Roman" w:eastAsia="Calibri" w:hAnsi="Times New Roman"/>
          <w:sz w:val="20"/>
          <w:szCs w:val="20"/>
        </w:rPr>
        <w:t>kriterijaus</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paskaičiavimas</w:t>
      </w:r>
      <w:proofErr w:type="spellEnd"/>
      <w:r>
        <w:rPr>
          <w:rFonts w:ascii="Times New Roman" w:eastAsia="Calibri" w:hAnsi="Times New Roman"/>
          <w:sz w:val="20"/>
          <w:szCs w:val="20"/>
        </w:rPr>
        <w:t>:</w:t>
      </w:r>
    </w:p>
    <w:p w14:paraId="421EBDFC" w14:textId="77777777" w:rsidR="00D663CF" w:rsidRPr="009D0E28" w:rsidRDefault="00D663CF" w:rsidP="00D663CF">
      <w:pPr>
        <w:shd w:val="clear" w:color="auto" w:fill="FFFFFF" w:themeFill="background1"/>
        <w:rPr>
          <w:rFonts w:ascii="Times New Roman" w:eastAsia="Calibri" w:hAnsi="Times New Roman"/>
          <w:sz w:val="20"/>
          <w:szCs w:val="20"/>
        </w:rPr>
      </w:pPr>
    </w:p>
    <w:p w14:paraId="578155B4" w14:textId="306B4F87" w:rsidR="00451A59" w:rsidRPr="00451A59" w:rsidRDefault="00D663CF" w:rsidP="00D663CF">
      <w:pPr>
        <w:rPr>
          <w:rFonts w:ascii="Times New Roman" w:hAnsi="Times New Roman"/>
          <w:b/>
          <w:lang w:val="lt-LT"/>
        </w:rPr>
      </w:pPr>
      <w:r w:rsidRPr="009D0E28">
        <w:rPr>
          <w:rFonts w:ascii="Times New Roman" w:eastAsia="Calibri" w:hAnsi="Times New Roman"/>
          <w:sz w:val="20"/>
          <w:szCs w:val="20"/>
        </w:rPr>
        <w:t>E-0</w:t>
      </w:r>
      <w:r>
        <w:rPr>
          <w:rFonts w:ascii="Times New Roman" w:eastAsia="Calibri" w:hAnsi="Times New Roman"/>
          <w:sz w:val="20"/>
          <w:szCs w:val="20"/>
        </w:rPr>
        <w:t>2-01</w:t>
      </w:r>
      <w:r w:rsidRPr="009D0E28">
        <w:rPr>
          <w:rFonts w:ascii="Times New Roman" w:eastAsia="Calibri" w:hAnsi="Times New Roman"/>
          <w:sz w:val="20"/>
          <w:szCs w:val="20"/>
        </w:rPr>
        <w:t xml:space="preserve"> = (</w:t>
      </w:r>
      <w:proofErr w:type="spellStart"/>
      <w:r w:rsidRPr="009D0E28">
        <w:rPr>
          <w:rFonts w:ascii="Times New Roman" w:eastAsia="Calibri" w:hAnsi="Times New Roman"/>
          <w:sz w:val="20"/>
          <w:szCs w:val="20"/>
        </w:rPr>
        <w:t>įvykdytų</w:t>
      </w:r>
      <w:proofErr w:type="spellEnd"/>
      <w:r w:rsidRPr="009D0E28">
        <w:rPr>
          <w:rFonts w:ascii="Times New Roman" w:eastAsia="Calibri" w:hAnsi="Times New Roman"/>
          <w:sz w:val="20"/>
          <w:szCs w:val="20"/>
        </w:rPr>
        <w:t xml:space="preserve"> </w:t>
      </w:r>
      <w:proofErr w:type="spellStart"/>
      <w:r w:rsidRPr="009D0E28">
        <w:rPr>
          <w:rFonts w:ascii="Times New Roman" w:eastAsia="Calibri" w:hAnsi="Times New Roman"/>
          <w:sz w:val="20"/>
          <w:szCs w:val="20"/>
        </w:rPr>
        <w:t>projektų</w:t>
      </w:r>
      <w:proofErr w:type="spellEnd"/>
      <w:r w:rsidRPr="009D0E28">
        <w:rPr>
          <w:rFonts w:ascii="Times New Roman" w:eastAsia="Calibri" w:hAnsi="Times New Roman"/>
          <w:sz w:val="20"/>
          <w:szCs w:val="20"/>
        </w:rPr>
        <w:t xml:space="preserve"> </w:t>
      </w:r>
      <w:proofErr w:type="spellStart"/>
      <w:r w:rsidRPr="009D0E28">
        <w:rPr>
          <w:rFonts w:ascii="Times New Roman" w:eastAsia="Calibri" w:hAnsi="Times New Roman"/>
          <w:sz w:val="20"/>
          <w:szCs w:val="20"/>
        </w:rPr>
        <w:t>įgyvendinimo</w:t>
      </w:r>
      <w:proofErr w:type="spellEnd"/>
      <w:r w:rsidRPr="009D0E28">
        <w:rPr>
          <w:rFonts w:ascii="Times New Roman" w:eastAsia="Calibri" w:hAnsi="Times New Roman"/>
          <w:sz w:val="20"/>
          <w:szCs w:val="20"/>
        </w:rPr>
        <w:t xml:space="preserve"> </w:t>
      </w:r>
      <w:proofErr w:type="spellStart"/>
      <w:r w:rsidRPr="009D0E28">
        <w:rPr>
          <w:rFonts w:ascii="Times New Roman" w:eastAsia="Calibri" w:hAnsi="Times New Roman"/>
          <w:sz w:val="20"/>
          <w:szCs w:val="20"/>
        </w:rPr>
        <w:t>rodiklių</w:t>
      </w:r>
      <w:proofErr w:type="spellEnd"/>
      <w:r w:rsidRPr="009D0E28">
        <w:rPr>
          <w:rFonts w:ascii="Times New Roman" w:eastAsia="Calibri" w:hAnsi="Times New Roman"/>
          <w:sz w:val="20"/>
          <w:szCs w:val="20"/>
        </w:rPr>
        <w:t xml:space="preserve"> </w:t>
      </w:r>
      <w:proofErr w:type="spellStart"/>
      <w:r w:rsidRPr="009D0E28">
        <w:rPr>
          <w:rFonts w:ascii="Times New Roman" w:eastAsia="Calibri" w:hAnsi="Times New Roman"/>
          <w:sz w:val="20"/>
          <w:szCs w:val="20"/>
        </w:rPr>
        <w:t>skaičius</w:t>
      </w:r>
      <w:proofErr w:type="spellEnd"/>
      <w:r w:rsidRPr="009D0E28">
        <w:rPr>
          <w:rFonts w:ascii="Times New Roman" w:eastAsia="Calibri" w:hAnsi="Times New Roman"/>
          <w:sz w:val="20"/>
          <w:szCs w:val="20"/>
        </w:rPr>
        <w:t xml:space="preserve"> / </w:t>
      </w:r>
      <w:proofErr w:type="spellStart"/>
      <w:r w:rsidRPr="009D0E28">
        <w:rPr>
          <w:rFonts w:ascii="Times New Roman" w:eastAsia="Calibri" w:hAnsi="Times New Roman"/>
          <w:sz w:val="20"/>
          <w:szCs w:val="20"/>
        </w:rPr>
        <w:t>patvirtintas</w:t>
      </w:r>
      <w:proofErr w:type="spellEnd"/>
      <w:r w:rsidRPr="009D0E28">
        <w:rPr>
          <w:rFonts w:ascii="Times New Roman" w:eastAsia="Calibri" w:hAnsi="Times New Roman"/>
          <w:sz w:val="20"/>
          <w:szCs w:val="20"/>
        </w:rPr>
        <w:t xml:space="preserve"> </w:t>
      </w:r>
      <w:proofErr w:type="spellStart"/>
      <w:r w:rsidRPr="009D0E28">
        <w:rPr>
          <w:rFonts w:ascii="Times New Roman" w:eastAsia="Calibri" w:hAnsi="Times New Roman"/>
          <w:sz w:val="20"/>
          <w:szCs w:val="20"/>
        </w:rPr>
        <w:t>projektų</w:t>
      </w:r>
      <w:proofErr w:type="spellEnd"/>
      <w:r w:rsidRPr="009D0E28">
        <w:rPr>
          <w:rFonts w:ascii="Times New Roman" w:eastAsia="Calibri" w:hAnsi="Times New Roman"/>
          <w:sz w:val="20"/>
          <w:szCs w:val="20"/>
        </w:rPr>
        <w:t xml:space="preserve"> </w:t>
      </w:r>
      <w:proofErr w:type="spellStart"/>
      <w:r w:rsidRPr="009D0E28">
        <w:rPr>
          <w:rFonts w:ascii="Times New Roman" w:eastAsia="Calibri" w:hAnsi="Times New Roman"/>
          <w:sz w:val="20"/>
          <w:szCs w:val="20"/>
        </w:rPr>
        <w:t>įgyvendinimo</w:t>
      </w:r>
      <w:proofErr w:type="spellEnd"/>
      <w:r w:rsidRPr="009D0E28">
        <w:rPr>
          <w:rFonts w:ascii="Times New Roman" w:eastAsia="Calibri" w:hAnsi="Times New Roman"/>
          <w:sz w:val="20"/>
          <w:szCs w:val="20"/>
        </w:rPr>
        <w:t xml:space="preserve"> </w:t>
      </w:r>
      <w:proofErr w:type="spellStart"/>
      <w:r w:rsidRPr="009D0E28">
        <w:rPr>
          <w:rFonts w:ascii="Times New Roman" w:eastAsia="Calibri" w:hAnsi="Times New Roman"/>
          <w:sz w:val="20"/>
          <w:szCs w:val="20"/>
        </w:rPr>
        <w:t>rodiklių</w:t>
      </w:r>
      <w:proofErr w:type="spellEnd"/>
      <w:r w:rsidRPr="009D0E28">
        <w:rPr>
          <w:rFonts w:ascii="Times New Roman" w:eastAsia="Calibri" w:hAnsi="Times New Roman"/>
          <w:sz w:val="20"/>
          <w:szCs w:val="20"/>
        </w:rPr>
        <w:t xml:space="preserve"> </w:t>
      </w:r>
      <w:proofErr w:type="spellStart"/>
      <w:proofErr w:type="gramStart"/>
      <w:r w:rsidRPr="009D0E28">
        <w:rPr>
          <w:rFonts w:ascii="Times New Roman" w:eastAsia="Calibri" w:hAnsi="Times New Roman"/>
          <w:sz w:val="20"/>
          <w:szCs w:val="20"/>
        </w:rPr>
        <w:t>skaičius</w:t>
      </w:r>
      <w:proofErr w:type="spellEnd"/>
      <w:r w:rsidRPr="009D0E28">
        <w:rPr>
          <w:rFonts w:ascii="Times New Roman" w:eastAsia="Calibri" w:hAnsi="Times New Roman"/>
          <w:sz w:val="20"/>
          <w:szCs w:val="20"/>
        </w:rPr>
        <w:t>)*</w:t>
      </w:r>
      <w:proofErr w:type="gramEnd"/>
      <w:r w:rsidRPr="009D0E28">
        <w:rPr>
          <w:rFonts w:ascii="Times New Roman" w:eastAsia="Calibri" w:hAnsi="Times New Roman"/>
          <w:sz w:val="20"/>
          <w:szCs w:val="20"/>
        </w:rPr>
        <w:t>100%</w:t>
      </w:r>
      <w:r>
        <w:rPr>
          <w:rFonts w:ascii="Times New Roman" w:eastAsia="Calibri" w:hAnsi="Times New Roman"/>
          <w:sz w:val="20"/>
          <w:szCs w:val="20"/>
        </w:rPr>
        <w:t xml:space="preserve"> =(104</w:t>
      </w:r>
      <w:r w:rsidRPr="00A0741D">
        <w:rPr>
          <w:rFonts w:ascii="Times New Roman" w:eastAsia="Calibri" w:hAnsi="Times New Roman"/>
          <w:sz w:val="20"/>
          <w:szCs w:val="20"/>
        </w:rPr>
        <w:t>/</w:t>
      </w:r>
      <w:r>
        <w:rPr>
          <w:rFonts w:ascii="Times New Roman" w:eastAsia="Calibri" w:hAnsi="Times New Roman"/>
          <w:sz w:val="20"/>
          <w:szCs w:val="20"/>
        </w:rPr>
        <w:t>130</w:t>
      </w:r>
      <w:r w:rsidRPr="0069285F">
        <w:rPr>
          <w:rFonts w:ascii="Times New Roman" w:eastAsia="Calibri" w:hAnsi="Times New Roman"/>
          <w:sz w:val="20"/>
          <w:szCs w:val="20"/>
        </w:rPr>
        <w:t xml:space="preserve">)*100% = </w:t>
      </w:r>
      <w:r>
        <w:rPr>
          <w:rFonts w:ascii="Times New Roman" w:eastAsia="Calibri" w:hAnsi="Times New Roman"/>
          <w:sz w:val="20"/>
          <w:szCs w:val="20"/>
        </w:rPr>
        <w:t>80</w:t>
      </w:r>
      <w:r w:rsidRPr="0069285F">
        <w:rPr>
          <w:rFonts w:ascii="Times New Roman" w:eastAsia="Calibri" w:hAnsi="Times New Roman"/>
          <w:sz w:val="20"/>
          <w:szCs w:val="20"/>
        </w:rPr>
        <w:t>%</w:t>
      </w:r>
    </w:p>
    <w:p w14:paraId="0062281F" w14:textId="50A9EAED" w:rsidR="00451A59" w:rsidRPr="00451A59" w:rsidRDefault="00451A59" w:rsidP="00451A59">
      <w:pPr>
        <w:jc w:val="center"/>
        <w:rPr>
          <w:rFonts w:ascii="Times New Roman" w:hAnsi="Times New Roman"/>
          <w:b/>
          <w:lang w:val="lt-LT"/>
        </w:rPr>
      </w:pPr>
    </w:p>
    <w:p w14:paraId="21A672BF" w14:textId="098CD9CA" w:rsidR="00451A59" w:rsidRPr="00451A59" w:rsidRDefault="00451A59" w:rsidP="00451A59">
      <w:pPr>
        <w:jc w:val="center"/>
        <w:rPr>
          <w:rFonts w:ascii="Times New Roman" w:hAnsi="Times New Roman"/>
          <w:b/>
          <w:lang w:val="lt-LT"/>
        </w:rPr>
      </w:pPr>
    </w:p>
    <w:p w14:paraId="301DA1F5" w14:textId="77777777" w:rsidR="00451A59" w:rsidRPr="00451A59" w:rsidRDefault="00451A59" w:rsidP="00451A59">
      <w:pPr>
        <w:shd w:val="clear" w:color="auto" w:fill="FFFFFF" w:themeFill="background1"/>
        <w:rPr>
          <w:rFonts w:ascii="Times New Roman" w:eastAsia="Calibri" w:hAnsi="Times New Roman"/>
          <w:b/>
          <w:sz w:val="20"/>
          <w:szCs w:val="20"/>
          <w:lang w:val="lt-LT"/>
        </w:rPr>
      </w:pPr>
    </w:p>
    <w:tbl>
      <w:tblPr>
        <w:tblpPr w:leftFromText="180" w:rightFromText="180" w:vertAnchor="text" w:tblpX="-34" w:tblpY="1"/>
        <w:tblOverlap w:val="never"/>
        <w:tblW w:w="141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94"/>
        <w:gridCol w:w="992"/>
        <w:gridCol w:w="2533"/>
        <w:gridCol w:w="3260"/>
        <w:gridCol w:w="851"/>
        <w:gridCol w:w="1436"/>
        <w:gridCol w:w="1276"/>
        <w:gridCol w:w="3135"/>
      </w:tblGrid>
      <w:sdt>
        <w:sdtPr>
          <w:rPr>
            <w:rFonts w:ascii="Times New Roman" w:eastAsia="Calibri" w:hAnsi="Times New Roman"/>
            <w:b/>
            <w:sz w:val="20"/>
            <w:szCs w:val="20"/>
            <w:lang w:val="lt-LT"/>
          </w:rPr>
          <w:id w:val="490150133"/>
          <w15:repeatingSection/>
        </w:sdtPr>
        <w:sdtContent>
          <w:sdt>
            <w:sdtPr>
              <w:rPr>
                <w:rFonts w:ascii="Times New Roman" w:eastAsia="Calibri" w:hAnsi="Times New Roman"/>
                <w:b/>
                <w:sz w:val="20"/>
                <w:szCs w:val="20"/>
                <w:lang w:val="lt-LT"/>
              </w:rPr>
              <w:id w:val="-1135172"/>
              <w:placeholder>
                <w:docPart w:val="DefaultPlaceholder_-1854013435"/>
              </w:placeholder>
              <w15:repeatingSectionItem/>
            </w:sdtPr>
            <w:sdtContent>
              <w:tr w:rsidR="00451A59" w:rsidRPr="00451A59" w14:paraId="6B62B877" w14:textId="77777777" w:rsidTr="00817D5B">
                <w:trPr>
                  <w:cantSplit/>
                  <w:trHeight w:val="681"/>
                  <w:tblHeader/>
                </w:trPr>
                <w:tc>
                  <w:tcPr>
                    <w:tcW w:w="694" w:type="dxa"/>
                    <w:shd w:val="clear" w:color="auto" w:fill="auto"/>
                    <w:tcMar>
                      <w:top w:w="0" w:type="dxa"/>
                      <w:left w:w="108" w:type="dxa"/>
                      <w:bottom w:w="0" w:type="dxa"/>
                      <w:right w:w="108" w:type="dxa"/>
                    </w:tcMar>
                    <w:vAlign w:val="center"/>
                    <w:hideMark/>
                  </w:tcPr>
                  <w:p w14:paraId="7BDB024D" w14:textId="520E6DEC" w:rsidR="00451A59" w:rsidRPr="00451A59" w:rsidRDefault="00451A59" w:rsidP="00451A59">
                    <w:pPr>
                      <w:shd w:val="clear" w:color="auto" w:fill="FFFFFF" w:themeFill="background1"/>
                      <w:spacing w:line="276" w:lineRule="auto"/>
                      <w:jc w:val="center"/>
                      <w:rPr>
                        <w:rFonts w:ascii="Times New Roman" w:eastAsia="Calibri" w:hAnsi="Times New Roman"/>
                        <w:b/>
                        <w:sz w:val="20"/>
                        <w:szCs w:val="20"/>
                        <w:lang w:val="lt-LT"/>
                      </w:rPr>
                    </w:pPr>
                    <w:r w:rsidRPr="00451A59">
                      <w:rPr>
                        <w:rFonts w:ascii="Times New Roman" w:eastAsia="Calibri" w:hAnsi="Times New Roman"/>
                        <w:b/>
                        <w:sz w:val="20"/>
                        <w:szCs w:val="20"/>
                        <w:lang w:val="lt-LT"/>
                      </w:rPr>
                      <w:t>Nr.</w:t>
                    </w:r>
                  </w:p>
                </w:tc>
                <w:tc>
                  <w:tcPr>
                    <w:tcW w:w="992" w:type="dxa"/>
                    <w:shd w:val="clear" w:color="auto" w:fill="auto"/>
                    <w:tcMar>
                      <w:top w:w="0" w:type="dxa"/>
                      <w:left w:w="108" w:type="dxa"/>
                      <w:bottom w:w="0" w:type="dxa"/>
                      <w:right w:w="108" w:type="dxa"/>
                    </w:tcMar>
                    <w:vAlign w:val="center"/>
                    <w:hideMark/>
                  </w:tcPr>
                  <w:p w14:paraId="1BF43D0F" w14:textId="77777777" w:rsidR="00451A59" w:rsidRPr="00451A59" w:rsidRDefault="00451A59" w:rsidP="00451A59">
                    <w:pPr>
                      <w:shd w:val="clear" w:color="auto" w:fill="FFFFFF" w:themeFill="background1"/>
                      <w:spacing w:line="276" w:lineRule="auto"/>
                      <w:rPr>
                        <w:rFonts w:ascii="Times New Roman" w:eastAsia="Calibri" w:hAnsi="Times New Roman"/>
                        <w:b/>
                        <w:sz w:val="20"/>
                        <w:szCs w:val="20"/>
                        <w:lang w:val="lt-LT"/>
                      </w:rPr>
                    </w:pPr>
                    <w:r w:rsidRPr="00451A59">
                      <w:rPr>
                        <w:rFonts w:ascii="Times New Roman" w:eastAsia="Calibri" w:hAnsi="Times New Roman"/>
                        <w:b/>
                        <w:sz w:val="20"/>
                        <w:szCs w:val="20"/>
                        <w:lang w:val="lt-LT"/>
                      </w:rPr>
                      <w:t>Punktas</w:t>
                    </w:r>
                  </w:p>
                </w:tc>
                <w:tc>
                  <w:tcPr>
                    <w:tcW w:w="2533" w:type="dxa"/>
                    <w:shd w:val="clear" w:color="auto" w:fill="auto"/>
                    <w:vAlign w:val="center"/>
                  </w:tcPr>
                  <w:p w14:paraId="03D7304F" w14:textId="77777777" w:rsidR="00451A59" w:rsidRPr="00451A59" w:rsidRDefault="00451A59" w:rsidP="00451A59">
                    <w:pPr>
                      <w:shd w:val="clear" w:color="auto" w:fill="FFFFFF" w:themeFill="background1"/>
                      <w:spacing w:line="276" w:lineRule="auto"/>
                      <w:jc w:val="center"/>
                      <w:rPr>
                        <w:rFonts w:ascii="Times New Roman" w:eastAsia="Calibri" w:hAnsi="Times New Roman"/>
                        <w:b/>
                        <w:sz w:val="20"/>
                        <w:szCs w:val="20"/>
                        <w:lang w:val="lt-LT"/>
                      </w:rPr>
                    </w:pPr>
                    <w:r w:rsidRPr="00451A59">
                      <w:rPr>
                        <w:rFonts w:ascii="Times New Roman" w:eastAsia="Calibri" w:hAnsi="Times New Roman"/>
                        <w:b/>
                        <w:sz w:val="20"/>
                        <w:szCs w:val="20"/>
                        <w:lang w:val="lt-LT"/>
                      </w:rPr>
                      <w:t>Priemonė</w:t>
                    </w:r>
                  </w:p>
                </w:tc>
                <w:tc>
                  <w:tcPr>
                    <w:tcW w:w="3260" w:type="dxa"/>
                    <w:shd w:val="clear" w:color="auto" w:fill="auto"/>
                    <w:vAlign w:val="center"/>
                  </w:tcPr>
                  <w:p w14:paraId="71650197" w14:textId="77777777" w:rsidR="00451A59" w:rsidRPr="00451A59" w:rsidRDefault="00451A59" w:rsidP="00451A59">
                    <w:pPr>
                      <w:shd w:val="clear" w:color="auto" w:fill="FFFFFF" w:themeFill="background1"/>
                      <w:spacing w:line="276" w:lineRule="auto"/>
                      <w:ind w:left="144"/>
                      <w:jc w:val="center"/>
                      <w:rPr>
                        <w:rFonts w:ascii="Times New Roman" w:eastAsia="Calibri" w:hAnsi="Times New Roman"/>
                        <w:b/>
                        <w:sz w:val="20"/>
                        <w:szCs w:val="20"/>
                        <w:lang w:val="lt-LT"/>
                      </w:rPr>
                    </w:pPr>
                  </w:p>
                  <w:p w14:paraId="79113AA3" w14:textId="77777777" w:rsidR="00451A59" w:rsidRPr="00451A59" w:rsidRDefault="00451A59" w:rsidP="00451A59">
                    <w:pPr>
                      <w:shd w:val="clear" w:color="auto" w:fill="FFFFFF" w:themeFill="background1"/>
                      <w:spacing w:line="276" w:lineRule="auto"/>
                      <w:ind w:left="144"/>
                      <w:jc w:val="center"/>
                      <w:rPr>
                        <w:rFonts w:ascii="Times New Roman" w:eastAsia="Calibri" w:hAnsi="Times New Roman"/>
                        <w:b/>
                        <w:sz w:val="20"/>
                        <w:szCs w:val="20"/>
                        <w:lang w:val="lt-LT"/>
                      </w:rPr>
                    </w:pPr>
                    <w:r w:rsidRPr="00451A59">
                      <w:rPr>
                        <w:rFonts w:ascii="Times New Roman" w:eastAsia="Calibri" w:hAnsi="Times New Roman"/>
                        <w:b/>
                        <w:sz w:val="20"/>
                        <w:szCs w:val="20"/>
                        <w:lang w:val="lt-LT"/>
                      </w:rPr>
                      <w:t xml:space="preserve">Priemonės įvykdymo rodikliai </w:t>
                    </w:r>
                  </w:p>
                  <w:p w14:paraId="4AFAF537" w14:textId="50E840F8" w:rsidR="00451A59" w:rsidRPr="00451A59" w:rsidRDefault="00451A59" w:rsidP="00451A59">
                    <w:pPr>
                      <w:shd w:val="clear" w:color="auto" w:fill="FFFFFF" w:themeFill="background1"/>
                      <w:spacing w:line="276" w:lineRule="auto"/>
                      <w:ind w:left="144"/>
                      <w:jc w:val="center"/>
                      <w:rPr>
                        <w:rFonts w:ascii="Times New Roman" w:eastAsia="Calibri" w:hAnsi="Times New Roman"/>
                        <w:b/>
                        <w:sz w:val="20"/>
                        <w:szCs w:val="20"/>
                        <w:lang w:val="lt-LT"/>
                      </w:rPr>
                    </w:pPr>
                    <w:r w:rsidRPr="00451A59">
                      <w:rPr>
                        <w:rFonts w:ascii="Times New Roman" w:eastAsia="Calibri" w:hAnsi="Times New Roman"/>
                        <w:b/>
                        <w:sz w:val="20"/>
                        <w:szCs w:val="20"/>
                        <w:lang w:val="lt-LT"/>
                      </w:rPr>
                      <w:t>(2019 m. I-IV ketv.)</w:t>
                    </w:r>
                  </w:p>
                </w:tc>
                <w:tc>
                  <w:tcPr>
                    <w:tcW w:w="851" w:type="dxa"/>
                    <w:shd w:val="clear" w:color="auto" w:fill="auto"/>
                    <w:vAlign w:val="center"/>
                  </w:tcPr>
                  <w:p w14:paraId="189E267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b/>
                        <w:sz w:val="20"/>
                        <w:szCs w:val="20"/>
                        <w:lang w:val="lt-LT"/>
                      </w:rPr>
                    </w:pPr>
                    <w:r w:rsidRPr="00451A59">
                      <w:rPr>
                        <w:rFonts w:ascii="Times New Roman" w:eastAsia="Calibri" w:hAnsi="Times New Roman"/>
                        <w:b/>
                        <w:sz w:val="20"/>
                        <w:szCs w:val="20"/>
                        <w:lang w:val="lt-LT"/>
                      </w:rPr>
                      <w:t>Įvykd.term.</w:t>
                    </w:r>
                  </w:p>
                  <w:p w14:paraId="06362A6D"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b/>
                        <w:sz w:val="20"/>
                        <w:szCs w:val="20"/>
                        <w:lang w:val="lt-LT"/>
                      </w:rPr>
                    </w:pPr>
                  </w:p>
                </w:tc>
                <w:tc>
                  <w:tcPr>
                    <w:tcW w:w="1436" w:type="dxa"/>
                    <w:shd w:val="clear" w:color="auto" w:fill="auto"/>
                    <w:vAlign w:val="center"/>
                  </w:tcPr>
                  <w:p w14:paraId="67065BDB"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b/>
                        <w:sz w:val="20"/>
                        <w:szCs w:val="20"/>
                        <w:lang w:val="lt-LT"/>
                      </w:rPr>
                    </w:pPr>
                    <w:r w:rsidRPr="00451A59">
                      <w:rPr>
                        <w:rFonts w:ascii="Times New Roman" w:eastAsia="Calibri" w:hAnsi="Times New Roman"/>
                        <w:b/>
                        <w:sz w:val="20"/>
                        <w:szCs w:val="20"/>
                        <w:lang w:val="lt-LT"/>
                      </w:rPr>
                      <w:t>Įvykdymo vertinimo rodiklio reikšmė</w:t>
                    </w:r>
                  </w:p>
                </w:tc>
                <w:tc>
                  <w:tcPr>
                    <w:tcW w:w="1276" w:type="dxa"/>
                    <w:shd w:val="clear" w:color="auto" w:fill="auto"/>
                    <w:tcMar>
                      <w:top w:w="0" w:type="dxa"/>
                      <w:left w:w="108" w:type="dxa"/>
                      <w:bottom w:w="0" w:type="dxa"/>
                      <w:right w:w="108" w:type="dxa"/>
                    </w:tcMar>
                    <w:vAlign w:val="center"/>
                    <w:hideMark/>
                  </w:tcPr>
                  <w:p w14:paraId="79FECC9A" w14:textId="77777777" w:rsidR="00451A59" w:rsidRPr="00451A59" w:rsidRDefault="00451A59" w:rsidP="00451A59">
                    <w:pPr>
                      <w:shd w:val="clear" w:color="auto" w:fill="FFFFFF" w:themeFill="background1"/>
                      <w:spacing w:line="276" w:lineRule="auto"/>
                      <w:jc w:val="center"/>
                      <w:rPr>
                        <w:rFonts w:ascii="Times New Roman" w:eastAsia="Calibri" w:hAnsi="Times New Roman"/>
                        <w:b/>
                        <w:sz w:val="20"/>
                        <w:szCs w:val="20"/>
                        <w:lang w:val="lt-LT"/>
                      </w:rPr>
                    </w:pPr>
                    <w:r w:rsidRPr="00451A59">
                      <w:rPr>
                        <w:rFonts w:ascii="Times New Roman" w:eastAsia="Calibri" w:hAnsi="Times New Roman"/>
                        <w:b/>
                        <w:sz w:val="20"/>
                        <w:szCs w:val="20"/>
                        <w:lang w:val="lt-LT"/>
                      </w:rPr>
                      <w:t>Rodiklio įvykdymas</w:t>
                    </w:r>
                  </w:p>
                </w:tc>
                <w:tc>
                  <w:tcPr>
                    <w:tcW w:w="3135" w:type="dxa"/>
                    <w:shd w:val="clear" w:color="auto" w:fill="auto"/>
                    <w:tcMar>
                      <w:top w:w="0" w:type="dxa"/>
                      <w:left w:w="108" w:type="dxa"/>
                      <w:bottom w:w="0" w:type="dxa"/>
                      <w:right w:w="108" w:type="dxa"/>
                    </w:tcMar>
                    <w:vAlign w:val="center"/>
                    <w:hideMark/>
                  </w:tcPr>
                  <w:p w14:paraId="3EFC2D4D" w14:textId="3CDBA9D0" w:rsidR="00451A59" w:rsidRPr="00451A59" w:rsidRDefault="00451A59" w:rsidP="00451A59">
                    <w:pPr>
                      <w:shd w:val="clear" w:color="auto" w:fill="FFFFFF" w:themeFill="background1"/>
                      <w:spacing w:line="276" w:lineRule="auto"/>
                      <w:jc w:val="center"/>
                      <w:rPr>
                        <w:rFonts w:ascii="Times New Roman" w:eastAsia="Calibri" w:hAnsi="Times New Roman"/>
                        <w:b/>
                        <w:sz w:val="20"/>
                        <w:szCs w:val="20"/>
                        <w:lang w:val="lt-LT"/>
                      </w:rPr>
                    </w:pPr>
                    <w:r w:rsidRPr="00451A59">
                      <w:rPr>
                        <w:rFonts w:ascii="Times New Roman" w:eastAsia="Calibri" w:hAnsi="Times New Roman"/>
                        <w:b/>
                        <w:sz w:val="20"/>
                        <w:szCs w:val="20"/>
                        <w:lang w:val="lt-LT"/>
                      </w:rPr>
                      <w:t>Priežastis</w:t>
                    </w:r>
                  </w:p>
                </w:tc>
              </w:tr>
            </w:sdtContent>
          </w:sdt>
        </w:sdtContent>
      </w:sdt>
      <w:tr w:rsidR="00451A59" w:rsidRPr="00451A59" w14:paraId="3760387A" w14:textId="77777777" w:rsidTr="00D7567A">
        <w:trPr>
          <w:trHeight w:val="420"/>
        </w:trPr>
        <w:tc>
          <w:tcPr>
            <w:tcW w:w="694" w:type="dxa"/>
            <w:tcMar>
              <w:top w:w="0" w:type="dxa"/>
              <w:left w:w="108" w:type="dxa"/>
              <w:bottom w:w="0" w:type="dxa"/>
              <w:right w:w="108" w:type="dxa"/>
            </w:tcMar>
            <w:vAlign w:val="center"/>
          </w:tcPr>
          <w:p w14:paraId="454B90BC" w14:textId="77777777" w:rsidR="00451A59" w:rsidRPr="00451A59" w:rsidRDefault="00451A59" w:rsidP="00451A59">
            <w:pPr>
              <w:pStyle w:val="ListParagraph"/>
              <w:shd w:val="clear" w:color="auto" w:fill="FFFFFF" w:themeFill="background1"/>
              <w:tabs>
                <w:tab w:val="left" w:pos="567"/>
              </w:tabs>
              <w:spacing w:line="276"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7EFC5E8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1.1</w:t>
            </w:r>
          </w:p>
        </w:tc>
        <w:tc>
          <w:tcPr>
            <w:tcW w:w="2533" w:type="dxa"/>
            <w:vMerge w:val="restart"/>
            <w:vAlign w:val="center"/>
          </w:tcPr>
          <w:p w14:paraId="32C33FE7" w14:textId="77777777" w:rsidR="00451A59" w:rsidRPr="00451A59" w:rsidRDefault="00451A59" w:rsidP="00451A59">
            <w:pPr>
              <w:shd w:val="clear" w:color="auto" w:fill="FFFFFF" w:themeFill="background1"/>
              <w:ind w:left="107" w:right="176"/>
              <w:jc w:val="both"/>
              <w:rPr>
                <w:rFonts w:ascii="Times New Roman" w:hAnsi="Times New Roman"/>
                <w:sz w:val="20"/>
                <w:szCs w:val="20"/>
                <w:highlight w:val="yellow"/>
                <w:lang w:val="lt-LT"/>
              </w:rPr>
            </w:pPr>
          </w:p>
        </w:tc>
        <w:tc>
          <w:tcPr>
            <w:tcW w:w="3260" w:type="dxa"/>
            <w:vMerge w:val="restart"/>
            <w:vAlign w:val="center"/>
          </w:tcPr>
          <w:p w14:paraId="07775943" w14:textId="77777777" w:rsidR="00451A59" w:rsidRPr="00451A59" w:rsidRDefault="00451A59" w:rsidP="00451A59">
            <w:pPr>
              <w:shd w:val="clear" w:color="auto" w:fill="FFFFFF" w:themeFill="background1"/>
              <w:ind w:left="107" w:right="141"/>
              <w:jc w:val="both"/>
              <w:rPr>
                <w:rFonts w:ascii="Times New Roman" w:hAnsi="Times New Roman"/>
                <w:b/>
                <w:bCs/>
                <w:sz w:val="20"/>
                <w:szCs w:val="20"/>
                <w:highlight w:val="yellow"/>
                <w:lang w:val="lt-LT"/>
              </w:rPr>
            </w:pPr>
            <w:r w:rsidRPr="00451A59">
              <w:rPr>
                <w:rFonts w:ascii="Times New Roman" w:hAnsi="Times New Roman"/>
                <w:b/>
                <w:bCs/>
                <w:sz w:val="20"/>
                <w:szCs w:val="20"/>
                <w:lang w:val="lt-LT"/>
              </w:rPr>
              <w:t>R1 pirmo ar aukštesnio lygio įvykių pagal tarptautinę branduolinių įvykių skalę skaičius</w:t>
            </w:r>
          </w:p>
        </w:tc>
        <w:tc>
          <w:tcPr>
            <w:tcW w:w="851" w:type="dxa"/>
            <w:vAlign w:val="center"/>
          </w:tcPr>
          <w:p w14:paraId="08A818BD"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vAlign w:val="center"/>
          </w:tcPr>
          <w:p w14:paraId="33C9C362"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Mar>
              <w:top w:w="0" w:type="dxa"/>
              <w:left w:w="108" w:type="dxa"/>
              <w:bottom w:w="0" w:type="dxa"/>
              <w:right w:w="108" w:type="dxa"/>
            </w:tcMar>
            <w:vAlign w:val="center"/>
          </w:tcPr>
          <w:p w14:paraId="5E594D55"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2F8A1B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E242AD6" w14:textId="77777777" w:rsidTr="00D7567A">
        <w:trPr>
          <w:trHeight w:val="412"/>
        </w:trPr>
        <w:tc>
          <w:tcPr>
            <w:tcW w:w="694" w:type="dxa"/>
            <w:tcMar>
              <w:top w:w="0" w:type="dxa"/>
              <w:left w:w="108" w:type="dxa"/>
              <w:bottom w:w="0" w:type="dxa"/>
              <w:right w:w="108" w:type="dxa"/>
            </w:tcMar>
            <w:vAlign w:val="center"/>
          </w:tcPr>
          <w:p w14:paraId="0163821B" w14:textId="77777777" w:rsidR="00451A59" w:rsidRPr="00451A59" w:rsidRDefault="00451A59" w:rsidP="00451A59">
            <w:pPr>
              <w:pStyle w:val="ListParagraph"/>
              <w:shd w:val="clear" w:color="auto" w:fill="FFFFFF" w:themeFill="background1"/>
              <w:tabs>
                <w:tab w:val="left" w:pos="567"/>
              </w:tabs>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182FAD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78DE9479" w14:textId="77777777" w:rsidR="00451A59" w:rsidRPr="00451A59" w:rsidRDefault="00451A59" w:rsidP="00451A59">
            <w:pPr>
              <w:shd w:val="clear" w:color="auto" w:fill="FFFFFF" w:themeFill="background1"/>
              <w:ind w:left="107" w:right="176"/>
              <w:jc w:val="both"/>
              <w:rPr>
                <w:rFonts w:ascii="Times New Roman" w:hAnsi="Times New Roman"/>
                <w:sz w:val="20"/>
                <w:szCs w:val="20"/>
                <w:highlight w:val="yellow"/>
                <w:lang w:val="lt-LT"/>
              </w:rPr>
            </w:pPr>
          </w:p>
        </w:tc>
        <w:tc>
          <w:tcPr>
            <w:tcW w:w="3260" w:type="dxa"/>
            <w:vMerge/>
            <w:vAlign w:val="center"/>
          </w:tcPr>
          <w:p w14:paraId="0DF2E75D"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vAlign w:val="center"/>
          </w:tcPr>
          <w:p w14:paraId="3AA28293"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07780631"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Mar>
              <w:top w:w="0" w:type="dxa"/>
              <w:left w:w="108" w:type="dxa"/>
              <w:bottom w:w="0" w:type="dxa"/>
              <w:right w:w="108" w:type="dxa"/>
            </w:tcMar>
            <w:vAlign w:val="center"/>
          </w:tcPr>
          <w:p w14:paraId="22922F8A"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5D367B4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0C3FBBD" w14:textId="77777777" w:rsidTr="00D7567A">
        <w:trPr>
          <w:trHeight w:val="412"/>
        </w:trPr>
        <w:tc>
          <w:tcPr>
            <w:tcW w:w="694" w:type="dxa"/>
            <w:tcBorders>
              <w:bottom w:val="single" w:sz="4" w:space="0" w:color="auto"/>
            </w:tcBorders>
            <w:tcMar>
              <w:top w:w="0" w:type="dxa"/>
              <w:left w:w="108" w:type="dxa"/>
              <w:bottom w:w="0" w:type="dxa"/>
              <w:right w:w="108" w:type="dxa"/>
            </w:tcMar>
            <w:vAlign w:val="center"/>
          </w:tcPr>
          <w:p w14:paraId="1C8C17A1" w14:textId="77777777" w:rsidR="00451A59" w:rsidRPr="00451A59" w:rsidRDefault="00451A59" w:rsidP="00451A59">
            <w:pPr>
              <w:pStyle w:val="ListParagraph"/>
              <w:shd w:val="clear" w:color="auto" w:fill="FFFFFF" w:themeFill="background1"/>
              <w:tabs>
                <w:tab w:val="left" w:pos="567"/>
              </w:tabs>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57344B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721F25E5" w14:textId="77777777" w:rsidR="00451A59" w:rsidRPr="00451A59" w:rsidRDefault="00451A59" w:rsidP="00451A59">
            <w:pPr>
              <w:shd w:val="clear" w:color="auto" w:fill="FFFFFF" w:themeFill="background1"/>
              <w:ind w:left="107" w:right="176"/>
              <w:jc w:val="both"/>
              <w:rPr>
                <w:rFonts w:ascii="Times New Roman" w:hAnsi="Times New Roman"/>
                <w:sz w:val="20"/>
                <w:szCs w:val="20"/>
                <w:highlight w:val="yellow"/>
                <w:lang w:val="lt-LT"/>
              </w:rPr>
            </w:pPr>
          </w:p>
        </w:tc>
        <w:tc>
          <w:tcPr>
            <w:tcW w:w="3260" w:type="dxa"/>
            <w:vMerge/>
            <w:vAlign w:val="center"/>
          </w:tcPr>
          <w:p w14:paraId="2FFDBC1A"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vAlign w:val="center"/>
          </w:tcPr>
          <w:p w14:paraId="3425F94D"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vAlign w:val="center"/>
          </w:tcPr>
          <w:p w14:paraId="2FD9E03B"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Mar>
              <w:top w:w="0" w:type="dxa"/>
              <w:left w:w="108" w:type="dxa"/>
              <w:bottom w:w="0" w:type="dxa"/>
              <w:right w:w="108" w:type="dxa"/>
            </w:tcMar>
            <w:vAlign w:val="center"/>
          </w:tcPr>
          <w:p w14:paraId="547C086E"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55C4B5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2282908" w14:textId="77777777" w:rsidTr="00D7567A">
        <w:trPr>
          <w:trHeight w:val="412"/>
        </w:trPr>
        <w:tc>
          <w:tcPr>
            <w:tcW w:w="694" w:type="dxa"/>
            <w:tcBorders>
              <w:top w:val="single" w:sz="4" w:space="0" w:color="auto"/>
              <w:bottom w:val="single" w:sz="4" w:space="0" w:color="auto"/>
            </w:tcBorders>
            <w:shd w:val="clear" w:color="auto" w:fill="FFFFFF" w:themeFill="background1"/>
            <w:tcMar>
              <w:top w:w="0" w:type="dxa"/>
              <w:left w:w="108" w:type="dxa"/>
              <w:bottom w:w="0" w:type="dxa"/>
              <w:right w:w="108" w:type="dxa"/>
            </w:tcMar>
            <w:vAlign w:val="center"/>
          </w:tcPr>
          <w:p w14:paraId="699D4A0A" w14:textId="77777777" w:rsidR="00451A59" w:rsidRPr="00451A59" w:rsidRDefault="00451A59" w:rsidP="00451A59">
            <w:pPr>
              <w:pStyle w:val="ListParagraph"/>
              <w:numPr>
                <w:ilvl w:val="0"/>
                <w:numId w:val="30"/>
              </w:numPr>
              <w:shd w:val="clear" w:color="auto" w:fill="FFFFFF" w:themeFill="background1"/>
              <w:tabs>
                <w:tab w:val="left" w:pos="567"/>
              </w:tabs>
              <w:spacing w:line="276" w:lineRule="auto"/>
              <w:ind w:left="584" w:hanging="357"/>
              <w:jc w:val="center"/>
              <w:rPr>
                <w:rFonts w:ascii="Times New Roman" w:eastAsia="Calibri" w:hAnsi="Times New Roman"/>
                <w:sz w:val="20"/>
                <w:szCs w:val="20"/>
              </w:rPr>
            </w:pPr>
          </w:p>
        </w:tc>
        <w:tc>
          <w:tcPr>
            <w:tcW w:w="992" w:type="dxa"/>
            <w:vMerge/>
            <w:tcBorders>
              <w:bottom w:val="single" w:sz="4" w:space="0" w:color="auto"/>
            </w:tcBorders>
            <w:tcMar>
              <w:top w:w="0" w:type="dxa"/>
              <w:left w:w="108" w:type="dxa"/>
              <w:bottom w:w="0" w:type="dxa"/>
              <w:right w:w="108" w:type="dxa"/>
            </w:tcMar>
            <w:vAlign w:val="center"/>
          </w:tcPr>
          <w:p w14:paraId="522E4D4E"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tcBorders>
              <w:bottom w:val="single" w:sz="4" w:space="0" w:color="auto"/>
            </w:tcBorders>
            <w:vAlign w:val="center"/>
          </w:tcPr>
          <w:p w14:paraId="555883D9" w14:textId="77777777" w:rsidR="00451A59" w:rsidRPr="00451A59" w:rsidRDefault="00451A59" w:rsidP="00451A59">
            <w:pPr>
              <w:shd w:val="clear" w:color="auto" w:fill="FFFFFF" w:themeFill="background1"/>
              <w:ind w:left="107" w:right="176"/>
              <w:jc w:val="both"/>
              <w:rPr>
                <w:rFonts w:ascii="Times New Roman" w:hAnsi="Times New Roman"/>
                <w:sz w:val="20"/>
                <w:szCs w:val="20"/>
                <w:highlight w:val="yellow"/>
                <w:lang w:val="lt-LT"/>
              </w:rPr>
            </w:pPr>
          </w:p>
        </w:tc>
        <w:tc>
          <w:tcPr>
            <w:tcW w:w="3260" w:type="dxa"/>
            <w:vMerge/>
            <w:tcBorders>
              <w:bottom w:val="single" w:sz="4" w:space="0" w:color="auto"/>
            </w:tcBorders>
            <w:vAlign w:val="center"/>
          </w:tcPr>
          <w:p w14:paraId="3FC705DB"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tcBorders>
              <w:bottom w:val="single" w:sz="4" w:space="0" w:color="auto"/>
            </w:tcBorders>
            <w:shd w:val="clear" w:color="auto" w:fill="FFFFFF" w:themeFill="background1"/>
            <w:vAlign w:val="center"/>
          </w:tcPr>
          <w:p w14:paraId="51387D3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tcBorders>
              <w:bottom w:val="single" w:sz="4" w:space="0" w:color="auto"/>
            </w:tcBorders>
            <w:shd w:val="clear" w:color="auto" w:fill="FFFFFF" w:themeFill="background1"/>
            <w:vAlign w:val="center"/>
          </w:tcPr>
          <w:p w14:paraId="7F28C54D"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Borders>
              <w:bottom w:val="single" w:sz="4" w:space="0" w:color="auto"/>
            </w:tcBorders>
            <w:shd w:val="clear" w:color="auto" w:fill="FFFFFF" w:themeFill="background1"/>
            <w:tcMar>
              <w:top w:w="0" w:type="dxa"/>
              <w:left w:w="108" w:type="dxa"/>
              <w:bottom w:w="0" w:type="dxa"/>
              <w:right w:w="108" w:type="dxa"/>
            </w:tcMar>
            <w:vAlign w:val="center"/>
          </w:tcPr>
          <w:p w14:paraId="5A2613C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Borders>
              <w:bottom w:val="single" w:sz="4" w:space="0" w:color="auto"/>
            </w:tcBorders>
            <w:shd w:val="clear" w:color="auto" w:fill="FFFFFF" w:themeFill="background1"/>
            <w:tcMar>
              <w:top w:w="0" w:type="dxa"/>
              <w:left w:w="108" w:type="dxa"/>
              <w:bottom w:w="0" w:type="dxa"/>
              <w:right w:w="108" w:type="dxa"/>
            </w:tcMar>
            <w:vAlign w:val="center"/>
          </w:tcPr>
          <w:p w14:paraId="01D0CBD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6B574D6" w14:textId="77777777" w:rsidTr="00D7567A">
        <w:trPr>
          <w:trHeight w:val="223"/>
        </w:trPr>
        <w:tc>
          <w:tcPr>
            <w:tcW w:w="694" w:type="dxa"/>
            <w:tcBorders>
              <w:top w:val="single" w:sz="4" w:space="0" w:color="auto"/>
            </w:tcBorders>
            <w:tcMar>
              <w:top w:w="0" w:type="dxa"/>
              <w:left w:w="108" w:type="dxa"/>
              <w:bottom w:w="0" w:type="dxa"/>
              <w:right w:w="108" w:type="dxa"/>
            </w:tcMar>
            <w:vAlign w:val="center"/>
          </w:tcPr>
          <w:p w14:paraId="19BAE769" w14:textId="77777777" w:rsidR="00451A59" w:rsidRPr="00451A59" w:rsidRDefault="00451A59" w:rsidP="00451A59">
            <w:pPr>
              <w:pStyle w:val="ListParagraph"/>
              <w:shd w:val="clear" w:color="auto" w:fill="FFFFFF" w:themeFill="background1"/>
              <w:tabs>
                <w:tab w:val="left" w:pos="567"/>
              </w:tabs>
              <w:spacing w:line="276" w:lineRule="auto"/>
              <w:ind w:left="584"/>
              <w:rPr>
                <w:rFonts w:ascii="Times New Roman" w:eastAsia="Calibri" w:hAnsi="Times New Roman"/>
                <w:sz w:val="20"/>
                <w:szCs w:val="20"/>
              </w:rPr>
            </w:pPr>
          </w:p>
        </w:tc>
        <w:tc>
          <w:tcPr>
            <w:tcW w:w="992" w:type="dxa"/>
            <w:vMerge w:val="restart"/>
            <w:tcBorders>
              <w:top w:val="single" w:sz="4" w:space="0" w:color="auto"/>
            </w:tcBorders>
            <w:tcMar>
              <w:top w:w="0" w:type="dxa"/>
              <w:left w:w="108" w:type="dxa"/>
              <w:bottom w:w="0" w:type="dxa"/>
              <w:right w:w="108" w:type="dxa"/>
            </w:tcMar>
            <w:vAlign w:val="center"/>
          </w:tcPr>
          <w:p w14:paraId="324C66E9"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1.1.1</w:t>
            </w:r>
          </w:p>
        </w:tc>
        <w:tc>
          <w:tcPr>
            <w:tcW w:w="2533" w:type="dxa"/>
            <w:vMerge w:val="restart"/>
            <w:tcBorders>
              <w:top w:val="single" w:sz="4" w:space="0" w:color="auto"/>
            </w:tcBorders>
            <w:vAlign w:val="center"/>
          </w:tcPr>
          <w:p w14:paraId="3814C23A"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r w:rsidRPr="00451A59">
              <w:rPr>
                <w:rFonts w:ascii="Times New Roman" w:hAnsi="Times New Roman"/>
                <w:sz w:val="20"/>
                <w:szCs w:val="20"/>
                <w:lang w:val="lt-LT"/>
              </w:rPr>
              <w:t>Vykdyti IAE saugiai svarbių sistemų ir elementų senėjimo valdymo programą</w:t>
            </w:r>
          </w:p>
        </w:tc>
        <w:tc>
          <w:tcPr>
            <w:tcW w:w="3260" w:type="dxa"/>
            <w:vMerge w:val="restart"/>
            <w:tcBorders>
              <w:top w:val="single" w:sz="4" w:space="0" w:color="auto"/>
            </w:tcBorders>
            <w:vAlign w:val="center"/>
          </w:tcPr>
          <w:p w14:paraId="0F6BECC9"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Atlikti sistemų bandymai pagal patvirtintą grafiką</w:t>
            </w:r>
          </w:p>
        </w:tc>
        <w:tc>
          <w:tcPr>
            <w:tcW w:w="851" w:type="dxa"/>
            <w:tcBorders>
              <w:top w:val="single" w:sz="4" w:space="0" w:color="auto"/>
            </w:tcBorders>
            <w:vAlign w:val="center"/>
          </w:tcPr>
          <w:p w14:paraId="3A6799F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tcBorders>
              <w:top w:val="single" w:sz="4" w:space="0" w:color="auto"/>
              <w:right w:val="single" w:sz="4" w:space="0" w:color="auto"/>
            </w:tcBorders>
            <w:vAlign w:val="center"/>
          </w:tcPr>
          <w:p w14:paraId="338A3C0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Ketvirtinė ataskaita</w:t>
            </w:r>
          </w:p>
        </w:tc>
        <w:tc>
          <w:tcPr>
            <w:tcW w:w="1276" w:type="dxa"/>
            <w:tcBorders>
              <w:top w:val="single" w:sz="4" w:space="0" w:color="auto"/>
              <w:left w:val="single" w:sz="4" w:space="0" w:color="auto"/>
            </w:tcBorders>
            <w:shd w:val="clear" w:color="auto" w:fill="FFFFFF" w:themeFill="background1"/>
            <w:tcMar>
              <w:top w:w="0" w:type="dxa"/>
              <w:left w:w="108" w:type="dxa"/>
              <w:bottom w:w="0" w:type="dxa"/>
              <w:right w:w="108" w:type="dxa"/>
            </w:tcMar>
            <w:vAlign w:val="center"/>
          </w:tcPr>
          <w:p w14:paraId="592D7AD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Borders>
              <w:top w:val="single" w:sz="4" w:space="0" w:color="auto"/>
            </w:tcBorders>
            <w:tcMar>
              <w:top w:w="0" w:type="dxa"/>
              <w:left w:w="108" w:type="dxa"/>
              <w:bottom w:w="0" w:type="dxa"/>
              <w:right w:w="108" w:type="dxa"/>
            </w:tcMar>
            <w:vAlign w:val="center"/>
          </w:tcPr>
          <w:p w14:paraId="40CF2B1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2FE014A" w14:textId="77777777" w:rsidTr="00D7567A">
        <w:trPr>
          <w:trHeight w:val="223"/>
        </w:trPr>
        <w:tc>
          <w:tcPr>
            <w:tcW w:w="694" w:type="dxa"/>
            <w:tcMar>
              <w:top w:w="0" w:type="dxa"/>
              <w:left w:w="108" w:type="dxa"/>
              <w:bottom w:w="0" w:type="dxa"/>
              <w:right w:w="108" w:type="dxa"/>
            </w:tcMar>
            <w:vAlign w:val="center"/>
          </w:tcPr>
          <w:p w14:paraId="5A502143" w14:textId="77777777" w:rsidR="00451A59" w:rsidRPr="00451A59" w:rsidRDefault="00451A59" w:rsidP="00451A59">
            <w:pPr>
              <w:pStyle w:val="ListParagraph"/>
              <w:shd w:val="clear" w:color="auto" w:fill="FFFFFF" w:themeFill="background1"/>
              <w:tabs>
                <w:tab w:val="left" w:pos="567"/>
              </w:tabs>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F18FA4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tcPr>
          <w:p w14:paraId="0C466810"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0412E15E"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vAlign w:val="center"/>
          </w:tcPr>
          <w:p w14:paraId="635C856C"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tcBorders>
              <w:right w:val="single" w:sz="4" w:space="0" w:color="auto"/>
            </w:tcBorders>
            <w:vAlign w:val="center"/>
          </w:tcPr>
          <w:p w14:paraId="6F777BDD"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Ketvirtinė ataskaita</w:t>
            </w:r>
          </w:p>
        </w:tc>
        <w:tc>
          <w:tcPr>
            <w:tcW w:w="1276" w:type="dxa"/>
            <w:tcBorders>
              <w:left w:val="single" w:sz="4" w:space="0" w:color="auto"/>
            </w:tcBorders>
            <w:shd w:val="clear" w:color="auto" w:fill="FFFFFF" w:themeFill="background1"/>
            <w:tcMar>
              <w:top w:w="0" w:type="dxa"/>
              <w:left w:w="108" w:type="dxa"/>
              <w:bottom w:w="0" w:type="dxa"/>
              <w:right w:w="108" w:type="dxa"/>
            </w:tcMar>
            <w:vAlign w:val="center"/>
          </w:tcPr>
          <w:p w14:paraId="55D7C23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5143D98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5EAA8109" w14:textId="77777777" w:rsidTr="00D7567A">
        <w:trPr>
          <w:trHeight w:val="223"/>
        </w:trPr>
        <w:tc>
          <w:tcPr>
            <w:tcW w:w="694" w:type="dxa"/>
            <w:tcMar>
              <w:top w:w="0" w:type="dxa"/>
              <w:left w:w="108" w:type="dxa"/>
              <w:bottom w:w="0" w:type="dxa"/>
              <w:right w:w="108" w:type="dxa"/>
            </w:tcMar>
            <w:vAlign w:val="center"/>
          </w:tcPr>
          <w:p w14:paraId="55845284" w14:textId="77777777" w:rsidR="00451A59" w:rsidRPr="00451A59" w:rsidRDefault="00451A59" w:rsidP="00451A59">
            <w:pPr>
              <w:pStyle w:val="ListParagraph"/>
              <w:shd w:val="clear" w:color="auto" w:fill="FFFFFF" w:themeFill="background1"/>
              <w:tabs>
                <w:tab w:val="left" w:pos="567"/>
              </w:tabs>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505E7B9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tcPr>
          <w:p w14:paraId="53B8A121"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6D0A5530"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vAlign w:val="center"/>
          </w:tcPr>
          <w:p w14:paraId="4073095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vAlign w:val="center"/>
          </w:tcPr>
          <w:p w14:paraId="183A7F5D"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Ketvirtinė ataskaita</w:t>
            </w:r>
          </w:p>
        </w:tc>
        <w:tc>
          <w:tcPr>
            <w:tcW w:w="1276" w:type="dxa"/>
            <w:shd w:val="clear" w:color="auto" w:fill="FFFFFF" w:themeFill="background1"/>
            <w:tcMar>
              <w:top w:w="0" w:type="dxa"/>
              <w:left w:w="108" w:type="dxa"/>
              <w:bottom w:w="0" w:type="dxa"/>
              <w:right w:w="108" w:type="dxa"/>
            </w:tcMar>
            <w:vAlign w:val="center"/>
          </w:tcPr>
          <w:p w14:paraId="1734D91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178498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8EE6B77" w14:textId="77777777" w:rsidTr="00D7567A">
        <w:trPr>
          <w:trHeight w:val="223"/>
        </w:trPr>
        <w:tc>
          <w:tcPr>
            <w:tcW w:w="694" w:type="dxa"/>
            <w:shd w:val="clear" w:color="auto" w:fill="FFFFFF" w:themeFill="background1"/>
            <w:tcMar>
              <w:top w:w="0" w:type="dxa"/>
              <w:left w:w="108" w:type="dxa"/>
              <w:bottom w:w="0" w:type="dxa"/>
              <w:right w:w="108" w:type="dxa"/>
            </w:tcMar>
            <w:vAlign w:val="center"/>
          </w:tcPr>
          <w:p w14:paraId="4E2515CD" w14:textId="77777777" w:rsidR="00451A59" w:rsidRPr="00451A59" w:rsidRDefault="00451A59" w:rsidP="00451A59">
            <w:pPr>
              <w:pStyle w:val="ListParagraph"/>
              <w:numPr>
                <w:ilvl w:val="0"/>
                <w:numId w:val="30"/>
              </w:numPr>
              <w:shd w:val="clear" w:color="auto" w:fill="FFFFFF" w:themeFill="background1"/>
              <w:tabs>
                <w:tab w:val="left" w:pos="567"/>
              </w:tabs>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FC24A0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tcPr>
          <w:p w14:paraId="5B9E4E8C"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63383BA1"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shd w:val="clear" w:color="auto" w:fill="FFFFFF" w:themeFill="background1"/>
            <w:vAlign w:val="center"/>
          </w:tcPr>
          <w:p w14:paraId="7F548978"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692AB5B4"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Ketvirtinė ataskaita</w:t>
            </w:r>
          </w:p>
        </w:tc>
        <w:tc>
          <w:tcPr>
            <w:tcW w:w="1276" w:type="dxa"/>
            <w:shd w:val="clear" w:color="auto" w:fill="FFFFFF" w:themeFill="background1"/>
            <w:tcMar>
              <w:top w:w="0" w:type="dxa"/>
              <w:left w:w="108" w:type="dxa"/>
              <w:bottom w:w="0" w:type="dxa"/>
              <w:right w:w="108" w:type="dxa"/>
            </w:tcMar>
            <w:vAlign w:val="center"/>
          </w:tcPr>
          <w:p w14:paraId="2689B700"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C3E311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13E8C8C" w14:textId="77777777" w:rsidTr="00D7567A">
        <w:trPr>
          <w:trHeight w:val="252"/>
        </w:trPr>
        <w:tc>
          <w:tcPr>
            <w:tcW w:w="694" w:type="dxa"/>
            <w:tcMar>
              <w:top w:w="0" w:type="dxa"/>
              <w:left w:w="108" w:type="dxa"/>
              <w:bottom w:w="0" w:type="dxa"/>
              <w:right w:w="108" w:type="dxa"/>
            </w:tcMar>
            <w:vAlign w:val="center"/>
          </w:tcPr>
          <w:p w14:paraId="7D9D96D5" w14:textId="77777777" w:rsidR="00451A59" w:rsidRPr="00451A59" w:rsidRDefault="00451A59" w:rsidP="00451A59">
            <w:pPr>
              <w:pStyle w:val="ListParagraph"/>
              <w:shd w:val="clear" w:color="auto" w:fill="FFFFFF" w:themeFill="background1"/>
              <w:tabs>
                <w:tab w:val="left" w:pos="567"/>
              </w:tabs>
              <w:spacing w:line="276"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21B06B1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1.1.2</w:t>
            </w:r>
          </w:p>
        </w:tc>
        <w:tc>
          <w:tcPr>
            <w:tcW w:w="2533" w:type="dxa"/>
            <w:vMerge w:val="restart"/>
            <w:vAlign w:val="center"/>
          </w:tcPr>
          <w:p w14:paraId="0808C84B"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Vykdyti licencijoje nustatytas sąlygas</w:t>
            </w:r>
          </w:p>
        </w:tc>
        <w:tc>
          <w:tcPr>
            <w:tcW w:w="3260" w:type="dxa"/>
            <w:vMerge w:val="restart"/>
            <w:vAlign w:val="center"/>
          </w:tcPr>
          <w:p w14:paraId="53F8998C"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Licencijoje nustatytų saugaus eksploatavimo ribų ir sąlygų pažeidimų skaičius</w:t>
            </w:r>
          </w:p>
        </w:tc>
        <w:tc>
          <w:tcPr>
            <w:tcW w:w="851" w:type="dxa"/>
            <w:vAlign w:val="center"/>
          </w:tcPr>
          <w:p w14:paraId="0327617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vAlign w:val="center"/>
          </w:tcPr>
          <w:p w14:paraId="18D297EE"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shd w:val="clear" w:color="auto" w:fill="FFFFFF" w:themeFill="background1"/>
            <w:tcMar>
              <w:top w:w="0" w:type="dxa"/>
              <w:left w:w="108" w:type="dxa"/>
              <w:bottom w:w="0" w:type="dxa"/>
              <w:right w:w="108" w:type="dxa"/>
            </w:tcMar>
            <w:vAlign w:val="center"/>
          </w:tcPr>
          <w:p w14:paraId="621B317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844C4C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3917129" w14:textId="77777777" w:rsidTr="00D7567A">
        <w:trPr>
          <w:trHeight w:val="257"/>
        </w:trPr>
        <w:tc>
          <w:tcPr>
            <w:tcW w:w="694" w:type="dxa"/>
            <w:tcMar>
              <w:top w:w="0" w:type="dxa"/>
              <w:left w:w="108" w:type="dxa"/>
              <w:bottom w:w="0" w:type="dxa"/>
              <w:right w:w="108" w:type="dxa"/>
            </w:tcMar>
            <w:vAlign w:val="center"/>
          </w:tcPr>
          <w:p w14:paraId="27A28072" w14:textId="77777777" w:rsidR="00451A59" w:rsidRPr="00451A59" w:rsidRDefault="00451A59" w:rsidP="00451A59">
            <w:pPr>
              <w:pStyle w:val="ListParagraph"/>
              <w:shd w:val="clear" w:color="auto" w:fill="FFFFFF" w:themeFill="background1"/>
              <w:tabs>
                <w:tab w:val="left" w:pos="567"/>
              </w:tabs>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02667F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7C700ED4"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71F5C483"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vAlign w:val="center"/>
          </w:tcPr>
          <w:p w14:paraId="7C80CC33"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7426AF0B"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Mar>
              <w:top w:w="0" w:type="dxa"/>
              <w:left w:w="108" w:type="dxa"/>
              <w:bottom w:w="0" w:type="dxa"/>
              <w:right w:w="108" w:type="dxa"/>
            </w:tcMar>
            <w:vAlign w:val="center"/>
          </w:tcPr>
          <w:p w14:paraId="0B16363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E2A307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92120A2" w14:textId="77777777" w:rsidTr="00D7567A">
        <w:trPr>
          <w:trHeight w:val="260"/>
        </w:trPr>
        <w:tc>
          <w:tcPr>
            <w:tcW w:w="694" w:type="dxa"/>
            <w:tcBorders>
              <w:bottom w:val="single" w:sz="4" w:space="0" w:color="auto"/>
            </w:tcBorders>
            <w:tcMar>
              <w:top w:w="0" w:type="dxa"/>
              <w:left w:w="108" w:type="dxa"/>
              <w:bottom w:w="0" w:type="dxa"/>
              <w:right w:w="108" w:type="dxa"/>
            </w:tcMar>
            <w:vAlign w:val="center"/>
          </w:tcPr>
          <w:p w14:paraId="5DAF1386" w14:textId="77777777" w:rsidR="00451A59" w:rsidRPr="00451A59" w:rsidRDefault="00451A59" w:rsidP="00451A59">
            <w:pPr>
              <w:pStyle w:val="ListParagraph"/>
              <w:shd w:val="clear" w:color="auto" w:fill="FFFFFF" w:themeFill="background1"/>
              <w:tabs>
                <w:tab w:val="left" w:pos="567"/>
              </w:tabs>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08CEF8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9CD941C"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3EB7EB5C"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vAlign w:val="center"/>
          </w:tcPr>
          <w:p w14:paraId="30CD058F"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vAlign w:val="center"/>
          </w:tcPr>
          <w:p w14:paraId="445B1052"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Mar>
              <w:top w:w="0" w:type="dxa"/>
              <w:left w:w="108" w:type="dxa"/>
              <w:bottom w:w="0" w:type="dxa"/>
              <w:right w:w="108" w:type="dxa"/>
            </w:tcMar>
            <w:vAlign w:val="center"/>
          </w:tcPr>
          <w:p w14:paraId="748DFDA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64967D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9C5FD23" w14:textId="77777777" w:rsidTr="00D7567A">
        <w:trPr>
          <w:trHeight w:val="123"/>
        </w:trPr>
        <w:tc>
          <w:tcPr>
            <w:tcW w:w="694" w:type="dxa"/>
            <w:tcBorders>
              <w:top w:val="single" w:sz="4" w:space="0" w:color="auto"/>
            </w:tcBorders>
            <w:shd w:val="clear" w:color="auto" w:fill="FFFFFF" w:themeFill="background1"/>
            <w:tcMar>
              <w:top w:w="0" w:type="dxa"/>
              <w:left w:w="108" w:type="dxa"/>
              <w:bottom w:w="0" w:type="dxa"/>
              <w:right w:w="108" w:type="dxa"/>
            </w:tcMar>
            <w:vAlign w:val="center"/>
          </w:tcPr>
          <w:p w14:paraId="16EDC0EB" w14:textId="77777777" w:rsidR="00451A59" w:rsidRPr="00451A59" w:rsidRDefault="00451A59" w:rsidP="00451A59">
            <w:pPr>
              <w:pStyle w:val="ListParagraph"/>
              <w:numPr>
                <w:ilvl w:val="0"/>
                <w:numId w:val="30"/>
              </w:numPr>
              <w:shd w:val="clear" w:color="auto" w:fill="FFFFFF" w:themeFill="background1"/>
              <w:tabs>
                <w:tab w:val="left" w:pos="567"/>
              </w:tabs>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A0EB79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1A5C284"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2F2437AB"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1B785C50"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737A1D9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shd w:val="clear" w:color="auto" w:fill="FFFFFF" w:themeFill="background1"/>
            <w:tcMar>
              <w:top w:w="0" w:type="dxa"/>
              <w:left w:w="108" w:type="dxa"/>
              <w:bottom w:w="0" w:type="dxa"/>
              <w:right w:w="108" w:type="dxa"/>
            </w:tcMar>
            <w:vAlign w:val="center"/>
          </w:tcPr>
          <w:p w14:paraId="2ECDE9F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C96A1B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3B09AAD" w14:textId="77777777" w:rsidTr="00D7567A">
        <w:trPr>
          <w:trHeight w:val="554"/>
        </w:trPr>
        <w:tc>
          <w:tcPr>
            <w:tcW w:w="694" w:type="dxa"/>
            <w:tcBorders>
              <w:top w:val="single" w:sz="4" w:space="0" w:color="auto"/>
            </w:tcBorders>
            <w:shd w:val="clear" w:color="auto" w:fill="FFFFFF" w:themeFill="background1"/>
            <w:tcMar>
              <w:top w:w="0" w:type="dxa"/>
              <w:left w:w="108" w:type="dxa"/>
              <w:bottom w:w="0" w:type="dxa"/>
              <w:right w:w="108" w:type="dxa"/>
            </w:tcMar>
            <w:vAlign w:val="center"/>
          </w:tcPr>
          <w:p w14:paraId="2B8CE888" w14:textId="77777777" w:rsidR="00451A59" w:rsidRPr="00451A59" w:rsidRDefault="00451A59" w:rsidP="00451A59">
            <w:pPr>
              <w:pStyle w:val="ListParagraph"/>
              <w:numPr>
                <w:ilvl w:val="0"/>
                <w:numId w:val="30"/>
              </w:numPr>
              <w:shd w:val="clear" w:color="auto" w:fill="FFFFFF" w:themeFill="background1"/>
              <w:tabs>
                <w:tab w:val="left" w:pos="567"/>
              </w:tabs>
              <w:spacing w:line="276"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57C1617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1.2</w:t>
            </w:r>
          </w:p>
        </w:tc>
        <w:tc>
          <w:tcPr>
            <w:tcW w:w="2533" w:type="dxa"/>
            <w:vAlign w:val="center"/>
          </w:tcPr>
          <w:p w14:paraId="30C473E3"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r w:rsidRPr="00451A59">
              <w:rPr>
                <w:rFonts w:ascii="Times New Roman" w:hAnsi="Times New Roman"/>
                <w:color w:val="000000"/>
                <w:spacing w:val="-3"/>
                <w:sz w:val="20"/>
                <w:szCs w:val="20"/>
                <w:lang w:val="lt-LT"/>
              </w:rPr>
              <w:t>Priemonė – gauti pirmojo ir antrojo energijos blokų eksploatavimo nutraukimo licenciją (planuojama 2022 m.)</w:t>
            </w:r>
          </w:p>
        </w:tc>
        <w:tc>
          <w:tcPr>
            <w:tcW w:w="3260" w:type="dxa"/>
            <w:vAlign w:val="center"/>
          </w:tcPr>
          <w:p w14:paraId="7B9E8FA5"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color w:val="000000"/>
                <w:spacing w:val="-3"/>
                <w:sz w:val="20"/>
                <w:szCs w:val="20"/>
                <w:lang w:val="lt-LT"/>
              </w:rPr>
              <w:t>patvirtintas naujas GENP leidimas</w:t>
            </w:r>
          </w:p>
        </w:tc>
        <w:tc>
          <w:tcPr>
            <w:tcW w:w="851" w:type="dxa"/>
            <w:shd w:val="clear" w:color="auto" w:fill="FFFFFF" w:themeFill="background1"/>
            <w:vAlign w:val="center"/>
          </w:tcPr>
          <w:p w14:paraId="0CF9B863"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632362CA"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EM raštas</w:t>
            </w:r>
          </w:p>
        </w:tc>
        <w:tc>
          <w:tcPr>
            <w:tcW w:w="1276" w:type="dxa"/>
            <w:shd w:val="clear" w:color="auto" w:fill="FFFFFF" w:themeFill="background1"/>
            <w:tcMar>
              <w:top w:w="0" w:type="dxa"/>
              <w:left w:w="108" w:type="dxa"/>
              <w:bottom w:w="0" w:type="dxa"/>
              <w:right w:w="108" w:type="dxa"/>
            </w:tcMar>
            <w:vAlign w:val="center"/>
          </w:tcPr>
          <w:p w14:paraId="5F91BB6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74CEEDA0" w14:textId="138BF096" w:rsidR="00451A59" w:rsidRPr="006446D5" w:rsidRDefault="00451A59" w:rsidP="00451A59">
            <w:pPr>
              <w:shd w:val="clear" w:color="auto" w:fill="FFFFFF" w:themeFill="background1"/>
              <w:rPr>
                <w:rFonts w:ascii="Times New Roman" w:hAnsi="Times New Roman"/>
                <w:iCs/>
                <w:spacing w:val="-3"/>
                <w:sz w:val="20"/>
                <w:szCs w:val="20"/>
                <w:lang w:val="lt-LT"/>
              </w:rPr>
            </w:pPr>
            <w:r w:rsidRPr="006446D5">
              <w:rPr>
                <w:rFonts w:ascii="Times New Roman" w:hAnsi="Times New Roman"/>
                <w:iCs/>
                <w:spacing w:val="-3"/>
                <w:sz w:val="20"/>
                <w:szCs w:val="20"/>
                <w:lang w:val="lt-LT"/>
              </w:rPr>
              <w:t>Ignalinos AE galutinis eksploatavimo nutraukimo planas suderintas su SAM, AM ir SADM.</w:t>
            </w:r>
          </w:p>
          <w:p w14:paraId="417F0E75" w14:textId="1A9440D1" w:rsidR="00451A59" w:rsidRPr="006446D5" w:rsidRDefault="00451A59" w:rsidP="00451A59">
            <w:pPr>
              <w:shd w:val="clear" w:color="auto" w:fill="FFFFFF" w:themeFill="background1"/>
              <w:rPr>
                <w:rFonts w:ascii="Times New Roman" w:hAnsi="Times New Roman"/>
                <w:iCs/>
                <w:spacing w:val="-3"/>
                <w:sz w:val="20"/>
                <w:szCs w:val="20"/>
                <w:lang w:val="lt-LT"/>
              </w:rPr>
            </w:pPr>
            <w:r w:rsidRPr="006446D5">
              <w:rPr>
                <w:rFonts w:ascii="Times New Roman" w:hAnsi="Times New Roman"/>
                <w:iCs/>
                <w:spacing w:val="-3"/>
                <w:sz w:val="20"/>
                <w:szCs w:val="20"/>
                <w:lang w:val="lt-LT"/>
              </w:rPr>
              <w:t>Gruodžio mėn. gautos pastabos iš  VATESI. Pataisytą dokumentą planuojama patvirtinti 2020 m.</w:t>
            </w:r>
            <w:r w:rsidR="00E934B0" w:rsidRPr="006446D5">
              <w:rPr>
                <w:rFonts w:ascii="Times New Roman" w:hAnsi="Times New Roman"/>
                <w:iCs/>
                <w:spacing w:val="-3"/>
                <w:sz w:val="20"/>
                <w:szCs w:val="20"/>
                <w:lang w:val="lt-LT"/>
              </w:rPr>
              <w:t>, kai bus užbaigtos derybos dėl ES naujos daugiametės finansinės programos</w:t>
            </w:r>
            <w:r w:rsidR="006446D5">
              <w:rPr>
                <w:rFonts w:ascii="Times New Roman" w:hAnsi="Times New Roman"/>
                <w:iCs/>
                <w:spacing w:val="-3"/>
                <w:sz w:val="20"/>
                <w:szCs w:val="20"/>
                <w:lang w:val="lt-LT"/>
              </w:rPr>
              <w:t>.</w:t>
            </w:r>
          </w:p>
          <w:p w14:paraId="425A77BE"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006DE968" w14:textId="77777777" w:rsidTr="00D7567A">
        <w:trPr>
          <w:trHeight w:val="270"/>
        </w:trPr>
        <w:tc>
          <w:tcPr>
            <w:tcW w:w="694" w:type="dxa"/>
            <w:tcMar>
              <w:top w:w="0" w:type="dxa"/>
              <w:left w:w="108" w:type="dxa"/>
              <w:bottom w:w="0" w:type="dxa"/>
              <w:right w:w="108" w:type="dxa"/>
            </w:tcMar>
            <w:vAlign w:val="center"/>
          </w:tcPr>
          <w:p w14:paraId="492AB2D8"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val="restart"/>
            <w:shd w:val="clear" w:color="auto" w:fill="FFFFFF" w:themeFill="background1"/>
            <w:tcMar>
              <w:top w:w="0" w:type="dxa"/>
              <w:left w:w="108" w:type="dxa"/>
              <w:bottom w:w="0" w:type="dxa"/>
              <w:right w:w="108" w:type="dxa"/>
            </w:tcMar>
            <w:vAlign w:val="center"/>
          </w:tcPr>
          <w:p w14:paraId="061BD3B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1.3</w:t>
            </w:r>
          </w:p>
        </w:tc>
        <w:tc>
          <w:tcPr>
            <w:tcW w:w="2533" w:type="dxa"/>
            <w:vMerge w:val="restart"/>
            <w:shd w:val="clear" w:color="auto" w:fill="FFFFFF" w:themeFill="background1"/>
            <w:vAlign w:val="center"/>
          </w:tcPr>
          <w:p w14:paraId="74953B9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Vykdyti Maišiagalos saugyklos infrastruktūros priežiūra</w:t>
            </w:r>
          </w:p>
        </w:tc>
        <w:tc>
          <w:tcPr>
            <w:tcW w:w="3260" w:type="dxa"/>
            <w:vMerge w:val="restart"/>
            <w:shd w:val="clear" w:color="auto" w:fill="FFFFFF" w:themeFill="background1"/>
            <w:vAlign w:val="center"/>
          </w:tcPr>
          <w:p w14:paraId="1C1BE739"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Incidentų Maišiagalos saugykloje, susijusių su objekto fizine sauga, skaičius</w:t>
            </w:r>
          </w:p>
        </w:tc>
        <w:tc>
          <w:tcPr>
            <w:tcW w:w="851" w:type="dxa"/>
            <w:shd w:val="clear" w:color="auto" w:fill="FFFFFF" w:themeFill="background1"/>
            <w:vAlign w:val="center"/>
          </w:tcPr>
          <w:p w14:paraId="758247C0"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shd w:val="clear" w:color="auto" w:fill="FFFFFF" w:themeFill="background1"/>
            <w:vAlign w:val="center"/>
          </w:tcPr>
          <w:p w14:paraId="22078CFC"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shd w:val="clear" w:color="auto" w:fill="FFFFFF" w:themeFill="background1"/>
            <w:tcMar>
              <w:top w:w="0" w:type="dxa"/>
              <w:left w:w="108" w:type="dxa"/>
              <w:bottom w:w="0" w:type="dxa"/>
              <w:right w:w="108" w:type="dxa"/>
            </w:tcMar>
            <w:vAlign w:val="center"/>
          </w:tcPr>
          <w:p w14:paraId="16B8595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94753F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309149B" w14:textId="77777777" w:rsidTr="00D7567A">
        <w:trPr>
          <w:trHeight w:val="411"/>
        </w:trPr>
        <w:tc>
          <w:tcPr>
            <w:tcW w:w="694" w:type="dxa"/>
            <w:tcMar>
              <w:top w:w="0" w:type="dxa"/>
              <w:left w:w="108" w:type="dxa"/>
              <w:bottom w:w="0" w:type="dxa"/>
              <w:right w:w="108" w:type="dxa"/>
            </w:tcMar>
            <w:vAlign w:val="center"/>
          </w:tcPr>
          <w:p w14:paraId="139FDBC1"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shd w:val="clear" w:color="auto" w:fill="00CCFF"/>
            <w:tcMar>
              <w:top w:w="0" w:type="dxa"/>
              <w:left w:w="108" w:type="dxa"/>
              <w:bottom w:w="0" w:type="dxa"/>
              <w:right w:w="108" w:type="dxa"/>
            </w:tcMar>
            <w:vAlign w:val="center"/>
          </w:tcPr>
          <w:p w14:paraId="76BE2B9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shd w:val="clear" w:color="auto" w:fill="00CCFF"/>
            <w:vAlign w:val="center"/>
          </w:tcPr>
          <w:p w14:paraId="789B3933"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shd w:val="clear" w:color="auto" w:fill="00CCFF"/>
            <w:vAlign w:val="center"/>
          </w:tcPr>
          <w:p w14:paraId="75EE4CFD"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520C82AA"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shd w:val="clear" w:color="auto" w:fill="FFFFFF" w:themeFill="background1"/>
            <w:vAlign w:val="center"/>
          </w:tcPr>
          <w:p w14:paraId="44FD9E3B"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shd w:val="clear" w:color="auto" w:fill="FFFFFF" w:themeFill="background1"/>
            <w:tcMar>
              <w:top w:w="0" w:type="dxa"/>
              <w:left w:w="108" w:type="dxa"/>
              <w:bottom w:w="0" w:type="dxa"/>
              <w:right w:w="108" w:type="dxa"/>
            </w:tcMar>
            <w:vAlign w:val="center"/>
          </w:tcPr>
          <w:p w14:paraId="50AC1B8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5A982B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6E94E88" w14:textId="77777777" w:rsidTr="00D7567A">
        <w:trPr>
          <w:trHeight w:val="411"/>
        </w:trPr>
        <w:tc>
          <w:tcPr>
            <w:tcW w:w="694" w:type="dxa"/>
            <w:tcBorders>
              <w:bottom w:val="single" w:sz="6" w:space="0" w:color="auto"/>
            </w:tcBorders>
            <w:tcMar>
              <w:top w:w="0" w:type="dxa"/>
              <w:left w:w="108" w:type="dxa"/>
              <w:bottom w:w="0" w:type="dxa"/>
              <w:right w:w="108" w:type="dxa"/>
            </w:tcMar>
            <w:vAlign w:val="center"/>
          </w:tcPr>
          <w:p w14:paraId="0E683BAE"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shd w:val="clear" w:color="auto" w:fill="00CCFF"/>
            <w:tcMar>
              <w:top w:w="0" w:type="dxa"/>
              <w:left w:w="108" w:type="dxa"/>
              <w:bottom w:w="0" w:type="dxa"/>
              <w:right w:w="108" w:type="dxa"/>
            </w:tcMar>
            <w:vAlign w:val="center"/>
          </w:tcPr>
          <w:p w14:paraId="4FC62C9F"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shd w:val="clear" w:color="auto" w:fill="00CCFF"/>
            <w:vAlign w:val="center"/>
          </w:tcPr>
          <w:p w14:paraId="00AAB944"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shd w:val="clear" w:color="auto" w:fill="00CCFF"/>
            <w:vAlign w:val="center"/>
          </w:tcPr>
          <w:p w14:paraId="30920F97"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tcBorders>
              <w:bottom w:val="single" w:sz="6" w:space="0" w:color="auto"/>
            </w:tcBorders>
            <w:shd w:val="clear" w:color="auto" w:fill="FFFFFF" w:themeFill="background1"/>
            <w:vAlign w:val="center"/>
          </w:tcPr>
          <w:p w14:paraId="6E6CDBEF"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tcBorders>
              <w:bottom w:val="single" w:sz="6" w:space="0" w:color="auto"/>
            </w:tcBorders>
            <w:shd w:val="clear" w:color="auto" w:fill="FFFFFF" w:themeFill="background1"/>
            <w:vAlign w:val="center"/>
          </w:tcPr>
          <w:p w14:paraId="613E617C"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Borders>
              <w:bottom w:val="single" w:sz="6" w:space="0" w:color="auto"/>
            </w:tcBorders>
            <w:shd w:val="clear" w:color="auto" w:fill="FFFFFF" w:themeFill="background1"/>
            <w:tcMar>
              <w:top w:w="0" w:type="dxa"/>
              <w:left w:w="108" w:type="dxa"/>
              <w:bottom w:w="0" w:type="dxa"/>
              <w:right w:w="108" w:type="dxa"/>
            </w:tcMar>
            <w:vAlign w:val="center"/>
          </w:tcPr>
          <w:p w14:paraId="312ECBC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Borders>
              <w:bottom w:val="single" w:sz="6" w:space="0" w:color="auto"/>
            </w:tcBorders>
            <w:tcMar>
              <w:top w:w="0" w:type="dxa"/>
              <w:left w:w="108" w:type="dxa"/>
              <w:bottom w:w="0" w:type="dxa"/>
              <w:right w:w="108" w:type="dxa"/>
            </w:tcMar>
            <w:vAlign w:val="center"/>
          </w:tcPr>
          <w:p w14:paraId="6B4D7E0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E240B1D" w14:textId="77777777" w:rsidTr="00D7567A">
        <w:trPr>
          <w:trHeight w:val="411"/>
        </w:trPr>
        <w:tc>
          <w:tcPr>
            <w:tcW w:w="694" w:type="dxa"/>
            <w:tcBorders>
              <w:bottom w:val="single" w:sz="6" w:space="0" w:color="auto"/>
            </w:tcBorders>
            <w:shd w:val="clear" w:color="auto" w:fill="FFFFFF" w:themeFill="background1"/>
            <w:tcMar>
              <w:top w:w="0" w:type="dxa"/>
              <w:left w:w="108" w:type="dxa"/>
              <w:bottom w:w="0" w:type="dxa"/>
              <w:right w:w="108" w:type="dxa"/>
            </w:tcMar>
            <w:vAlign w:val="center"/>
          </w:tcPr>
          <w:p w14:paraId="0F76657E" w14:textId="77777777" w:rsidR="00451A59" w:rsidRPr="00451A59" w:rsidRDefault="00451A59" w:rsidP="00451A59">
            <w:pPr>
              <w:pStyle w:val="ListParagraph"/>
              <w:numPr>
                <w:ilvl w:val="0"/>
                <w:numId w:val="30"/>
              </w:numPr>
              <w:shd w:val="clear" w:color="auto" w:fill="FFFFFF" w:themeFill="background1"/>
              <w:spacing w:line="276" w:lineRule="auto"/>
              <w:ind w:left="584" w:hanging="357"/>
              <w:rPr>
                <w:rFonts w:ascii="Times New Roman" w:eastAsia="Calibri" w:hAnsi="Times New Roman"/>
                <w:sz w:val="20"/>
                <w:szCs w:val="20"/>
              </w:rPr>
            </w:pPr>
          </w:p>
        </w:tc>
        <w:tc>
          <w:tcPr>
            <w:tcW w:w="992" w:type="dxa"/>
            <w:vMerge/>
            <w:tcBorders>
              <w:bottom w:val="single" w:sz="6" w:space="0" w:color="auto"/>
            </w:tcBorders>
            <w:shd w:val="clear" w:color="auto" w:fill="00CCFF"/>
            <w:tcMar>
              <w:top w:w="0" w:type="dxa"/>
              <w:left w:w="108" w:type="dxa"/>
              <w:bottom w:w="0" w:type="dxa"/>
              <w:right w:w="108" w:type="dxa"/>
            </w:tcMar>
            <w:vAlign w:val="center"/>
          </w:tcPr>
          <w:p w14:paraId="4C203B1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tcBorders>
              <w:bottom w:val="single" w:sz="6" w:space="0" w:color="auto"/>
            </w:tcBorders>
            <w:shd w:val="clear" w:color="auto" w:fill="00CCFF"/>
            <w:vAlign w:val="center"/>
          </w:tcPr>
          <w:p w14:paraId="0B878A32"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tcBorders>
              <w:bottom w:val="single" w:sz="6" w:space="0" w:color="auto"/>
            </w:tcBorders>
            <w:shd w:val="clear" w:color="auto" w:fill="00CCFF"/>
            <w:vAlign w:val="center"/>
          </w:tcPr>
          <w:p w14:paraId="69CD536A"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tcBorders>
              <w:bottom w:val="single" w:sz="6" w:space="0" w:color="auto"/>
            </w:tcBorders>
            <w:shd w:val="clear" w:color="auto" w:fill="FFFFFF" w:themeFill="background1"/>
            <w:vAlign w:val="center"/>
          </w:tcPr>
          <w:p w14:paraId="0505ECA4"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tcBorders>
              <w:bottom w:val="single" w:sz="6" w:space="0" w:color="auto"/>
            </w:tcBorders>
            <w:shd w:val="clear" w:color="auto" w:fill="FFFFFF" w:themeFill="background1"/>
            <w:vAlign w:val="center"/>
          </w:tcPr>
          <w:p w14:paraId="4F540EF8"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Borders>
              <w:bottom w:val="single" w:sz="6" w:space="0" w:color="auto"/>
            </w:tcBorders>
            <w:shd w:val="clear" w:color="auto" w:fill="FFFFFF" w:themeFill="background1"/>
            <w:tcMar>
              <w:top w:w="0" w:type="dxa"/>
              <w:left w:w="108" w:type="dxa"/>
              <w:bottom w:w="0" w:type="dxa"/>
              <w:right w:w="108" w:type="dxa"/>
            </w:tcMar>
            <w:vAlign w:val="center"/>
          </w:tcPr>
          <w:p w14:paraId="66CF0D3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Borders>
              <w:bottom w:val="single" w:sz="6" w:space="0" w:color="auto"/>
            </w:tcBorders>
            <w:tcMar>
              <w:top w:w="0" w:type="dxa"/>
              <w:left w:w="108" w:type="dxa"/>
              <w:bottom w:w="0" w:type="dxa"/>
              <w:right w:w="108" w:type="dxa"/>
            </w:tcMar>
            <w:vAlign w:val="center"/>
          </w:tcPr>
          <w:p w14:paraId="303A0D7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5FC2DFF5" w14:textId="77777777" w:rsidTr="00D7567A">
        <w:trPr>
          <w:trHeight w:val="416"/>
        </w:trPr>
        <w:tc>
          <w:tcPr>
            <w:tcW w:w="694" w:type="dxa"/>
            <w:tcBorders>
              <w:top w:val="single" w:sz="6" w:space="0" w:color="auto"/>
              <w:bottom w:val="single" w:sz="6" w:space="0" w:color="auto"/>
            </w:tcBorders>
            <w:tcMar>
              <w:top w:w="0" w:type="dxa"/>
              <w:left w:w="108" w:type="dxa"/>
              <w:bottom w:w="0" w:type="dxa"/>
              <w:right w:w="108" w:type="dxa"/>
            </w:tcMar>
            <w:vAlign w:val="center"/>
          </w:tcPr>
          <w:p w14:paraId="07CB32CD"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val="restart"/>
            <w:tcBorders>
              <w:top w:val="single" w:sz="6" w:space="0" w:color="auto"/>
            </w:tcBorders>
            <w:tcMar>
              <w:top w:w="0" w:type="dxa"/>
              <w:left w:w="108" w:type="dxa"/>
              <w:bottom w:w="0" w:type="dxa"/>
              <w:right w:w="108" w:type="dxa"/>
            </w:tcMar>
            <w:vAlign w:val="center"/>
          </w:tcPr>
          <w:p w14:paraId="19689F1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2.1</w:t>
            </w:r>
          </w:p>
        </w:tc>
        <w:tc>
          <w:tcPr>
            <w:tcW w:w="2533" w:type="dxa"/>
            <w:vMerge w:val="restart"/>
            <w:tcBorders>
              <w:top w:val="single" w:sz="6" w:space="0" w:color="auto"/>
            </w:tcBorders>
            <w:vAlign w:val="bottom"/>
          </w:tcPr>
          <w:p w14:paraId="5DAC0D2C"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tcBorders>
              <w:top w:val="single" w:sz="6" w:space="0" w:color="auto"/>
            </w:tcBorders>
            <w:vAlign w:val="center"/>
          </w:tcPr>
          <w:p w14:paraId="2C822654" w14:textId="77777777" w:rsidR="00451A59" w:rsidRPr="00451A59" w:rsidRDefault="00451A59" w:rsidP="00451A59">
            <w:pPr>
              <w:shd w:val="clear" w:color="auto" w:fill="FFFFFF" w:themeFill="background1"/>
              <w:ind w:left="107" w:right="141"/>
              <w:jc w:val="both"/>
              <w:rPr>
                <w:rFonts w:ascii="Times New Roman" w:hAnsi="Times New Roman"/>
                <w:b/>
                <w:sz w:val="20"/>
                <w:szCs w:val="20"/>
                <w:lang w:val="lt-LT"/>
              </w:rPr>
            </w:pPr>
            <w:r w:rsidRPr="00451A59">
              <w:rPr>
                <w:rFonts w:ascii="Times New Roman" w:hAnsi="Times New Roman"/>
                <w:b/>
                <w:sz w:val="20"/>
                <w:szCs w:val="20"/>
                <w:lang w:val="lt-LT"/>
              </w:rPr>
              <w:t>R2 Megaprojektyo bendras plano vykdymo indeksas (SPI), santykinis dydis</w:t>
            </w:r>
          </w:p>
        </w:tc>
        <w:tc>
          <w:tcPr>
            <w:tcW w:w="851" w:type="dxa"/>
            <w:tcBorders>
              <w:top w:val="single" w:sz="6" w:space="0" w:color="auto"/>
              <w:bottom w:val="single" w:sz="6" w:space="0" w:color="auto"/>
            </w:tcBorders>
            <w:vAlign w:val="center"/>
          </w:tcPr>
          <w:p w14:paraId="18053A1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tcBorders>
              <w:top w:val="single" w:sz="6" w:space="0" w:color="auto"/>
              <w:bottom w:val="single" w:sz="6" w:space="0" w:color="auto"/>
            </w:tcBorders>
            <w:vAlign w:val="center"/>
          </w:tcPr>
          <w:p w14:paraId="1B92221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0,9</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50331D8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Borders>
              <w:top w:val="single" w:sz="6" w:space="0" w:color="auto"/>
              <w:bottom w:val="single" w:sz="6" w:space="0" w:color="auto"/>
            </w:tcBorders>
            <w:tcMar>
              <w:top w:w="0" w:type="dxa"/>
              <w:left w:w="108" w:type="dxa"/>
              <w:bottom w:w="0" w:type="dxa"/>
              <w:right w:w="108" w:type="dxa"/>
            </w:tcMar>
            <w:vAlign w:val="center"/>
          </w:tcPr>
          <w:p w14:paraId="5401AFD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5825FBA" w14:textId="77777777" w:rsidTr="00D7567A">
        <w:trPr>
          <w:trHeight w:val="410"/>
        </w:trPr>
        <w:tc>
          <w:tcPr>
            <w:tcW w:w="694" w:type="dxa"/>
            <w:tcBorders>
              <w:top w:val="single" w:sz="6" w:space="0" w:color="auto"/>
              <w:bottom w:val="single" w:sz="6" w:space="0" w:color="auto"/>
            </w:tcBorders>
            <w:tcMar>
              <w:top w:w="0" w:type="dxa"/>
              <w:left w:w="108" w:type="dxa"/>
              <w:bottom w:w="0" w:type="dxa"/>
              <w:right w:w="108" w:type="dxa"/>
            </w:tcMar>
            <w:vAlign w:val="center"/>
          </w:tcPr>
          <w:p w14:paraId="52169D95"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8A8465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bottom"/>
          </w:tcPr>
          <w:p w14:paraId="7A9EDF40"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3BE7992E"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tcBorders>
              <w:top w:val="single" w:sz="6" w:space="0" w:color="auto"/>
              <w:bottom w:val="single" w:sz="6" w:space="0" w:color="auto"/>
            </w:tcBorders>
            <w:vAlign w:val="center"/>
          </w:tcPr>
          <w:p w14:paraId="3EEC482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tcBorders>
              <w:top w:val="single" w:sz="6" w:space="0" w:color="auto"/>
              <w:bottom w:val="single" w:sz="6" w:space="0" w:color="auto"/>
            </w:tcBorders>
            <w:vAlign w:val="center"/>
          </w:tcPr>
          <w:p w14:paraId="09992D8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0,9</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5475603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Borders>
              <w:top w:val="single" w:sz="6" w:space="0" w:color="auto"/>
              <w:bottom w:val="single" w:sz="6" w:space="0" w:color="auto"/>
            </w:tcBorders>
            <w:tcMar>
              <w:top w:w="0" w:type="dxa"/>
              <w:left w:w="108" w:type="dxa"/>
              <w:bottom w:w="0" w:type="dxa"/>
              <w:right w:w="108" w:type="dxa"/>
            </w:tcMar>
            <w:vAlign w:val="center"/>
          </w:tcPr>
          <w:p w14:paraId="35F8668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BC21F23" w14:textId="77777777" w:rsidTr="00D7567A">
        <w:trPr>
          <w:trHeight w:val="410"/>
        </w:trPr>
        <w:tc>
          <w:tcPr>
            <w:tcW w:w="694" w:type="dxa"/>
            <w:tcBorders>
              <w:top w:val="single" w:sz="6" w:space="0" w:color="auto"/>
              <w:bottom w:val="single" w:sz="6" w:space="0" w:color="auto"/>
            </w:tcBorders>
            <w:tcMar>
              <w:top w:w="0" w:type="dxa"/>
              <w:left w:w="108" w:type="dxa"/>
              <w:bottom w:w="0" w:type="dxa"/>
              <w:right w:w="108" w:type="dxa"/>
            </w:tcMar>
            <w:vAlign w:val="center"/>
          </w:tcPr>
          <w:p w14:paraId="459F20C3"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4B8A98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bottom"/>
          </w:tcPr>
          <w:p w14:paraId="3B4CDEA9"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0F06D6D5"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tcBorders>
              <w:top w:val="single" w:sz="6" w:space="0" w:color="auto"/>
              <w:bottom w:val="single" w:sz="6" w:space="0" w:color="auto"/>
            </w:tcBorders>
            <w:vAlign w:val="center"/>
          </w:tcPr>
          <w:p w14:paraId="146C7044"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tcBorders>
              <w:top w:val="single" w:sz="6" w:space="0" w:color="auto"/>
              <w:bottom w:val="single" w:sz="6" w:space="0" w:color="auto"/>
            </w:tcBorders>
            <w:vAlign w:val="center"/>
          </w:tcPr>
          <w:p w14:paraId="1F1B8DB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0,9</w:t>
            </w:r>
          </w:p>
        </w:tc>
        <w:tc>
          <w:tcPr>
            <w:tcW w:w="1276" w:type="dxa"/>
            <w:tcBorders>
              <w:top w:val="single" w:sz="6" w:space="0" w:color="auto"/>
              <w:bottom w:val="single" w:sz="6" w:space="0" w:color="auto"/>
            </w:tcBorders>
            <w:shd w:val="clear" w:color="auto" w:fill="auto"/>
            <w:tcMar>
              <w:top w:w="0" w:type="dxa"/>
              <w:left w:w="108" w:type="dxa"/>
              <w:bottom w:w="0" w:type="dxa"/>
              <w:right w:w="108" w:type="dxa"/>
            </w:tcMar>
            <w:vAlign w:val="center"/>
          </w:tcPr>
          <w:p w14:paraId="7F194580"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Borders>
              <w:top w:val="single" w:sz="6" w:space="0" w:color="auto"/>
              <w:bottom w:val="single" w:sz="6" w:space="0" w:color="auto"/>
            </w:tcBorders>
            <w:shd w:val="clear" w:color="auto" w:fill="FFFFFF" w:themeFill="background1"/>
            <w:tcMar>
              <w:top w:w="0" w:type="dxa"/>
              <w:left w:w="108" w:type="dxa"/>
              <w:bottom w:w="0" w:type="dxa"/>
              <w:right w:w="108" w:type="dxa"/>
            </w:tcMar>
            <w:vAlign w:val="center"/>
          </w:tcPr>
          <w:p w14:paraId="078C4866"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w:t>
            </w:r>
          </w:p>
        </w:tc>
      </w:tr>
      <w:tr w:rsidR="00451A59" w:rsidRPr="00451A59" w14:paraId="5ED1F3DF" w14:textId="77777777" w:rsidTr="00D7567A">
        <w:trPr>
          <w:trHeight w:val="410"/>
        </w:trPr>
        <w:tc>
          <w:tcPr>
            <w:tcW w:w="694" w:type="dxa"/>
            <w:tcBorders>
              <w:top w:val="single" w:sz="6" w:space="0" w:color="auto"/>
              <w:bottom w:val="single" w:sz="6" w:space="0" w:color="auto"/>
            </w:tcBorders>
            <w:shd w:val="clear" w:color="auto" w:fill="FFFFFF" w:themeFill="background1"/>
            <w:tcMar>
              <w:top w:w="0" w:type="dxa"/>
              <w:left w:w="108" w:type="dxa"/>
              <w:bottom w:w="0" w:type="dxa"/>
              <w:right w:w="108" w:type="dxa"/>
            </w:tcMar>
            <w:vAlign w:val="center"/>
          </w:tcPr>
          <w:p w14:paraId="51315064"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Borders>
              <w:bottom w:val="single" w:sz="6" w:space="0" w:color="auto"/>
            </w:tcBorders>
            <w:tcMar>
              <w:top w:w="0" w:type="dxa"/>
              <w:left w:w="108" w:type="dxa"/>
              <w:bottom w:w="0" w:type="dxa"/>
              <w:right w:w="108" w:type="dxa"/>
            </w:tcMar>
            <w:vAlign w:val="center"/>
          </w:tcPr>
          <w:p w14:paraId="6BE5DB8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tcBorders>
              <w:bottom w:val="single" w:sz="6" w:space="0" w:color="auto"/>
            </w:tcBorders>
            <w:vAlign w:val="bottom"/>
          </w:tcPr>
          <w:p w14:paraId="6C23A3A8"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tcBorders>
              <w:bottom w:val="single" w:sz="6" w:space="0" w:color="auto"/>
            </w:tcBorders>
            <w:vAlign w:val="center"/>
          </w:tcPr>
          <w:p w14:paraId="2E4A472A"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tcBorders>
              <w:top w:val="single" w:sz="6" w:space="0" w:color="auto"/>
              <w:bottom w:val="single" w:sz="6" w:space="0" w:color="auto"/>
            </w:tcBorders>
            <w:shd w:val="clear" w:color="auto" w:fill="FFFFFF" w:themeFill="background1"/>
            <w:vAlign w:val="center"/>
          </w:tcPr>
          <w:p w14:paraId="7298D5B8"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tcBorders>
              <w:top w:val="single" w:sz="6" w:space="0" w:color="auto"/>
              <w:bottom w:val="single" w:sz="6" w:space="0" w:color="auto"/>
            </w:tcBorders>
            <w:shd w:val="clear" w:color="auto" w:fill="FFFFFF" w:themeFill="background1"/>
            <w:vAlign w:val="center"/>
          </w:tcPr>
          <w:p w14:paraId="6C4BEE4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0,9</w:t>
            </w:r>
          </w:p>
        </w:tc>
        <w:tc>
          <w:tcPr>
            <w:tcW w:w="1276" w:type="dxa"/>
            <w:tcBorders>
              <w:top w:val="single" w:sz="6" w:space="0" w:color="auto"/>
              <w:bottom w:val="single" w:sz="6" w:space="0" w:color="auto"/>
            </w:tcBorders>
            <w:shd w:val="clear" w:color="auto" w:fill="FFFFFF" w:themeFill="background1"/>
            <w:tcMar>
              <w:top w:w="0" w:type="dxa"/>
              <w:left w:w="108" w:type="dxa"/>
              <w:bottom w:w="0" w:type="dxa"/>
              <w:right w:w="108" w:type="dxa"/>
            </w:tcMar>
            <w:vAlign w:val="center"/>
          </w:tcPr>
          <w:p w14:paraId="3800EC2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Borders>
              <w:top w:val="single" w:sz="6" w:space="0" w:color="auto"/>
              <w:bottom w:val="single" w:sz="6" w:space="0" w:color="auto"/>
            </w:tcBorders>
            <w:shd w:val="clear" w:color="auto" w:fill="FFFFFF" w:themeFill="background1"/>
            <w:tcMar>
              <w:top w:w="0" w:type="dxa"/>
              <w:left w:w="108" w:type="dxa"/>
              <w:bottom w:w="0" w:type="dxa"/>
              <w:right w:w="108" w:type="dxa"/>
            </w:tcMar>
            <w:vAlign w:val="center"/>
          </w:tcPr>
          <w:p w14:paraId="166FEC8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DC38531" w14:textId="77777777" w:rsidTr="00D7567A">
        <w:trPr>
          <w:trHeight w:val="402"/>
        </w:trPr>
        <w:tc>
          <w:tcPr>
            <w:tcW w:w="694" w:type="dxa"/>
            <w:tcBorders>
              <w:top w:val="single" w:sz="6" w:space="0" w:color="auto"/>
            </w:tcBorders>
            <w:tcMar>
              <w:top w:w="0" w:type="dxa"/>
              <w:left w:w="108" w:type="dxa"/>
              <w:bottom w:w="0" w:type="dxa"/>
              <w:right w:w="108" w:type="dxa"/>
            </w:tcMar>
            <w:vAlign w:val="center"/>
          </w:tcPr>
          <w:p w14:paraId="3785A361"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val="restart"/>
            <w:tcBorders>
              <w:top w:val="single" w:sz="6" w:space="0" w:color="auto"/>
            </w:tcBorders>
            <w:tcMar>
              <w:top w:w="0" w:type="dxa"/>
              <w:left w:w="108" w:type="dxa"/>
              <w:bottom w:w="0" w:type="dxa"/>
              <w:right w:w="108" w:type="dxa"/>
            </w:tcMar>
            <w:vAlign w:val="center"/>
          </w:tcPr>
          <w:p w14:paraId="1CD9934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2.2</w:t>
            </w:r>
          </w:p>
        </w:tc>
        <w:tc>
          <w:tcPr>
            <w:tcW w:w="2533" w:type="dxa"/>
            <w:vMerge w:val="restart"/>
            <w:tcBorders>
              <w:top w:val="single" w:sz="6" w:space="0" w:color="auto"/>
            </w:tcBorders>
            <w:vAlign w:val="center"/>
          </w:tcPr>
          <w:p w14:paraId="61F32EB4"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tcBorders>
              <w:top w:val="single" w:sz="6" w:space="0" w:color="auto"/>
            </w:tcBorders>
            <w:vAlign w:val="center"/>
          </w:tcPr>
          <w:p w14:paraId="4953A687" w14:textId="77777777" w:rsidR="00451A59" w:rsidRPr="00451A59" w:rsidRDefault="00451A59" w:rsidP="00451A59">
            <w:pPr>
              <w:shd w:val="clear" w:color="auto" w:fill="FFFFFF" w:themeFill="background1"/>
              <w:ind w:left="107" w:right="141"/>
              <w:jc w:val="both"/>
              <w:rPr>
                <w:rFonts w:ascii="Times New Roman" w:hAnsi="Times New Roman"/>
                <w:b/>
                <w:sz w:val="20"/>
                <w:szCs w:val="20"/>
                <w:lang w:val="lt-LT"/>
              </w:rPr>
            </w:pPr>
            <w:r w:rsidRPr="00451A59">
              <w:rPr>
                <w:rFonts w:ascii="Times New Roman" w:hAnsi="Times New Roman"/>
                <w:b/>
                <w:sz w:val="20"/>
                <w:szCs w:val="20"/>
                <w:lang w:val="lt-LT"/>
              </w:rPr>
              <w:t>R3 Megaprojekto bendras kaštų efektyvumo indeksas (CPI), santykinis dydis</w:t>
            </w:r>
          </w:p>
        </w:tc>
        <w:tc>
          <w:tcPr>
            <w:tcW w:w="851" w:type="dxa"/>
            <w:tcBorders>
              <w:top w:val="single" w:sz="6" w:space="0" w:color="auto"/>
            </w:tcBorders>
            <w:vAlign w:val="center"/>
          </w:tcPr>
          <w:p w14:paraId="29285B8A"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tcBorders>
              <w:top w:val="single" w:sz="6" w:space="0" w:color="auto"/>
            </w:tcBorders>
            <w:vAlign w:val="center"/>
          </w:tcPr>
          <w:p w14:paraId="0C4C967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0,9</w:t>
            </w:r>
          </w:p>
        </w:tc>
        <w:tc>
          <w:tcPr>
            <w:tcW w:w="1276" w:type="dxa"/>
            <w:tcBorders>
              <w:top w:val="single" w:sz="6" w:space="0" w:color="auto"/>
            </w:tcBorders>
            <w:shd w:val="clear" w:color="auto" w:fill="FFFFFF" w:themeFill="background1"/>
            <w:tcMar>
              <w:top w:w="0" w:type="dxa"/>
              <w:left w:w="108" w:type="dxa"/>
              <w:bottom w:w="0" w:type="dxa"/>
              <w:right w:w="108" w:type="dxa"/>
            </w:tcMar>
            <w:vAlign w:val="center"/>
          </w:tcPr>
          <w:p w14:paraId="7134810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Borders>
              <w:top w:val="single" w:sz="6" w:space="0" w:color="auto"/>
            </w:tcBorders>
            <w:tcMar>
              <w:top w:w="0" w:type="dxa"/>
              <w:left w:w="108" w:type="dxa"/>
              <w:bottom w:w="0" w:type="dxa"/>
              <w:right w:w="108" w:type="dxa"/>
            </w:tcMar>
            <w:vAlign w:val="center"/>
          </w:tcPr>
          <w:p w14:paraId="0647062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DFB2BFD" w14:textId="77777777" w:rsidTr="00D7567A">
        <w:trPr>
          <w:trHeight w:val="422"/>
        </w:trPr>
        <w:tc>
          <w:tcPr>
            <w:tcW w:w="694" w:type="dxa"/>
            <w:tcMar>
              <w:top w:w="0" w:type="dxa"/>
              <w:left w:w="108" w:type="dxa"/>
              <w:bottom w:w="0" w:type="dxa"/>
              <w:right w:w="108" w:type="dxa"/>
            </w:tcMar>
            <w:vAlign w:val="center"/>
          </w:tcPr>
          <w:p w14:paraId="00D99B25"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721951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E6235A2"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38B03A5B"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5BBB78DE"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4218C54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0,9</w:t>
            </w:r>
          </w:p>
        </w:tc>
        <w:tc>
          <w:tcPr>
            <w:tcW w:w="1276" w:type="dxa"/>
            <w:shd w:val="clear" w:color="auto" w:fill="FFFFFF" w:themeFill="background1"/>
            <w:tcMar>
              <w:top w:w="0" w:type="dxa"/>
              <w:left w:w="108" w:type="dxa"/>
              <w:bottom w:w="0" w:type="dxa"/>
              <w:right w:w="108" w:type="dxa"/>
            </w:tcMar>
            <w:vAlign w:val="center"/>
          </w:tcPr>
          <w:p w14:paraId="4B53F19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E689A7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9E3B9E0" w14:textId="77777777" w:rsidTr="00D7567A">
        <w:trPr>
          <w:trHeight w:val="422"/>
        </w:trPr>
        <w:tc>
          <w:tcPr>
            <w:tcW w:w="694" w:type="dxa"/>
            <w:tcMar>
              <w:top w:w="0" w:type="dxa"/>
              <w:left w:w="108" w:type="dxa"/>
              <w:bottom w:w="0" w:type="dxa"/>
              <w:right w:w="108" w:type="dxa"/>
            </w:tcMar>
            <w:vAlign w:val="center"/>
          </w:tcPr>
          <w:p w14:paraId="67D35183"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0EB0F2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4B1B2C5"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70241AB6"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3421AE94"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vAlign w:val="center"/>
          </w:tcPr>
          <w:p w14:paraId="0B33445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0,9</w:t>
            </w:r>
          </w:p>
        </w:tc>
        <w:tc>
          <w:tcPr>
            <w:tcW w:w="1276" w:type="dxa"/>
            <w:shd w:val="clear" w:color="auto" w:fill="FFFFFF" w:themeFill="background1"/>
            <w:tcMar>
              <w:top w:w="0" w:type="dxa"/>
              <w:left w:w="108" w:type="dxa"/>
              <w:bottom w:w="0" w:type="dxa"/>
              <w:right w:w="108" w:type="dxa"/>
            </w:tcMar>
            <w:vAlign w:val="center"/>
          </w:tcPr>
          <w:p w14:paraId="48D1E95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7F194B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1CD7C9A" w14:textId="77777777" w:rsidTr="00D7567A">
        <w:trPr>
          <w:trHeight w:val="422"/>
        </w:trPr>
        <w:tc>
          <w:tcPr>
            <w:tcW w:w="694" w:type="dxa"/>
            <w:shd w:val="clear" w:color="auto" w:fill="FFFFFF" w:themeFill="background1"/>
            <w:tcMar>
              <w:top w:w="0" w:type="dxa"/>
              <w:left w:w="108" w:type="dxa"/>
              <w:bottom w:w="0" w:type="dxa"/>
              <w:right w:w="108" w:type="dxa"/>
            </w:tcMar>
            <w:vAlign w:val="center"/>
          </w:tcPr>
          <w:p w14:paraId="405EAE73"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B57571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30B48A49"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1929DB34"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shd w:val="clear" w:color="auto" w:fill="FFFFFF" w:themeFill="background1"/>
            <w:vAlign w:val="center"/>
          </w:tcPr>
          <w:p w14:paraId="75CB14B5"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0AE6542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0,9</w:t>
            </w:r>
          </w:p>
        </w:tc>
        <w:tc>
          <w:tcPr>
            <w:tcW w:w="1276" w:type="dxa"/>
            <w:shd w:val="clear" w:color="auto" w:fill="FFFFFF" w:themeFill="background1"/>
            <w:tcMar>
              <w:top w:w="0" w:type="dxa"/>
              <w:left w:w="108" w:type="dxa"/>
              <w:bottom w:w="0" w:type="dxa"/>
              <w:right w:w="108" w:type="dxa"/>
            </w:tcMar>
            <w:vAlign w:val="center"/>
          </w:tcPr>
          <w:p w14:paraId="4136FAF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546A24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9D53F6F" w14:textId="77777777" w:rsidTr="00D7567A">
        <w:trPr>
          <w:trHeight w:val="413"/>
        </w:trPr>
        <w:tc>
          <w:tcPr>
            <w:tcW w:w="694" w:type="dxa"/>
            <w:tcMar>
              <w:top w:w="0" w:type="dxa"/>
              <w:left w:w="108" w:type="dxa"/>
              <w:bottom w:w="0" w:type="dxa"/>
              <w:right w:w="108" w:type="dxa"/>
            </w:tcMar>
            <w:vAlign w:val="center"/>
          </w:tcPr>
          <w:p w14:paraId="3331F9EF"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1F4E256F"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3.1</w:t>
            </w:r>
          </w:p>
        </w:tc>
        <w:tc>
          <w:tcPr>
            <w:tcW w:w="2533" w:type="dxa"/>
            <w:vMerge w:val="restart"/>
            <w:vAlign w:val="center"/>
          </w:tcPr>
          <w:p w14:paraId="13FEE479"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vAlign w:val="center"/>
          </w:tcPr>
          <w:p w14:paraId="348FC4EF" w14:textId="77777777" w:rsidR="00451A59" w:rsidRPr="00451A59" w:rsidRDefault="00451A59" w:rsidP="00451A59">
            <w:pPr>
              <w:shd w:val="clear" w:color="auto" w:fill="FFFFFF" w:themeFill="background1"/>
              <w:ind w:left="107" w:right="141"/>
              <w:jc w:val="both"/>
              <w:rPr>
                <w:rFonts w:ascii="Times New Roman" w:hAnsi="Times New Roman"/>
                <w:b/>
                <w:sz w:val="20"/>
                <w:szCs w:val="20"/>
                <w:lang w:val="lt-LT"/>
              </w:rPr>
            </w:pPr>
            <w:r w:rsidRPr="00451A59">
              <w:rPr>
                <w:rFonts w:ascii="Times New Roman" w:hAnsi="Times New Roman"/>
                <w:b/>
                <w:sz w:val="20"/>
                <w:szCs w:val="20"/>
                <w:lang w:val="lt-LT"/>
              </w:rPr>
              <w:t>R4 Įmonės darbuotojų, kurių suminė apšvitos dozė viršijo ribinę (≤18 mSv), skaičius</w:t>
            </w:r>
          </w:p>
        </w:tc>
        <w:tc>
          <w:tcPr>
            <w:tcW w:w="851" w:type="dxa"/>
            <w:vAlign w:val="center"/>
          </w:tcPr>
          <w:p w14:paraId="0A82C98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vAlign w:val="center"/>
          </w:tcPr>
          <w:p w14:paraId="567A55E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Mar>
              <w:top w:w="0" w:type="dxa"/>
              <w:left w:w="108" w:type="dxa"/>
              <w:bottom w:w="0" w:type="dxa"/>
              <w:right w:w="108" w:type="dxa"/>
            </w:tcMar>
            <w:vAlign w:val="center"/>
          </w:tcPr>
          <w:p w14:paraId="2E3E3D2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tcPr>
          <w:p w14:paraId="24BE0BB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76445765" w14:textId="77777777" w:rsidTr="00D7567A">
        <w:trPr>
          <w:trHeight w:val="391"/>
        </w:trPr>
        <w:tc>
          <w:tcPr>
            <w:tcW w:w="694" w:type="dxa"/>
            <w:tcMar>
              <w:top w:w="0" w:type="dxa"/>
              <w:left w:w="108" w:type="dxa"/>
              <w:bottom w:w="0" w:type="dxa"/>
              <w:right w:w="108" w:type="dxa"/>
            </w:tcMar>
            <w:vAlign w:val="center"/>
          </w:tcPr>
          <w:p w14:paraId="74EF3CC5"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8FB3B4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791E6B1C"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1EFFFA39"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5D2F29A8"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755E00C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Mar>
              <w:top w:w="0" w:type="dxa"/>
              <w:left w:w="108" w:type="dxa"/>
              <w:bottom w:w="0" w:type="dxa"/>
              <w:right w:w="108" w:type="dxa"/>
            </w:tcMar>
            <w:vAlign w:val="center"/>
          </w:tcPr>
          <w:p w14:paraId="3250979A"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58D4C98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7FE99742" w14:textId="77777777" w:rsidTr="00D7567A">
        <w:trPr>
          <w:trHeight w:val="391"/>
        </w:trPr>
        <w:tc>
          <w:tcPr>
            <w:tcW w:w="694" w:type="dxa"/>
            <w:tcMar>
              <w:top w:w="0" w:type="dxa"/>
              <w:left w:w="108" w:type="dxa"/>
              <w:bottom w:w="0" w:type="dxa"/>
              <w:right w:w="108" w:type="dxa"/>
            </w:tcMar>
            <w:vAlign w:val="center"/>
          </w:tcPr>
          <w:p w14:paraId="36D9BA99"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59D851A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AC0635B"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21B07A0B"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0A46C5A0"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vAlign w:val="center"/>
          </w:tcPr>
          <w:p w14:paraId="5818457E"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tcMar>
              <w:top w:w="0" w:type="dxa"/>
              <w:left w:w="108" w:type="dxa"/>
              <w:bottom w:w="0" w:type="dxa"/>
              <w:right w:w="108" w:type="dxa"/>
            </w:tcMar>
            <w:vAlign w:val="center"/>
          </w:tcPr>
          <w:p w14:paraId="362EDFB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F4973B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77C81B33" w14:textId="77777777" w:rsidTr="00D7567A">
        <w:trPr>
          <w:trHeight w:val="391"/>
        </w:trPr>
        <w:tc>
          <w:tcPr>
            <w:tcW w:w="694" w:type="dxa"/>
            <w:shd w:val="clear" w:color="auto" w:fill="FFFFFF" w:themeFill="background1"/>
            <w:tcMar>
              <w:top w:w="0" w:type="dxa"/>
              <w:left w:w="108" w:type="dxa"/>
              <w:bottom w:w="0" w:type="dxa"/>
              <w:right w:w="108" w:type="dxa"/>
            </w:tcMar>
            <w:vAlign w:val="center"/>
          </w:tcPr>
          <w:p w14:paraId="3F5CC65F"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5330D0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7288335D"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6E2764DA"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shd w:val="clear" w:color="auto" w:fill="FFFFFF" w:themeFill="background1"/>
            <w:vAlign w:val="center"/>
          </w:tcPr>
          <w:p w14:paraId="7854F8F3"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6EDF88EC"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shd w:val="clear" w:color="auto" w:fill="FFFFFF" w:themeFill="background1"/>
            <w:tcMar>
              <w:top w:w="0" w:type="dxa"/>
              <w:left w:w="108" w:type="dxa"/>
              <w:bottom w:w="0" w:type="dxa"/>
              <w:right w:w="108" w:type="dxa"/>
            </w:tcMar>
            <w:vAlign w:val="center"/>
          </w:tcPr>
          <w:p w14:paraId="1094AF5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31640F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821C6DB" w14:textId="77777777" w:rsidTr="00D7567A">
        <w:trPr>
          <w:trHeight w:val="408"/>
        </w:trPr>
        <w:tc>
          <w:tcPr>
            <w:tcW w:w="694" w:type="dxa"/>
            <w:tcMar>
              <w:top w:w="0" w:type="dxa"/>
              <w:left w:w="108" w:type="dxa"/>
              <w:bottom w:w="0" w:type="dxa"/>
              <w:right w:w="108" w:type="dxa"/>
            </w:tcMar>
            <w:vAlign w:val="center"/>
          </w:tcPr>
          <w:p w14:paraId="52C865F1"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6CFBB679"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3.2</w:t>
            </w:r>
          </w:p>
        </w:tc>
        <w:tc>
          <w:tcPr>
            <w:tcW w:w="2533" w:type="dxa"/>
            <w:vMerge w:val="restart"/>
            <w:vAlign w:val="center"/>
          </w:tcPr>
          <w:p w14:paraId="0F943DB1"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vAlign w:val="center"/>
          </w:tcPr>
          <w:p w14:paraId="450F5AFC" w14:textId="77777777" w:rsidR="00451A59" w:rsidRPr="00451A59" w:rsidRDefault="00451A59" w:rsidP="00451A59">
            <w:pPr>
              <w:shd w:val="clear" w:color="auto" w:fill="FFFFFF" w:themeFill="background1"/>
              <w:ind w:left="107" w:right="141"/>
              <w:jc w:val="both"/>
              <w:rPr>
                <w:rFonts w:ascii="Times New Roman" w:hAnsi="Times New Roman"/>
                <w:b/>
                <w:sz w:val="20"/>
                <w:szCs w:val="20"/>
                <w:lang w:val="lt-LT"/>
              </w:rPr>
            </w:pPr>
            <w:r w:rsidRPr="00451A59">
              <w:rPr>
                <w:rFonts w:ascii="Times New Roman" w:hAnsi="Times New Roman"/>
                <w:b/>
                <w:sz w:val="20"/>
                <w:szCs w:val="20"/>
                <w:lang w:val="lt-LT"/>
              </w:rPr>
              <w:t>R5 Sunkių ir mirtinų nelaimingų atsitikimų darbe, įvykusių dėl darbdavio kaltės, skaičius</w:t>
            </w:r>
          </w:p>
        </w:tc>
        <w:tc>
          <w:tcPr>
            <w:tcW w:w="851" w:type="dxa"/>
            <w:vAlign w:val="center"/>
          </w:tcPr>
          <w:p w14:paraId="79224B6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vAlign w:val="center"/>
          </w:tcPr>
          <w:p w14:paraId="33B4017E"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shd w:val="clear" w:color="auto" w:fill="FFFFFF" w:themeFill="background1"/>
            <w:tcMar>
              <w:top w:w="0" w:type="dxa"/>
              <w:left w:w="108" w:type="dxa"/>
              <w:bottom w:w="0" w:type="dxa"/>
              <w:right w:w="108" w:type="dxa"/>
            </w:tcMar>
            <w:vAlign w:val="center"/>
          </w:tcPr>
          <w:p w14:paraId="1BAA0C7A"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5AD65A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44E43B8" w14:textId="77777777" w:rsidTr="00D7567A">
        <w:trPr>
          <w:trHeight w:val="414"/>
        </w:trPr>
        <w:tc>
          <w:tcPr>
            <w:tcW w:w="694" w:type="dxa"/>
            <w:tcMar>
              <w:top w:w="0" w:type="dxa"/>
              <w:left w:w="108" w:type="dxa"/>
              <w:bottom w:w="0" w:type="dxa"/>
              <w:right w:w="108" w:type="dxa"/>
            </w:tcMar>
            <w:vAlign w:val="center"/>
          </w:tcPr>
          <w:p w14:paraId="52D69DD1"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E71481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AE7B383"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15DE668F"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101137BF"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7F944BE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shd w:val="clear" w:color="auto" w:fill="FFFFFF" w:themeFill="background1"/>
            <w:tcMar>
              <w:top w:w="0" w:type="dxa"/>
              <w:left w:w="108" w:type="dxa"/>
              <w:bottom w:w="0" w:type="dxa"/>
              <w:right w:w="108" w:type="dxa"/>
            </w:tcMar>
            <w:vAlign w:val="center"/>
          </w:tcPr>
          <w:p w14:paraId="77312C51"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47E173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6A75C8C" w14:textId="77777777" w:rsidTr="00D7567A">
        <w:trPr>
          <w:trHeight w:val="414"/>
        </w:trPr>
        <w:tc>
          <w:tcPr>
            <w:tcW w:w="694" w:type="dxa"/>
            <w:tcMar>
              <w:top w:w="0" w:type="dxa"/>
              <w:left w:w="108" w:type="dxa"/>
              <w:bottom w:w="0" w:type="dxa"/>
              <w:right w:w="108" w:type="dxa"/>
            </w:tcMar>
            <w:vAlign w:val="center"/>
          </w:tcPr>
          <w:p w14:paraId="2988CB67"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FEFF4E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3393FF04"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4FAB0AE7"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6FCE2093"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vAlign w:val="center"/>
          </w:tcPr>
          <w:p w14:paraId="51C48D61"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shd w:val="clear" w:color="auto" w:fill="FFFFFF" w:themeFill="background1"/>
            <w:tcMar>
              <w:top w:w="0" w:type="dxa"/>
              <w:left w:w="108" w:type="dxa"/>
              <w:bottom w:w="0" w:type="dxa"/>
              <w:right w:w="108" w:type="dxa"/>
            </w:tcMar>
            <w:vAlign w:val="center"/>
          </w:tcPr>
          <w:p w14:paraId="7C70A45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85CAEB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2B20F38" w14:textId="77777777" w:rsidTr="00D7567A">
        <w:trPr>
          <w:trHeight w:val="414"/>
        </w:trPr>
        <w:tc>
          <w:tcPr>
            <w:tcW w:w="694" w:type="dxa"/>
            <w:shd w:val="clear" w:color="auto" w:fill="FFFFFF" w:themeFill="background1"/>
            <w:tcMar>
              <w:top w:w="0" w:type="dxa"/>
              <w:left w:w="108" w:type="dxa"/>
              <w:bottom w:w="0" w:type="dxa"/>
              <w:right w:w="108" w:type="dxa"/>
            </w:tcMar>
            <w:vAlign w:val="center"/>
          </w:tcPr>
          <w:p w14:paraId="3D965E4C"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CAC519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9C3E33B"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3AF11731"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shd w:val="clear" w:color="auto" w:fill="FFFFFF" w:themeFill="background1"/>
            <w:vAlign w:val="center"/>
          </w:tcPr>
          <w:p w14:paraId="4E13749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5B6C8AC3"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0</w:t>
            </w:r>
          </w:p>
        </w:tc>
        <w:tc>
          <w:tcPr>
            <w:tcW w:w="1276" w:type="dxa"/>
            <w:shd w:val="clear" w:color="auto" w:fill="FFFFFF" w:themeFill="background1"/>
            <w:tcMar>
              <w:top w:w="0" w:type="dxa"/>
              <w:left w:w="108" w:type="dxa"/>
              <w:bottom w:w="0" w:type="dxa"/>
              <w:right w:w="108" w:type="dxa"/>
            </w:tcMar>
            <w:vAlign w:val="center"/>
          </w:tcPr>
          <w:p w14:paraId="6E1446B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1AEA89B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09686B6" w14:textId="77777777" w:rsidTr="00D7567A">
        <w:trPr>
          <w:trHeight w:val="435"/>
        </w:trPr>
        <w:tc>
          <w:tcPr>
            <w:tcW w:w="694" w:type="dxa"/>
            <w:tcMar>
              <w:top w:w="0" w:type="dxa"/>
              <w:left w:w="108" w:type="dxa"/>
              <w:bottom w:w="0" w:type="dxa"/>
              <w:right w:w="108" w:type="dxa"/>
            </w:tcMar>
            <w:vAlign w:val="center"/>
          </w:tcPr>
          <w:p w14:paraId="73FE93BC"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08767C9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4.1</w:t>
            </w:r>
          </w:p>
          <w:p w14:paraId="4495CED2" w14:textId="77777777" w:rsidR="00451A59" w:rsidRPr="00451A59" w:rsidRDefault="00451A59" w:rsidP="00451A59">
            <w:pPr>
              <w:shd w:val="clear" w:color="auto" w:fill="FFFFFF" w:themeFill="background1"/>
              <w:rPr>
                <w:rFonts w:ascii="Times New Roman" w:eastAsia="Calibri" w:hAnsi="Times New Roman"/>
                <w:sz w:val="20"/>
                <w:szCs w:val="20"/>
                <w:lang w:val="lt-LT"/>
              </w:rPr>
            </w:pPr>
          </w:p>
        </w:tc>
        <w:tc>
          <w:tcPr>
            <w:tcW w:w="2533" w:type="dxa"/>
            <w:vMerge w:val="restart"/>
            <w:vAlign w:val="center"/>
          </w:tcPr>
          <w:p w14:paraId="422C29B4"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vAlign w:val="center"/>
          </w:tcPr>
          <w:p w14:paraId="3348A8F2" w14:textId="77777777" w:rsidR="00451A59" w:rsidRPr="00451A59" w:rsidRDefault="00451A59" w:rsidP="00451A59">
            <w:pPr>
              <w:shd w:val="clear" w:color="auto" w:fill="FFFFFF" w:themeFill="background1"/>
              <w:ind w:left="107" w:right="141"/>
              <w:jc w:val="both"/>
              <w:rPr>
                <w:rFonts w:ascii="Times New Roman" w:hAnsi="Times New Roman"/>
                <w:b/>
                <w:sz w:val="20"/>
                <w:szCs w:val="20"/>
                <w:lang w:val="lt-LT"/>
              </w:rPr>
            </w:pPr>
            <w:r w:rsidRPr="00451A59">
              <w:rPr>
                <w:rFonts w:ascii="Times New Roman" w:hAnsi="Times New Roman"/>
                <w:b/>
                <w:sz w:val="20"/>
                <w:szCs w:val="20"/>
                <w:lang w:val="lt-LT"/>
              </w:rPr>
              <w:t>R6 Į atmosferą pašalintų radionuklidų (su H-3, C-14) aktyvumas (maksimali leidžiama reikšmė 2,4×l015 Bq), ne daugiau</w:t>
            </w:r>
          </w:p>
        </w:tc>
        <w:tc>
          <w:tcPr>
            <w:tcW w:w="851" w:type="dxa"/>
            <w:vAlign w:val="center"/>
          </w:tcPr>
          <w:p w14:paraId="05861B7E"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vAlign w:val="center"/>
          </w:tcPr>
          <w:p w14:paraId="04D96082" w14:textId="77777777" w:rsidR="00451A59" w:rsidRPr="00451A59" w:rsidRDefault="00451A59" w:rsidP="00451A59">
            <w:pPr>
              <w:shd w:val="clear" w:color="auto" w:fill="FFFFFF" w:themeFill="background1"/>
              <w:tabs>
                <w:tab w:val="center" w:pos="4844"/>
                <w:tab w:val="right" w:pos="9689"/>
              </w:tabs>
              <w:jc w:val="center"/>
              <w:rPr>
                <w:rFonts w:ascii="Times New Roman" w:hAnsi="Times New Roman"/>
                <w:sz w:val="20"/>
                <w:szCs w:val="20"/>
                <w:lang w:val="lt-LT"/>
              </w:rPr>
            </w:pPr>
            <w:r w:rsidRPr="00451A59">
              <w:rPr>
                <w:rFonts w:ascii="Times New Roman" w:hAnsi="Times New Roman"/>
                <w:sz w:val="20"/>
                <w:szCs w:val="20"/>
                <w:lang w:val="lt-LT"/>
              </w:rPr>
              <w:t>6×10</w:t>
            </w:r>
            <w:r w:rsidRPr="00451A59">
              <w:rPr>
                <w:rFonts w:ascii="Times New Roman" w:hAnsi="Times New Roman"/>
                <w:sz w:val="20"/>
                <w:szCs w:val="20"/>
                <w:vertAlign w:val="superscript"/>
                <w:lang w:val="lt-LT"/>
              </w:rPr>
              <w:t>13</w:t>
            </w:r>
            <w:r w:rsidRPr="00451A59">
              <w:rPr>
                <w:rFonts w:ascii="Times New Roman" w:hAnsi="Times New Roman"/>
                <w:sz w:val="20"/>
                <w:szCs w:val="20"/>
                <w:lang w:val="lt-LT"/>
              </w:rPr>
              <w:t xml:space="preserve"> Bq</w:t>
            </w:r>
          </w:p>
        </w:tc>
        <w:tc>
          <w:tcPr>
            <w:tcW w:w="1276" w:type="dxa"/>
            <w:shd w:val="clear" w:color="auto" w:fill="FFFFFF" w:themeFill="background1"/>
            <w:tcMar>
              <w:top w:w="0" w:type="dxa"/>
              <w:left w:w="108" w:type="dxa"/>
              <w:bottom w:w="0" w:type="dxa"/>
              <w:right w:w="108" w:type="dxa"/>
            </w:tcMar>
            <w:vAlign w:val="center"/>
          </w:tcPr>
          <w:p w14:paraId="2258036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586D49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8D85876" w14:textId="77777777" w:rsidTr="00D7567A">
        <w:trPr>
          <w:trHeight w:val="411"/>
        </w:trPr>
        <w:tc>
          <w:tcPr>
            <w:tcW w:w="694" w:type="dxa"/>
            <w:tcMar>
              <w:top w:w="0" w:type="dxa"/>
              <w:left w:w="108" w:type="dxa"/>
              <w:bottom w:w="0" w:type="dxa"/>
              <w:right w:w="108" w:type="dxa"/>
            </w:tcMar>
            <w:vAlign w:val="center"/>
          </w:tcPr>
          <w:p w14:paraId="69BAD67F"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FC3B2EF"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1B44AC6"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0CA56081"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3F73EEC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5D9C5827" w14:textId="77777777" w:rsidR="00451A59" w:rsidRPr="00451A59" w:rsidRDefault="00451A59" w:rsidP="00451A59">
            <w:pPr>
              <w:shd w:val="clear" w:color="auto" w:fill="FFFFFF" w:themeFill="background1"/>
              <w:tabs>
                <w:tab w:val="center" w:pos="4844"/>
                <w:tab w:val="right" w:pos="9689"/>
              </w:tabs>
              <w:jc w:val="center"/>
              <w:rPr>
                <w:rFonts w:ascii="Times New Roman" w:hAnsi="Times New Roman"/>
                <w:sz w:val="20"/>
                <w:szCs w:val="20"/>
                <w:lang w:val="lt-LT"/>
              </w:rPr>
            </w:pPr>
            <w:r w:rsidRPr="00451A59">
              <w:rPr>
                <w:rFonts w:ascii="Times New Roman" w:hAnsi="Times New Roman"/>
                <w:sz w:val="20"/>
                <w:szCs w:val="20"/>
                <w:lang w:val="lt-LT"/>
              </w:rPr>
              <w:t>1,2x10</w:t>
            </w:r>
            <w:r w:rsidRPr="00451A59">
              <w:rPr>
                <w:rFonts w:ascii="Times New Roman" w:hAnsi="Times New Roman"/>
                <w:sz w:val="20"/>
                <w:szCs w:val="20"/>
                <w:vertAlign w:val="superscript"/>
                <w:lang w:val="lt-LT"/>
              </w:rPr>
              <w:t xml:space="preserve">14 </w:t>
            </w:r>
            <w:r w:rsidRPr="00451A59">
              <w:rPr>
                <w:rFonts w:ascii="Times New Roman" w:hAnsi="Times New Roman"/>
                <w:sz w:val="20"/>
                <w:szCs w:val="20"/>
                <w:lang w:val="lt-LT"/>
              </w:rPr>
              <w:t>Bq</w:t>
            </w:r>
          </w:p>
        </w:tc>
        <w:tc>
          <w:tcPr>
            <w:tcW w:w="1276" w:type="dxa"/>
            <w:shd w:val="clear" w:color="auto" w:fill="FFFFFF" w:themeFill="background1"/>
            <w:tcMar>
              <w:top w:w="0" w:type="dxa"/>
              <w:left w:w="108" w:type="dxa"/>
              <w:bottom w:w="0" w:type="dxa"/>
              <w:right w:w="108" w:type="dxa"/>
            </w:tcMar>
            <w:vAlign w:val="center"/>
          </w:tcPr>
          <w:p w14:paraId="51EEC6C7"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504CAEB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181EB5D" w14:textId="77777777" w:rsidTr="00D7567A">
        <w:trPr>
          <w:trHeight w:val="386"/>
        </w:trPr>
        <w:tc>
          <w:tcPr>
            <w:tcW w:w="694" w:type="dxa"/>
            <w:tcMar>
              <w:top w:w="0" w:type="dxa"/>
              <w:left w:w="108" w:type="dxa"/>
              <w:bottom w:w="0" w:type="dxa"/>
              <w:right w:w="108" w:type="dxa"/>
            </w:tcMar>
            <w:vAlign w:val="center"/>
          </w:tcPr>
          <w:p w14:paraId="0EC66B81"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D16F60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4E92CEE"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206D7DE8"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2383DFC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vAlign w:val="center"/>
          </w:tcPr>
          <w:p w14:paraId="152CE5D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l,8×10</w:t>
            </w:r>
            <w:r w:rsidRPr="00451A59">
              <w:rPr>
                <w:rFonts w:ascii="Times New Roman" w:hAnsi="Times New Roman"/>
                <w:spacing w:val="-3"/>
                <w:sz w:val="20"/>
                <w:szCs w:val="20"/>
                <w:vertAlign w:val="superscript"/>
                <w:lang w:val="lt-LT"/>
              </w:rPr>
              <w:t xml:space="preserve">14 </w:t>
            </w:r>
            <w:r w:rsidRPr="00451A59">
              <w:rPr>
                <w:rFonts w:ascii="Times New Roman" w:hAnsi="Times New Roman"/>
                <w:spacing w:val="-3"/>
                <w:sz w:val="20"/>
                <w:szCs w:val="20"/>
                <w:lang w:val="lt-LT"/>
              </w:rPr>
              <w:t>Bq</w:t>
            </w:r>
          </w:p>
        </w:tc>
        <w:tc>
          <w:tcPr>
            <w:tcW w:w="1276" w:type="dxa"/>
            <w:shd w:val="clear" w:color="auto" w:fill="FFFFFF" w:themeFill="background1"/>
            <w:tcMar>
              <w:top w:w="0" w:type="dxa"/>
              <w:left w:w="108" w:type="dxa"/>
              <w:bottom w:w="0" w:type="dxa"/>
              <w:right w:w="108" w:type="dxa"/>
            </w:tcMar>
            <w:vAlign w:val="center"/>
          </w:tcPr>
          <w:p w14:paraId="7679DE9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C5E1CC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64B2103" w14:textId="77777777" w:rsidTr="00D7567A">
        <w:trPr>
          <w:trHeight w:val="386"/>
        </w:trPr>
        <w:tc>
          <w:tcPr>
            <w:tcW w:w="694" w:type="dxa"/>
            <w:shd w:val="clear" w:color="auto" w:fill="FFFFFF" w:themeFill="background1"/>
            <w:tcMar>
              <w:top w:w="0" w:type="dxa"/>
              <w:left w:w="108" w:type="dxa"/>
              <w:bottom w:w="0" w:type="dxa"/>
              <w:right w:w="108" w:type="dxa"/>
            </w:tcMar>
            <w:vAlign w:val="center"/>
          </w:tcPr>
          <w:p w14:paraId="702EFAB1"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5554431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C9E0F24"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76B78661"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shd w:val="clear" w:color="auto" w:fill="FFFFFF" w:themeFill="background1"/>
            <w:vAlign w:val="center"/>
          </w:tcPr>
          <w:p w14:paraId="79AB412E"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39F06AFC"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2,4×10</w:t>
            </w:r>
            <w:r w:rsidRPr="00451A59">
              <w:rPr>
                <w:rFonts w:ascii="Times New Roman" w:hAnsi="Times New Roman"/>
                <w:spacing w:val="-3"/>
                <w:sz w:val="20"/>
                <w:szCs w:val="20"/>
                <w:vertAlign w:val="superscript"/>
                <w:lang w:val="lt-LT"/>
              </w:rPr>
              <w:t xml:space="preserve">14 </w:t>
            </w:r>
            <w:r w:rsidRPr="00451A59">
              <w:rPr>
                <w:rFonts w:ascii="Times New Roman" w:hAnsi="Times New Roman"/>
                <w:spacing w:val="-3"/>
                <w:sz w:val="20"/>
                <w:szCs w:val="20"/>
                <w:lang w:val="lt-LT"/>
              </w:rPr>
              <w:t>Bq</w:t>
            </w:r>
          </w:p>
        </w:tc>
        <w:tc>
          <w:tcPr>
            <w:tcW w:w="1276" w:type="dxa"/>
            <w:shd w:val="clear" w:color="auto" w:fill="FFFFFF" w:themeFill="background1"/>
            <w:tcMar>
              <w:top w:w="0" w:type="dxa"/>
              <w:left w:w="108" w:type="dxa"/>
              <w:bottom w:w="0" w:type="dxa"/>
              <w:right w:w="108" w:type="dxa"/>
            </w:tcMar>
            <w:vAlign w:val="center"/>
          </w:tcPr>
          <w:p w14:paraId="5745275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13029CE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F7F7172" w14:textId="77777777" w:rsidTr="00D7567A">
        <w:trPr>
          <w:trHeight w:val="363"/>
        </w:trPr>
        <w:tc>
          <w:tcPr>
            <w:tcW w:w="694" w:type="dxa"/>
            <w:tcMar>
              <w:top w:w="0" w:type="dxa"/>
              <w:left w:w="108" w:type="dxa"/>
              <w:bottom w:w="0" w:type="dxa"/>
              <w:right w:w="108" w:type="dxa"/>
            </w:tcMar>
            <w:vAlign w:val="center"/>
          </w:tcPr>
          <w:p w14:paraId="6B3E6606"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53DCF0A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4.2</w:t>
            </w:r>
          </w:p>
        </w:tc>
        <w:tc>
          <w:tcPr>
            <w:tcW w:w="2533" w:type="dxa"/>
            <w:vMerge w:val="restart"/>
            <w:vAlign w:val="center"/>
          </w:tcPr>
          <w:p w14:paraId="5E086BD0"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restart"/>
            <w:vAlign w:val="center"/>
          </w:tcPr>
          <w:p w14:paraId="041CF929" w14:textId="77777777" w:rsidR="00451A59" w:rsidRPr="00451A59" w:rsidRDefault="00451A59" w:rsidP="00451A59">
            <w:pPr>
              <w:shd w:val="clear" w:color="auto" w:fill="FFFFFF" w:themeFill="background1"/>
              <w:ind w:left="107" w:right="141"/>
              <w:jc w:val="both"/>
              <w:rPr>
                <w:rFonts w:ascii="Times New Roman" w:hAnsi="Times New Roman"/>
                <w:b/>
                <w:sz w:val="20"/>
                <w:szCs w:val="20"/>
                <w:lang w:val="lt-LT"/>
              </w:rPr>
            </w:pPr>
            <w:r w:rsidRPr="00451A59">
              <w:rPr>
                <w:rFonts w:ascii="Times New Roman" w:hAnsi="Times New Roman"/>
                <w:b/>
                <w:sz w:val="20"/>
                <w:szCs w:val="20"/>
                <w:lang w:val="lt-LT"/>
              </w:rPr>
              <w:t>R7 Į vandenį pašalintų radionuklidų aktyvumas (maksimali leidžiama reikšmė l,7×l014 Bq), ne daugiau</w:t>
            </w:r>
          </w:p>
        </w:tc>
        <w:tc>
          <w:tcPr>
            <w:tcW w:w="851" w:type="dxa"/>
            <w:vAlign w:val="center"/>
          </w:tcPr>
          <w:p w14:paraId="668F5144"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vAlign w:val="center"/>
          </w:tcPr>
          <w:p w14:paraId="232D807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4x10</w:t>
            </w:r>
            <w:r w:rsidRPr="00451A59">
              <w:rPr>
                <w:rFonts w:ascii="Times New Roman" w:hAnsi="Times New Roman"/>
                <w:sz w:val="20"/>
                <w:szCs w:val="20"/>
                <w:vertAlign w:val="superscript"/>
                <w:lang w:val="lt-LT"/>
              </w:rPr>
              <w:t xml:space="preserve">12 </w:t>
            </w:r>
            <w:r w:rsidRPr="00451A59">
              <w:rPr>
                <w:rFonts w:ascii="Times New Roman" w:hAnsi="Times New Roman"/>
                <w:sz w:val="20"/>
                <w:szCs w:val="20"/>
                <w:lang w:val="lt-LT"/>
              </w:rPr>
              <w:t>Bq</w:t>
            </w:r>
          </w:p>
        </w:tc>
        <w:tc>
          <w:tcPr>
            <w:tcW w:w="1276" w:type="dxa"/>
            <w:tcMar>
              <w:top w:w="0" w:type="dxa"/>
              <w:left w:w="108" w:type="dxa"/>
              <w:bottom w:w="0" w:type="dxa"/>
              <w:right w:w="108" w:type="dxa"/>
            </w:tcMar>
            <w:vAlign w:val="center"/>
          </w:tcPr>
          <w:p w14:paraId="23A5F1C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039410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EAB4195" w14:textId="77777777" w:rsidTr="00D7567A">
        <w:trPr>
          <w:trHeight w:val="410"/>
        </w:trPr>
        <w:tc>
          <w:tcPr>
            <w:tcW w:w="694" w:type="dxa"/>
            <w:tcMar>
              <w:top w:w="0" w:type="dxa"/>
              <w:left w:w="108" w:type="dxa"/>
              <w:bottom w:w="0" w:type="dxa"/>
              <w:right w:w="108" w:type="dxa"/>
            </w:tcMar>
            <w:vAlign w:val="center"/>
          </w:tcPr>
          <w:p w14:paraId="772FF116"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540CE8F"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240F747"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ign w:val="center"/>
          </w:tcPr>
          <w:p w14:paraId="315B2288"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104876AE"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46FD985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8x10</w:t>
            </w:r>
            <w:r w:rsidRPr="00451A59">
              <w:rPr>
                <w:rFonts w:ascii="Times New Roman" w:hAnsi="Times New Roman"/>
                <w:sz w:val="20"/>
                <w:szCs w:val="20"/>
                <w:vertAlign w:val="superscript"/>
                <w:lang w:val="lt-LT"/>
              </w:rPr>
              <w:t xml:space="preserve">12 </w:t>
            </w:r>
            <w:r w:rsidRPr="00451A59">
              <w:rPr>
                <w:rFonts w:ascii="Times New Roman" w:hAnsi="Times New Roman"/>
                <w:sz w:val="20"/>
                <w:szCs w:val="20"/>
                <w:lang w:val="lt-LT"/>
              </w:rPr>
              <w:t>Bq</w:t>
            </w:r>
          </w:p>
        </w:tc>
        <w:tc>
          <w:tcPr>
            <w:tcW w:w="1276" w:type="dxa"/>
            <w:tcMar>
              <w:top w:w="0" w:type="dxa"/>
              <w:left w:w="108" w:type="dxa"/>
              <w:bottom w:w="0" w:type="dxa"/>
              <w:right w:w="108" w:type="dxa"/>
            </w:tcMar>
            <w:vAlign w:val="center"/>
          </w:tcPr>
          <w:p w14:paraId="09C97AF4"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117E8B1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1A7A521" w14:textId="77777777" w:rsidTr="00D7567A">
        <w:trPr>
          <w:trHeight w:val="410"/>
        </w:trPr>
        <w:tc>
          <w:tcPr>
            <w:tcW w:w="694" w:type="dxa"/>
            <w:tcMar>
              <w:top w:w="0" w:type="dxa"/>
              <w:left w:w="108" w:type="dxa"/>
              <w:bottom w:w="0" w:type="dxa"/>
              <w:right w:w="108" w:type="dxa"/>
            </w:tcMar>
            <w:vAlign w:val="center"/>
          </w:tcPr>
          <w:p w14:paraId="4AFFC280"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50D58C6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B7743F3"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ign w:val="center"/>
          </w:tcPr>
          <w:p w14:paraId="19768B89"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73D3BA78"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vAlign w:val="center"/>
          </w:tcPr>
          <w:p w14:paraId="1CA5742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1,2×10</w:t>
            </w:r>
            <w:r w:rsidRPr="00451A59">
              <w:rPr>
                <w:rFonts w:ascii="Times New Roman" w:hAnsi="Times New Roman"/>
                <w:spacing w:val="-3"/>
                <w:sz w:val="20"/>
                <w:szCs w:val="20"/>
                <w:vertAlign w:val="superscript"/>
                <w:lang w:val="lt-LT"/>
              </w:rPr>
              <w:t xml:space="preserve">13 </w:t>
            </w:r>
            <w:r w:rsidRPr="00451A59">
              <w:rPr>
                <w:rFonts w:ascii="Times New Roman" w:hAnsi="Times New Roman"/>
                <w:spacing w:val="-3"/>
                <w:sz w:val="20"/>
                <w:szCs w:val="20"/>
                <w:lang w:val="lt-LT"/>
              </w:rPr>
              <w:t>Bq</w:t>
            </w:r>
          </w:p>
        </w:tc>
        <w:tc>
          <w:tcPr>
            <w:tcW w:w="1276" w:type="dxa"/>
            <w:tcMar>
              <w:top w:w="0" w:type="dxa"/>
              <w:left w:w="108" w:type="dxa"/>
              <w:bottom w:w="0" w:type="dxa"/>
              <w:right w:w="108" w:type="dxa"/>
            </w:tcMar>
            <w:vAlign w:val="center"/>
          </w:tcPr>
          <w:p w14:paraId="1266891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2A5E75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BD61636" w14:textId="77777777" w:rsidTr="00D7567A">
        <w:trPr>
          <w:trHeight w:val="410"/>
        </w:trPr>
        <w:tc>
          <w:tcPr>
            <w:tcW w:w="694" w:type="dxa"/>
            <w:shd w:val="clear" w:color="auto" w:fill="FFFFFF" w:themeFill="background1"/>
            <w:tcMar>
              <w:top w:w="0" w:type="dxa"/>
              <w:left w:w="108" w:type="dxa"/>
              <w:bottom w:w="0" w:type="dxa"/>
              <w:right w:w="108" w:type="dxa"/>
            </w:tcMar>
            <w:vAlign w:val="center"/>
          </w:tcPr>
          <w:p w14:paraId="0776BE42"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16D973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44FA78D"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ign w:val="center"/>
          </w:tcPr>
          <w:p w14:paraId="4EDB7C1A"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shd w:val="clear" w:color="auto" w:fill="FFFFFF" w:themeFill="background1"/>
            <w:vAlign w:val="center"/>
          </w:tcPr>
          <w:p w14:paraId="5534CDE8"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65CC1CAA"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1,6×10</w:t>
            </w:r>
            <w:r w:rsidRPr="00451A59">
              <w:rPr>
                <w:rFonts w:ascii="Times New Roman" w:hAnsi="Times New Roman"/>
                <w:spacing w:val="-3"/>
                <w:sz w:val="20"/>
                <w:szCs w:val="20"/>
                <w:vertAlign w:val="superscript"/>
                <w:lang w:val="lt-LT"/>
              </w:rPr>
              <w:t xml:space="preserve">13 </w:t>
            </w:r>
            <w:r w:rsidRPr="00451A59">
              <w:rPr>
                <w:rFonts w:ascii="Times New Roman" w:hAnsi="Times New Roman"/>
                <w:spacing w:val="-3"/>
                <w:sz w:val="20"/>
                <w:szCs w:val="20"/>
                <w:lang w:val="lt-LT"/>
              </w:rPr>
              <w:t>Bq</w:t>
            </w:r>
          </w:p>
        </w:tc>
        <w:tc>
          <w:tcPr>
            <w:tcW w:w="1276" w:type="dxa"/>
            <w:shd w:val="clear" w:color="auto" w:fill="FFFFFF" w:themeFill="background1"/>
            <w:tcMar>
              <w:top w:w="0" w:type="dxa"/>
              <w:left w:w="108" w:type="dxa"/>
              <w:bottom w:w="0" w:type="dxa"/>
              <w:right w:w="108" w:type="dxa"/>
            </w:tcMar>
            <w:vAlign w:val="center"/>
          </w:tcPr>
          <w:p w14:paraId="6274885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BA0332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E222661" w14:textId="77777777" w:rsidTr="00D7567A">
        <w:trPr>
          <w:trHeight w:val="410"/>
        </w:trPr>
        <w:tc>
          <w:tcPr>
            <w:tcW w:w="694" w:type="dxa"/>
            <w:shd w:val="clear" w:color="auto" w:fill="FFFFFF" w:themeFill="background1"/>
            <w:tcMar>
              <w:top w:w="0" w:type="dxa"/>
              <w:left w:w="108" w:type="dxa"/>
              <w:bottom w:w="0" w:type="dxa"/>
              <w:right w:w="108" w:type="dxa"/>
            </w:tcMar>
            <w:vAlign w:val="center"/>
          </w:tcPr>
          <w:p w14:paraId="1F1EE950"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7FE977C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4.3</w:t>
            </w:r>
          </w:p>
        </w:tc>
        <w:tc>
          <w:tcPr>
            <w:tcW w:w="2533" w:type="dxa"/>
            <w:vAlign w:val="center"/>
          </w:tcPr>
          <w:p w14:paraId="3AA505B4"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r w:rsidRPr="00451A59">
              <w:rPr>
                <w:rFonts w:ascii="Times New Roman" w:hAnsi="Times New Roman"/>
                <w:spacing w:val="-3"/>
                <w:sz w:val="20"/>
                <w:szCs w:val="20"/>
                <w:lang w:val="lt-LT"/>
              </w:rPr>
              <w:t>Vykdyti Maišiagalos saugyklos aplinkos stebėsenos monitoringą</w:t>
            </w:r>
          </w:p>
        </w:tc>
        <w:tc>
          <w:tcPr>
            <w:tcW w:w="3260" w:type="dxa"/>
            <w:vAlign w:val="center"/>
          </w:tcPr>
          <w:p w14:paraId="67D8A055"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r w:rsidRPr="00451A59">
              <w:rPr>
                <w:rFonts w:ascii="Times New Roman" w:hAnsi="Times New Roman"/>
                <w:spacing w:val="-3"/>
                <w:sz w:val="20"/>
                <w:szCs w:val="20"/>
                <w:lang w:val="lt-LT"/>
              </w:rPr>
              <w:t>Atlikta Maišiagalos radioaktyviųjų atliekų saugyklos radiologinė stebėsena pagal patvirtintą aplinkos radiologinio monitoringo programą</w:t>
            </w:r>
          </w:p>
        </w:tc>
        <w:tc>
          <w:tcPr>
            <w:tcW w:w="851" w:type="dxa"/>
            <w:shd w:val="clear" w:color="auto" w:fill="FFFFFF" w:themeFill="background1"/>
            <w:vAlign w:val="center"/>
          </w:tcPr>
          <w:p w14:paraId="7C8BC3D4"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18E48BE3"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100%</w:t>
            </w:r>
          </w:p>
        </w:tc>
        <w:tc>
          <w:tcPr>
            <w:tcW w:w="1276" w:type="dxa"/>
            <w:shd w:val="clear" w:color="auto" w:fill="FFFFFF" w:themeFill="background1"/>
            <w:tcMar>
              <w:top w:w="0" w:type="dxa"/>
              <w:left w:w="108" w:type="dxa"/>
              <w:bottom w:w="0" w:type="dxa"/>
              <w:right w:w="108" w:type="dxa"/>
            </w:tcMar>
            <w:vAlign w:val="center"/>
          </w:tcPr>
          <w:p w14:paraId="12D73E4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67D408C"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1ABD9220" w14:textId="77777777" w:rsidTr="00D7567A">
        <w:trPr>
          <w:trHeight w:val="419"/>
        </w:trPr>
        <w:tc>
          <w:tcPr>
            <w:tcW w:w="694" w:type="dxa"/>
            <w:tcMar>
              <w:top w:w="0" w:type="dxa"/>
              <w:left w:w="108" w:type="dxa"/>
              <w:bottom w:w="0" w:type="dxa"/>
              <w:right w:w="108" w:type="dxa"/>
            </w:tcMar>
            <w:vAlign w:val="center"/>
          </w:tcPr>
          <w:p w14:paraId="2F274A2E"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115592C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5.1</w:t>
            </w:r>
          </w:p>
        </w:tc>
        <w:tc>
          <w:tcPr>
            <w:tcW w:w="2533" w:type="dxa"/>
            <w:vMerge w:val="restart"/>
            <w:vAlign w:val="center"/>
          </w:tcPr>
          <w:p w14:paraId="1AEC2AB1"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vAlign w:val="center"/>
          </w:tcPr>
          <w:p w14:paraId="712E98B2" w14:textId="77777777" w:rsidR="00451A59" w:rsidRPr="00451A59" w:rsidRDefault="00451A59" w:rsidP="00451A59">
            <w:pPr>
              <w:shd w:val="clear" w:color="auto" w:fill="FFFFFF" w:themeFill="background1"/>
              <w:ind w:left="107" w:right="141"/>
              <w:jc w:val="both"/>
              <w:rPr>
                <w:rFonts w:ascii="Times New Roman" w:hAnsi="Times New Roman"/>
                <w:b/>
                <w:sz w:val="20"/>
                <w:szCs w:val="20"/>
                <w:lang w:val="lt-LT"/>
              </w:rPr>
            </w:pPr>
            <w:r w:rsidRPr="00451A59">
              <w:rPr>
                <w:rFonts w:ascii="Times New Roman" w:hAnsi="Times New Roman"/>
                <w:b/>
                <w:sz w:val="20"/>
                <w:szCs w:val="20"/>
                <w:lang w:val="lt-LT"/>
              </w:rPr>
              <w:t>R8 Kritinio kelio rezervas (CPLI), santykinis dydis</w:t>
            </w:r>
          </w:p>
        </w:tc>
        <w:tc>
          <w:tcPr>
            <w:tcW w:w="851" w:type="dxa"/>
            <w:vAlign w:val="center"/>
          </w:tcPr>
          <w:p w14:paraId="23A4E10C"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vAlign w:val="center"/>
          </w:tcPr>
          <w:p w14:paraId="075A50E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1</w:t>
            </w:r>
          </w:p>
        </w:tc>
        <w:tc>
          <w:tcPr>
            <w:tcW w:w="1276" w:type="dxa"/>
            <w:shd w:val="clear" w:color="auto" w:fill="FFFFFF" w:themeFill="background1"/>
            <w:tcMar>
              <w:top w:w="0" w:type="dxa"/>
              <w:left w:w="108" w:type="dxa"/>
              <w:bottom w:w="0" w:type="dxa"/>
              <w:right w:w="108" w:type="dxa"/>
            </w:tcMar>
            <w:vAlign w:val="center"/>
          </w:tcPr>
          <w:p w14:paraId="2EDF0CC2"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DF9299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4F20DC2" w14:textId="77777777" w:rsidTr="00D7567A">
        <w:trPr>
          <w:trHeight w:val="419"/>
        </w:trPr>
        <w:tc>
          <w:tcPr>
            <w:tcW w:w="694" w:type="dxa"/>
            <w:tcMar>
              <w:top w:w="0" w:type="dxa"/>
              <w:left w:w="108" w:type="dxa"/>
              <w:bottom w:w="0" w:type="dxa"/>
              <w:right w:w="108" w:type="dxa"/>
            </w:tcMar>
            <w:vAlign w:val="center"/>
          </w:tcPr>
          <w:p w14:paraId="759B8A4C"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B157A0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31F802B1"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128BFC2C"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1F55DC7C"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3BF832E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1</w:t>
            </w:r>
          </w:p>
        </w:tc>
        <w:tc>
          <w:tcPr>
            <w:tcW w:w="1276" w:type="dxa"/>
            <w:shd w:val="clear" w:color="auto" w:fill="FFFFFF" w:themeFill="background1"/>
            <w:tcMar>
              <w:top w:w="0" w:type="dxa"/>
              <w:left w:w="108" w:type="dxa"/>
              <w:bottom w:w="0" w:type="dxa"/>
              <w:right w:w="108" w:type="dxa"/>
            </w:tcMar>
            <w:vAlign w:val="center"/>
          </w:tcPr>
          <w:p w14:paraId="3BC48D3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E699E7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7E72903E" w14:textId="77777777" w:rsidTr="00D7567A">
        <w:trPr>
          <w:trHeight w:val="419"/>
        </w:trPr>
        <w:tc>
          <w:tcPr>
            <w:tcW w:w="694" w:type="dxa"/>
            <w:tcMar>
              <w:top w:w="0" w:type="dxa"/>
              <w:left w:w="108" w:type="dxa"/>
              <w:bottom w:w="0" w:type="dxa"/>
              <w:right w:w="108" w:type="dxa"/>
            </w:tcMar>
            <w:vAlign w:val="center"/>
          </w:tcPr>
          <w:p w14:paraId="45069821"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906FCD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C1F59B8"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29C19A7F"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0350CBE3"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vAlign w:val="center"/>
          </w:tcPr>
          <w:p w14:paraId="4DAA7D7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 1</w:t>
            </w:r>
          </w:p>
        </w:tc>
        <w:tc>
          <w:tcPr>
            <w:tcW w:w="1276" w:type="dxa"/>
            <w:shd w:val="clear" w:color="auto" w:fill="FFFFFF" w:themeFill="background1"/>
            <w:tcMar>
              <w:top w:w="0" w:type="dxa"/>
              <w:left w:w="108" w:type="dxa"/>
              <w:bottom w:w="0" w:type="dxa"/>
              <w:right w:w="108" w:type="dxa"/>
            </w:tcMar>
            <w:vAlign w:val="center"/>
          </w:tcPr>
          <w:p w14:paraId="209BE1F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1738F09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579616B1" w14:textId="77777777" w:rsidTr="00D7567A">
        <w:trPr>
          <w:trHeight w:val="419"/>
        </w:trPr>
        <w:tc>
          <w:tcPr>
            <w:tcW w:w="694" w:type="dxa"/>
            <w:shd w:val="clear" w:color="auto" w:fill="FFFFFF" w:themeFill="background1"/>
            <w:tcMar>
              <w:top w:w="0" w:type="dxa"/>
              <w:left w:w="108" w:type="dxa"/>
              <w:bottom w:w="0" w:type="dxa"/>
              <w:right w:w="108" w:type="dxa"/>
            </w:tcMar>
            <w:vAlign w:val="center"/>
          </w:tcPr>
          <w:p w14:paraId="0C148DFE"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B97F94E"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043E95F"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285CB8A8"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shd w:val="clear" w:color="auto" w:fill="FFFFFF" w:themeFill="background1"/>
            <w:vAlign w:val="center"/>
          </w:tcPr>
          <w:p w14:paraId="0824C207"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0534347A"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 1</w:t>
            </w:r>
          </w:p>
        </w:tc>
        <w:tc>
          <w:tcPr>
            <w:tcW w:w="1276" w:type="dxa"/>
            <w:shd w:val="clear" w:color="auto" w:fill="FFFFFF" w:themeFill="background1"/>
            <w:tcMar>
              <w:top w:w="0" w:type="dxa"/>
              <w:left w:w="108" w:type="dxa"/>
              <w:bottom w:w="0" w:type="dxa"/>
              <w:right w:w="108" w:type="dxa"/>
            </w:tcMar>
            <w:vAlign w:val="center"/>
          </w:tcPr>
          <w:p w14:paraId="3ECDED0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D0C2FE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69ED496" w14:textId="77777777" w:rsidTr="00D7567A">
        <w:trPr>
          <w:trHeight w:val="410"/>
        </w:trPr>
        <w:tc>
          <w:tcPr>
            <w:tcW w:w="694" w:type="dxa"/>
            <w:tcMar>
              <w:top w:w="0" w:type="dxa"/>
              <w:left w:w="108" w:type="dxa"/>
              <w:bottom w:w="0" w:type="dxa"/>
              <w:right w:w="108" w:type="dxa"/>
            </w:tcMar>
            <w:vAlign w:val="center"/>
          </w:tcPr>
          <w:p w14:paraId="33F16EA0"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502DC04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w:t>
            </w:r>
          </w:p>
        </w:tc>
        <w:tc>
          <w:tcPr>
            <w:tcW w:w="2533" w:type="dxa"/>
            <w:vMerge w:val="restart"/>
            <w:vAlign w:val="center"/>
          </w:tcPr>
          <w:p w14:paraId="06370B17"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vAlign w:val="center"/>
          </w:tcPr>
          <w:p w14:paraId="08B11EEA" w14:textId="77777777" w:rsidR="00451A59" w:rsidRPr="00451A59" w:rsidRDefault="00451A59" w:rsidP="00451A59">
            <w:pPr>
              <w:shd w:val="clear" w:color="auto" w:fill="FFFFFF" w:themeFill="background1"/>
              <w:ind w:left="107" w:right="141"/>
              <w:jc w:val="both"/>
              <w:rPr>
                <w:rFonts w:ascii="Times New Roman" w:hAnsi="Times New Roman"/>
                <w:b/>
                <w:sz w:val="20"/>
                <w:szCs w:val="20"/>
                <w:lang w:val="lt-LT"/>
              </w:rPr>
            </w:pPr>
            <w:r w:rsidRPr="00451A59">
              <w:rPr>
                <w:rFonts w:ascii="Times New Roman" w:hAnsi="Times New Roman"/>
                <w:b/>
                <w:sz w:val="20"/>
                <w:szCs w:val="20"/>
                <w:lang w:val="lt-LT"/>
              </w:rPr>
              <w:t>R9 Bendras išmontuotos įrangos kiekis</w:t>
            </w:r>
          </w:p>
        </w:tc>
        <w:tc>
          <w:tcPr>
            <w:tcW w:w="851" w:type="dxa"/>
            <w:vAlign w:val="center"/>
          </w:tcPr>
          <w:p w14:paraId="0DFBBB45"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vAlign w:val="center"/>
          </w:tcPr>
          <w:p w14:paraId="0D4C0BC1"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827 t</w:t>
            </w:r>
          </w:p>
        </w:tc>
        <w:tc>
          <w:tcPr>
            <w:tcW w:w="1276" w:type="dxa"/>
            <w:shd w:val="clear" w:color="auto" w:fill="FFFFFF" w:themeFill="background1"/>
            <w:tcMar>
              <w:top w:w="0" w:type="dxa"/>
              <w:left w:w="108" w:type="dxa"/>
              <w:bottom w:w="0" w:type="dxa"/>
              <w:right w:w="108" w:type="dxa"/>
            </w:tcMar>
            <w:vAlign w:val="center"/>
          </w:tcPr>
          <w:p w14:paraId="396B9BBE"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0429D7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D5EB7C9" w14:textId="77777777" w:rsidTr="00D7567A">
        <w:trPr>
          <w:trHeight w:val="410"/>
        </w:trPr>
        <w:tc>
          <w:tcPr>
            <w:tcW w:w="694" w:type="dxa"/>
            <w:tcMar>
              <w:top w:w="0" w:type="dxa"/>
              <w:left w:w="108" w:type="dxa"/>
              <w:bottom w:w="0" w:type="dxa"/>
              <w:right w:w="108" w:type="dxa"/>
            </w:tcMar>
            <w:vAlign w:val="center"/>
          </w:tcPr>
          <w:p w14:paraId="564E64EB"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88270D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F2F263E"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2EDAFF54"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2281F51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6EA40FFA"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 xml:space="preserve">2230 t </w:t>
            </w:r>
          </w:p>
        </w:tc>
        <w:tc>
          <w:tcPr>
            <w:tcW w:w="1276" w:type="dxa"/>
            <w:shd w:val="clear" w:color="auto" w:fill="FFFFFF" w:themeFill="background1"/>
            <w:tcMar>
              <w:top w:w="0" w:type="dxa"/>
              <w:left w:w="108" w:type="dxa"/>
              <w:bottom w:w="0" w:type="dxa"/>
              <w:right w:w="108" w:type="dxa"/>
            </w:tcMar>
            <w:vAlign w:val="center"/>
          </w:tcPr>
          <w:p w14:paraId="2705D27F"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569228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400E38D" w14:textId="77777777" w:rsidTr="00D7567A">
        <w:trPr>
          <w:trHeight w:val="410"/>
        </w:trPr>
        <w:tc>
          <w:tcPr>
            <w:tcW w:w="694" w:type="dxa"/>
            <w:tcBorders>
              <w:bottom w:val="single" w:sz="4" w:space="0" w:color="auto"/>
            </w:tcBorders>
            <w:tcMar>
              <w:top w:w="0" w:type="dxa"/>
              <w:left w:w="108" w:type="dxa"/>
              <w:bottom w:w="0" w:type="dxa"/>
              <w:right w:w="108" w:type="dxa"/>
            </w:tcMar>
            <w:vAlign w:val="center"/>
          </w:tcPr>
          <w:p w14:paraId="45BD87F0"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314EDF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4F8CB4F"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779C553C"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vAlign w:val="center"/>
          </w:tcPr>
          <w:p w14:paraId="437EE033"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vAlign w:val="center"/>
          </w:tcPr>
          <w:p w14:paraId="756BD2AD"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hAnsi="Times New Roman"/>
                <w:spacing w:val="-3"/>
                <w:sz w:val="20"/>
                <w:szCs w:val="20"/>
                <w:lang w:val="lt-LT"/>
              </w:rPr>
              <w:t>3495 t</w:t>
            </w:r>
          </w:p>
        </w:tc>
        <w:tc>
          <w:tcPr>
            <w:tcW w:w="1276" w:type="dxa"/>
            <w:shd w:val="clear" w:color="auto" w:fill="FFFFFF" w:themeFill="background1"/>
            <w:tcMar>
              <w:top w:w="0" w:type="dxa"/>
              <w:left w:w="108" w:type="dxa"/>
              <w:bottom w:w="0" w:type="dxa"/>
              <w:right w:w="108" w:type="dxa"/>
            </w:tcMar>
            <w:vAlign w:val="center"/>
          </w:tcPr>
          <w:p w14:paraId="447E21F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5EB03E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A9AD19F" w14:textId="77777777" w:rsidTr="00D7567A">
        <w:trPr>
          <w:trHeight w:val="410"/>
        </w:trPr>
        <w:tc>
          <w:tcPr>
            <w:tcW w:w="694" w:type="dxa"/>
            <w:tcBorders>
              <w:bottom w:val="single" w:sz="4" w:space="0" w:color="auto"/>
            </w:tcBorders>
            <w:shd w:val="clear" w:color="auto" w:fill="FFFFFF" w:themeFill="background1"/>
            <w:tcMar>
              <w:top w:w="0" w:type="dxa"/>
              <w:left w:w="108" w:type="dxa"/>
              <w:bottom w:w="0" w:type="dxa"/>
              <w:right w:w="108" w:type="dxa"/>
            </w:tcMar>
            <w:vAlign w:val="center"/>
          </w:tcPr>
          <w:p w14:paraId="012641AA"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3B1B50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37AB612"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55A79E6D"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shd w:val="clear" w:color="auto" w:fill="FFFFFF" w:themeFill="background1"/>
            <w:vAlign w:val="center"/>
          </w:tcPr>
          <w:p w14:paraId="1A75A181"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2DC1868A" w14:textId="77777777" w:rsidR="00451A59" w:rsidRPr="00451A59" w:rsidRDefault="00451A59" w:rsidP="00451A59">
            <w:pPr>
              <w:shd w:val="clear" w:color="auto" w:fill="FFFFFF" w:themeFill="background1"/>
              <w:spacing w:line="276" w:lineRule="auto"/>
              <w:ind w:left="142" w:right="139"/>
              <w:jc w:val="center"/>
              <w:rPr>
                <w:rFonts w:ascii="Times New Roman" w:hAnsi="Times New Roman"/>
                <w:spacing w:val="-3"/>
                <w:sz w:val="20"/>
                <w:szCs w:val="20"/>
                <w:lang w:val="lt-LT"/>
              </w:rPr>
            </w:pPr>
            <w:r w:rsidRPr="00451A59">
              <w:rPr>
                <w:rFonts w:ascii="Times New Roman" w:hAnsi="Times New Roman"/>
                <w:spacing w:val="-3"/>
                <w:sz w:val="20"/>
                <w:szCs w:val="20"/>
                <w:lang w:val="lt-LT"/>
              </w:rPr>
              <w:t>5483</w:t>
            </w:r>
          </w:p>
        </w:tc>
        <w:tc>
          <w:tcPr>
            <w:tcW w:w="1276" w:type="dxa"/>
            <w:shd w:val="clear" w:color="auto" w:fill="FFFFFF" w:themeFill="background1"/>
            <w:tcMar>
              <w:top w:w="0" w:type="dxa"/>
              <w:left w:w="108" w:type="dxa"/>
              <w:bottom w:w="0" w:type="dxa"/>
              <w:right w:w="108" w:type="dxa"/>
            </w:tcMar>
            <w:vAlign w:val="center"/>
          </w:tcPr>
          <w:p w14:paraId="74532A3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587176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63F3914" w14:textId="77777777" w:rsidTr="00D7567A">
        <w:trPr>
          <w:trHeight w:val="410"/>
        </w:trPr>
        <w:tc>
          <w:tcPr>
            <w:tcW w:w="694" w:type="dxa"/>
            <w:tcBorders>
              <w:top w:val="single" w:sz="4" w:space="0" w:color="auto"/>
            </w:tcBorders>
            <w:tcMar>
              <w:top w:w="0" w:type="dxa"/>
              <w:left w:w="108" w:type="dxa"/>
              <w:bottom w:w="0" w:type="dxa"/>
              <w:right w:w="108" w:type="dxa"/>
            </w:tcMar>
            <w:vAlign w:val="center"/>
          </w:tcPr>
          <w:p w14:paraId="40688180" w14:textId="77777777" w:rsidR="00451A59" w:rsidRPr="00451A59" w:rsidRDefault="00451A59" w:rsidP="00451A59">
            <w:pPr>
              <w:pStyle w:val="ListParagraph"/>
              <w:shd w:val="clear" w:color="auto" w:fill="FFFFFF" w:themeFill="background1"/>
              <w:spacing w:line="276" w:lineRule="auto"/>
              <w:ind w:left="584"/>
              <w:rPr>
                <w:rFonts w:ascii="Times New Roman" w:eastAsia="Calibri" w:hAnsi="Times New Roman"/>
                <w:sz w:val="20"/>
                <w:szCs w:val="20"/>
              </w:rPr>
            </w:pPr>
          </w:p>
        </w:tc>
        <w:tc>
          <w:tcPr>
            <w:tcW w:w="992" w:type="dxa"/>
            <w:vMerge w:val="restart"/>
            <w:shd w:val="clear" w:color="auto" w:fill="FFFFFF" w:themeFill="background1"/>
            <w:tcMar>
              <w:top w:w="0" w:type="dxa"/>
              <w:left w:w="108" w:type="dxa"/>
              <w:bottom w:w="0" w:type="dxa"/>
              <w:right w:w="108" w:type="dxa"/>
            </w:tcMar>
            <w:vAlign w:val="center"/>
          </w:tcPr>
          <w:p w14:paraId="043CE2F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6.1.1.1</w:t>
            </w:r>
          </w:p>
        </w:tc>
        <w:tc>
          <w:tcPr>
            <w:tcW w:w="2533" w:type="dxa"/>
            <w:vMerge w:val="restart"/>
            <w:shd w:val="clear" w:color="auto" w:fill="FFFFFF" w:themeFill="background1"/>
            <w:vAlign w:val="center"/>
          </w:tcPr>
          <w:p w14:paraId="2EDB106B"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Atlikti inžinerinį inventorizavimą (priemonė bus įvykdyta 2021 m.)</w:t>
            </w:r>
          </w:p>
        </w:tc>
        <w:tc>
          <w:tcPr>
            <w:tcW w:w="3260" w:type="dxa"/>
            <w:vMerge w:val="restart"/>
            <w:shd w:val="clear" w:color="auto" w:fill="FFFFFF" w:themeFill="background1"/>
            <w:vAlign w:val="center"/>
          </w:tcPr>
          <w:p w14:paraId="25119CAF"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r w:rsidRPr="00451A59">
              <w:rPr>
                <w:rFonts w:ascii="Times New Roman" w:hAnsi="Times New Roman"/>
                <w:bCs/>
                <w:sz w:val="20"/>
                <w:szCs w:val="20"/>
                <w:lang w:val="lt-LT"/>
              </w:rPr>
              <w:t>Inventorizuota stebimojoje ir kontroliuojamoje zonose, ne mažiau nei</w:t>
            </w:r>
          </w:p>
        </w:tc>
        <w:tc>
          <w:tcPr>
            <w:tcW w:w="851" w:type="dxa"/>
            <w:shd w:val="clear" w:color="auto" w:fill="FFFFFF" w:themeFill="background1"/>
            <w:vAlign w:val="center"/>
          </w:tcPr>
          <w:p w14:paraId="2FB4A7D0"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shd w:val="clear" w:color="auto" w:fill="FFFFFF" w:themeFill="background1"/>
            <w:vAlign w:val="center"/>
          </w:tcPr>
          <w:p w14:paraId="40969FEB"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995 t</w:t>
            </w:r>
          </w:p>
        </w:tc>
        <w:tc>
          <w:tcPr>
            <w:tcW w:w="1276" w:type="dxa"/>
            <w:shd w:val="clear" w:color="auto" w:fill="FFFFFF" w:themeFill="background1"/>
            <w:tcMar>
              <w:top w:w="0" w:type="dxa"/>
              <w:left w:w="108" w:type="dxa"/>
              <w:bottom w:w="0" w:type="dxa"/>
              <w:right w:w="108" w:type="dxa"/>
            </w:tcMar>
            <w:vAlign w:val="center"/>
          </w:tcPr>
          <w:p w14:paraId="6D81CD8A"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27B718C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51B6865" w14:textId="77777777" w:rsidTr="00D7567A">
        <w:trPr>
          <w:trHeight w:val="410"/>
        </w:trPr>
        <w:tc>
          <w:tcPr>
            <w:tcW w:w="694" w:type="dxa"/>
            <w:tcBorders>
              <w:top w:val="single" w:sz="4" w:space="0" w:color="auto"/>
            </w:tcBorders>
            <w:shd w:val="clear" w:color="auto" w:fill="FFFFFF" w:themeFill="background1"/>
            <w:tcMar>
              <w:top w:w="0" w:type="dxa"/>
              <w:left w:w="108" w:type="dxa"/>
              <w:bottom w:w="0" w:type="dxa"/>
              <w:right w:w="108" w:type="dxa"/>
            </w:tcMar>
            <w:vAlign w:val="center"/>
          </w:tcPr>
          <w:p w14:paraId="327D8E7B"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shd w:val="clear" w:color="auto" w:fill="FFFFFF" w:themeFill="background1"/>
            <w:tcMar>
              <w:top w:w="0" w:type="dxa"/>
              <w:left w:w="108" w:type="dxa"/>
              <w:bottom w:w="0" w:type="dxa"/>
              <w:right w:w="108" w:type="dxa"/>
            </w:tcMar>
            <w:vAlign w:val="center"/>
          </w:tcPr>
          <w:p w14:paraId="15CFD2D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shd w:val="clear" w:color="auto" w:fill="FFFFFF" w:themeFill="background1"/>
            <w:vAlign w:val="center"/>
          </w:tcPr>
          <w:p w14:paraId="60D8208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shd w:val="clear" w:color="auto" w:fill="FFFFFF" w:themeFill="background1"/>
            <w:vAlign w:val="center"/>
          </w:tcPr>
          <w:p w14:paraId="5E64AB24" w14:textId="77777777" w:rsidR="00451A59" w:rsidRPr="00451A59" w:rsidRDefault="00451A59" w:rsidP="00451A59">
            <w:pPr>
              <w:shd w:val="clear" w:color="auto" w:fill="FFFFFF" w:themeFill="background1"/>
              <w:ind w:left="107" w:right="141"/>
              <w:jc w:val="both"/>
              <w:rPr>
                <w:rFonts w:ascii="Times New Roman" w:hAnsi="Times New Roman"/>
                <w:bCs/>
                <w:sz w:val="20"/>
                <w:szCs w:val="20"/>
                <w:lang w:val="lt-LT"/>
              </w:rPr>
            </w:pPr>
          </w:p>
        </w:tc>
        <w:tc>
          <w:tcPr>
            <w:tcW w:w="851" w:type="dxa"/>
            <w:shd w:val="clear" w:color="auto" w:fill="FFFFFF" w:themeFill="background1"/>
            <w:vAlign w:val="center"/>
          </w:tcPr>
          <w:p w14:paraId="5706649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2B4DA68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1910 t</w:t>
            </w:r>
          </w:p>
        </w:tc>
        <w:tc>
          <w:tcPr>
            <w:tcW w:w="1276" w:type="dxa"/>
            <w:shd w:val="clear" w:color="auto" w:fill="FFFFFF" w:themeFill="background1"/>
            <w:tcMar>
              <w:top w:w="0" w:type="dxa"/>
              <w:left w:w="108" w:type="dxa"/>
              <w:bottom w:w="0" w:type="dxa"/>
              <w:right w:w="108" w:type="dxa"/>
            </w:tcMar>
            <w:vAlign w:val="center"/>
          </w:tcPr>
          <w:p w14:paraId="5CFA99A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14E58B3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56AE5D0A" w14:textId="77777777" w:rsidTr="00D7567A">
        <w:trPr>
          <w:trHeight w:val="410"/>
        </w:trPr>
        <w:tc>
          <w:tcPr>
            <w:tcW w:w="694" w:type="dxa"/>
            <w:tcMar>
              <w:top w:w="0" w:type="dxa"/>
              <w:left w:w="108" w:type="dxa"/>
              <w:bottom w:w="0" w:type="dxa"/>
              <w:right w:w="108" w:type="dxa"/>
            </w:tcMar>
            <w:vAlign w:val="center"/>
          </w:tcPr>
          <w:p w14:paraId="4780BE3C"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val="restart"/>
            <w:shd w:val="clear" w:color="auto" w:fill="FFFFFF" w:themeFill="background1"/>
            <w:tcMar>
              <w:top w:w="0" w:type="dxa"/>
              <w:left w:w="108" w:type="dxa"/>
              <w:bottom w:w="0" w:type="dxa"/>
              <w:right w:w="108" w:type="dxa"/>
            </w:tcMar>
            <w:vAlign w:val="center"/>
          </w:tcPr>
          <w:p w14:paraId="310EF1F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hAnsi="Times New Roman"/>
                <w:spacing w:val="-3"/>
                <w:sz w:val="20"/>
                <w:szCs w:val="20"/>
                <w:lang w:val="lt-LT"/>
              </w:rPr>
              <w:t>6.1.1.2.</w:t>
            </w:r>
          </w:p>
        </w:tc>
        <w:tc>
          <w:tcPr>
            <w:tcW w:w="2533" w:type="dxa"/>
            <w:vMerge w:val="restart"/>
            <w:shd w:val="clear" w:color="auto" w:fill="FFFFFF" w:themeFill="background1"/>
            <w:vAlign w:val="center"/>
          </w:tcPr>
          <w:p w14:paraId="256484D7"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pacing w:val="-3"/>
                <w:sz w:val="20"/>
                <w:szCs w:val="20"/>
                <w:lang w:val="lt-LT"/>
              </w:rPr>
              <w:t>Atlikti radiologinį apibūdinimą (priemonė bus įvykdyta 2038 m.)</w:t>
            </w:r>
          </w:p>
        </w:tc>
        <w:tc>
          <w:tcPr>
            <w:tcW w:w="3260" w:type="dxa"/>
            <w:shd w:val="clear" w:color="auto" w:fill="FFFFFF" w:themeFill="background1"/>
          </w:tcPr>
          <w:p w14:paraId="1C49013A" w14:textId="77777777" w:rsidR="00451A59" w:rsidRPr="00451A59" w:rsidRDefault="00451A59" w:rsidP="00451A59">
            <w:pPr>
              <w:pStyle w:val="ListParagraph"/>
              <w:numPr>
                <w:ilvl w:val="0"/>
                <w:numId w:val="18"/>
              </w:numPr>
              <w:shd w:val="clear" w:color="auto" w:fill="FFFFFF" w:themeFill="background1"/>
              <w:tabs>
                <w:tab w:val="left" w:pos="284"/>
              </w:tabs>
              <w:ind w:left="142" w:right="141" w:hanging="35"/>
              <w:jc w:val="both"/>
              <w:rPr>
                <w:rFonts w:ascii="Times New Roman" w:hAnsi="Times New Roman"/>
                <w:bCs/>
                <w:sz w:val="20"/>
                <w:szCs w:val="20"/>
              </w:rPr>
            </w:pPr>
            <w:r w:rsidRPr="00451A59">
              <w:rPr>
                <w:rFonts w:ascii="Times New Roman" w:hAnsi="Times New Roman"/>
                <w:spacing w:val="-3"/>
                <w:sz w:val="20"/>
                <w:szCs w:val="20"/>
              </w:rPr>
              <w:t>Atliktas 2-ojo bloko reaktoriaus perkrovimo mašinos radiologinis apibūdinimas</w:t>
            </w:r>
          </w:p>
        </w:tc>
        <w:tc>
          <w:tcPr>
            <w:tcW w:w="851" w:type="dxa"/>
            <w:shd w:val="clear" w:color="auto" w:fill="FFFFFF" w:themeFill="background1"/>
            <w:vAlign w:val="center"/>
          </w:tcPr>
          <w:p w14:paraId="37C0CEBC"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shd w:val="clear" w:color="auto" w:fill="FFFFFF" w:themeFill="background1"/>
            <w:vAlign w:val="center"/>
          </w:tcPr>
          <w:p w14:paraId="7AC7D2C4" w14:textId="77777777" w:rsidR="00451A59" w:rsidRPr="00451A59" w:rsidRDefault="00451A59" w:rsidP="00451A59">
            <w:pPr>
              <w:shd w:val="clear" w:color="auto" w:fill="FFFFFF" w:themeFill="background1"/>
              <w:spacing w:line="276" w:lineRule="auto"/>
              <w:ind w:left="142" w:right="139"/>
              <w:rPr>
                <w:rFonts w:ascii="Times New Roman" w:eastAsia="Calibri" w:hAnsi="Times New Roman"/>
                <w:sz w:val="20"/>
                <w:szCs w:val="20"/>
                <w:lang w:val="lt-LT"/>
              </w:rPr>
            </w:pPr>
            <w:r w:rsidRPr="00451A59">
              <w:rPr>
                <w:rFonts w:ascii="Times New Roman" w:hAnsi="Times New Roman"/>
                <w:spacing w:val="-3"/>
                <w:sz w:val="20"/>
                <w:szCs w:val="20"/>
                <w:lang w:val="lt-LT"/>
              </w:rPr>
              <w:t>Ataskaita</w:t>
            </w:r>
          </w:p>
        </w:tc>
        <w:tc>
          <w:tcPr>
            <w:tcW w:w="1276" w:type="dxa"/>
            <w:shd w:val="clear" w:color="auto" w:fill="FFFFFF" w:themeFill="background1"/>
            <w:tcMar>
              <w:top w:w="0" w:type="dxa"/>
              <w:left w:w="108" w:type="dxa"/>
              <w:bottom w:w="0" w:type="dxa"/>
              <w:right w:w="108" w:type="dxa"/>
            </w:tcMar>
            <w:vAlign w:val="center"/>
          </w:tcPr>
          <w:p w14:paraId="5EEDAC8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tcPr>
          <w:p w14:paraId="5F018718" w14:textId="77777777" w:rsidR="00451A59" w:rsidRPr="00451A59" w:rsidRDefault="00451A59" w:rsidP="00451A59">
            <w:pPr>
              <w:shd w:val="clear" w:color="auto" w:fill="FFFFFF" w:themeFill="background1"/>
              <w:jc w:val="center"/>
              <w:rPr>
                <w:rFonts w:ascii="Times New Roman" w:hAnsi="Times New Roman"/>
                <w:sz w:val="20"/>
                <w:szCs w:val="20"/>
                <w:lang w:val="lt-LT"/>
              </w:rPr>
            </w:pPr>
          </w:p>
          <w:p w14:paraId="58A896C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48272B8" w14:textId="77777777" w:rsidTr="00D7567A">
        <w:trPr>
          <w:trHeight w:val="410"/>
        </w:trPr>
        <w:tc>
          <w:tcPr>
            <w:tcW w:w="694" w:type="dxa"/>
            <w:tcMar>
              <w:top w:w="0" w:type="dxa"/>
              <w:left w:w="108" w:type="dxa"/>
              <w:bottom w:w="0" w:type="dxa"/>
              <w:right w:w="108" w:type="dxa"/>
            </w:tcMar>
            <w:vAlign w:val="center"/>
          </w:tcPr>
          <w:p w14:paraId="7A341A4D"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shd w:val="clear" w:color="auto" w:fill="FFFFFF" w:themeFill="background1"/>
            <w:tcMar>
              <w:top w:w="0" w:type="dxa"/>
              <w:left w:w="108" w:type="dxa"/>
              <w:bottom w:w="0" w:type="dxa"/>
              <w:right w:w="108" w:type="dxa"/>
            </w:tcMar>
            <w:vAlign w:val="center"/>
          </w:tcPr>
          <w:p w14:paraId="3BE1FBBA" w14:textId="77777777" w:rsidR="00451A59" w:rsidRPr="00451A59" w:rsidRDefault="00451A59" w:rsidP="00451A59">
            <w:pPr>
              <w:shd w:val="clear" w:color="auto" w:fill="FFFFFF" w:themeFill="background1"/>
              <w:spacing w:line="276" w:lineRule="auto"/>
              <w:jc w:val="center"/>
              <w:rPr>
                <w:spacing w:val="-3"/>
                <w:sz w:val="19"/>
                <w:szCs w:val="19"/>
                <w:lang w:val="lt-LT"/>
              </w:rPr>
            </w:pPr>
          </w:p>
        </w:tc>
        <w:tc>
          <w:tcPr>
            <w:tcW w:w="2533" w:type="dxa"/>
            <w:vMerge/>
            <w:shd w:val="clear" w:color="auto" w:fill="FFFFFF" w:themeFill="background1"/>
            <w:vAlign w:val="center"/>
          </w:tcPr>
          <w:p w14:paraId="6782DCDE" w14:textId="77777777" w:rsidR="00451A59" w:rsidRPr="00451A59" w:rsidRDefault="00451A59" w:rsidP="00451A59">
            <w:pPr>
              <w:shd w:val="clear" w:color="auto" w:fill="FFFFFF" w:themeFill="background1"/>
              <w:ind w:left="107" w:right="142"/>
              <w:jc w:val="both"/>
              <w:rPr>
                <w:rFonts w:ascii="Times New Roman" w:hAnsi="Times New Roman"/>
                <w:spacing w:val="-3"/>
                <w:sz w:val="20"/>
                <w:szCs w:val="20"/>
                <w:lang w:val="lt-LT"/>
              </w:rPr>
            </w:pPr>
          </w:p>
        </w:tc>
        <w:tc>
          <w:tcPr>
            <w:tcW w:w="3260" w:type="dxa"/>
            <w:shd w:val="clear" w:color="auto" w:fill="FFFFFF" w:themeFill="background1"/>
          </w:tcPr>
          <w:p w14:paraId="226029BC" w14:textId="77777777" w:rsidR="00451A59" w:rsidRPr="00451A59" w:rsidRDefault="00451A59" w:rsidP="00451A59">
            <w:pPr>
              <w:pStyle w:val="ListParagraph"/>
              <w:numPr>
                <w:ilvl w:val="0"/>
                <w:numId w:val="18"/>
              </w:numPr>
              <w:shd w:val="clear" w:color="auto" w:fill="FFFFFF" w:themeFill="background1"/>
              <w:tabs>
                <w:tab w:val="left" w:pos="284"/>
              </w:tabs>
              <w:ind w:left="142" w:right="141" w:hanging="35"/>
              <w:jc w:val="both"/>
              <w:rPr>
                <w:rFonts w:ascii="Times New Roman" w:hAnsi="Times New Roman"/>
                <w:spacing w:val="-3"/>
                <w:sz w:val="20"/>
                <w:szCs w:val="20"/>
              </w:rPr>
            </w:pPr>
            <w:r w:rsidRPr="00451A59">
              <w:rPr>
                <w:rFonts w:ascii="Times New Roman" w:hAnsi="Times New Roman"/>
                <w:spacing w:val="-3"/>
                <w:sz w:val="20"/>
                <w:szCs w:val="20"/>
              </w:rPr>
              <w:t>Atliktas 2-ojo bloko reaktoriaus elementų radiologinis apibūdinimas</w:t>
            </w:r>
          </w:p>
        </w:tc>
        <w:tc>
          <w:tcPr>
            <w:tcW w:w="851" w:type="dxa"/>
            <w:shd w:val="clear" w:color="auto" w:fill="FFFFFF" w:themeFill="background1"/>
            <w:vAlign w:val="center"/>
          </w:tcPr>
          <w:p w14:paraId="5E2DD927"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shd w:val="clear" w:color="auto" w:fill="FFFFFF" w:themeFill="background1"/>
            <w:vAlign w:val="center"/>
          </w:tcPr>
          <w:p w14:paraId="1FF08E6D" w14:textId="77777777" w:rsidR="00451A59" w:rsidRPr="00451A59" w:rsidRDefault="00451A59" w:rsidP="00451A59">
            <w:pPr>
              <w:shd w:val="clear" w:color="auto" w:fill="FFFFFF" w:themeFill="background1"/>
              <w:spacing w:line="276" w:lineRule="auto"/>
              <w:ind w:left="142" w:right="139"/>
              <w:rPr>
                <w:rFonts w:ascii="Times New Roman" w:eastAsia="Calibri" w:hAnsi="Times New Roman"/>
                <w:sz w:val="20"/>
                <w:szCs w:val="20"/>
                <w:lang w:val="lt-LT"/>
              </w:rPr>
            </w:pPr>
            <w:r w:rsidRPr="00451A59">
              <w:rPr>
                <w:rFonts w:ascii="Times New Roman" w:hAnsi="Times New Roman"/>
                <w:spacing w:val="-3"/>
                <w:sz w:val="20"/>
                <w:szCs w:val="20"/>
                <w:lang w:val="lt-LT"/>
              </w:rPr>
              <w:t>Ataskaita</w:t>
            </w:r>
          </w:p>
        </w:tc>
        <w:tc>
          <w:tcPr>
            <w:tcW w:w="1276" w:type="dxa"/>
            <w:shd w:val="clear" w:color="auto" w:fill="FFFFFF" w:themeFill="background1"/>
            <w:tcMar>
              <w:top w:w="0" w:type="dxa"/>
              <w:left w:w="108" w:type="dxa"/>
              <w:bottom w:w="0" w:type="dxa"/>
              <w:right w:w="108" w:type="dxa"/>
            </w:tcMar>
            <w:vAlign w:val="center"/>
          </w:tcPr>
          <w:p w14:paraId="6A94BC9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6713FA9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F0AB11A" w14:textId="77777777" w:rsidTr="00D7567A">
        <w:trPr>
          <w:trHeight w:val="410"/>
        </w:trPr>
        <w:tc>
          <w:tcPr>
            <w:tcW w:w="694" w:type="dxa"/>
            <w:tcMar>
              <w:top w:w="0" w:type="dxa"/>
              <w:left w:w="108" w:type="dxa"/>
              <w:bottom w:w="0" w:type="dxa"/>
              <w:right w:w="108" w:type="dxa"/>
            </w:tcMar>
            <w:vAlign w:val="center"/>
          </w:tcPr>
          <w:p w14:paraId="1B779EDD"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shd w:val="clear" w:color="auto" w:fill="FFFFFF" w:themeFill="background1"/>
            <w:tcMar>
              <w:top w:w="0" w:type="dxa"/>
              <w:left w:w="108" w:type="dxa"/>
              <w:bottom w:w="0" w:type="dxa"/>
              <w:right w:w="108" w:type="dxa"/>
            </w:tcMar>
            <w:vAlign w:val="center"/>
          </w:tcPr>
          <w:p w14:paraId="57164998" w14:textId="77777777" w:rsidR="00451A59" w:rsidRPr="00451A59" w:rsidRDefault="00451A59" w:rsidP="00451A59">
            <w:pPr>
              <w:shd w:val="clear" w:color="auto" w:fill="FFFFFF" w:themeFill="background1"/>
              <w:spacing w:line="276" w:lineRule="auto"/>
              <w:jc w:val="center"/>
              <w:rPr>
                <w:spacing w:val="-3"/>
                <w:sz w:val="19"/>
                <w:szCs w:val="19"/>
                <w:lang w:val="lt-LT"/>
              </w:rPr>
            </w:pPr>
          </w:p>
        </w:tc>
        <w:tc>
          <w:tcPr>
            <w:tcW w:w="2533" w:type="dxa"/>
            <w:vMerge/>
            <w:shd w:val="clear" w:color="auto" w:fill="FFFFFF" w:themeFill="background1"/>
            <w:vAlign w:val="center"/>
          </w:tcPr>
          <w:p w14:paraId="0D1226BC" w14:textId="77777777" w:rsidR="00451A59" w:rsidRPr="00451A59" w:rsidRDefault="00451A59" w:rsidP="00451A59">
            <w:pPr>
              <w:shd w:val="clear" w:color="auto" w:fill="FFFFFF" w:themeFill="background1"/>
              <w:ind w:left="107" w:right="142"/>
              <w:jc w:val="both"/>
              <w:rPr>
                <w:rFonts w:ascii="Times New Roman" w:hAnsi="Times New Roman"/>
                <w:spacing w:val="-3"/>
                <w:sz w:val="20"/>
                <w:szCs w:val="20"/>
                <w:lang w:val="lt-LT"/>
              </w:rPr>
            </w:pPr>
          </w:p>
        </w:tc>
        <w:tc>
          <w:tcPr>
            <w:tcW w:w="3260" w:type="dxa"/>
            <w:shd w:val="clear" w:color="auto" w:fill="FFFFFF" w:themeFill="background1"/>
          </w:tcPr>
          <w:p w14:paraId="0C64BDF6" w14:textId="77777777" w:rsidR="00451A59" w:rsidRPr="00451A59" w:rsidRDefault="00451A59" w:rsidP="00451A59">
            <w:pPr>
              <w:pStyle w:val="ListParagraph"/>
              <w:numPr>
                <w:ilvl w:val="0"/>
                <w:numId w:val="18"/>
              </w:numPr>
              <w:shd w:val="clear" w:color="auto" w:fill="FFFFFF" w:themeFill="background1"/>
              <w:tabs>
                <w:tab w:val="left" w:pos="284"/>
              </w:tabs>
              <w:ind w:left="142" w:right="141" w:hanging="35"/>
              <w:jc w:val="both"/>
              <w:rPr>
                <w:rFonts w:ascii="Times New Roman" w:hAnsi="Times New Roman"/>
                <w:spacing w:val="-3"/>
                <w:sz w:val="20"/>
                <w:szCs w:val="20"/>
              </w:rPr>
            </w:pPr>
            <w:r w:rsidRPr="00451A59">
              <w:rPr>
                <w:rFonts w:ascii="Times New Roman" w:hAnsi="Times New Roman"/>
                <w:spacing w:val="-3"/>
                <w:sz w:val="20"/>
                <w:szCs w:val="20"/>
              </w:rPr>
              <w:t>Nustatytas V2 bloko nuklidinis vektorius</w:t>
            </w:r>
          </w:p>
        </w:tc>
        <w:tc>
          <w:tcPr>
            <w:tcW w:w="851" w:type="dxa"/>
            <w:shd w:val="clear" w:color="auto" w:fill="FFFFFF" w:themeFill="background1"/>
            <w:vAlign w:val="center"/>
          </w:tcPr>
          <w:p w14:paraId="0FD83AAC"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shd w:val="clear" w:color="auto" w:fill="FFFFFF" w:themeFill="background1"/>
            <w:vAlign w:val="center"/>
          </w:tcPr>
          <w:p w14:paraId="754F83B7" w14:textId="77777777" w:rsidR="00451A59" w:rsidRPr="00451A59" w:rsidRDefault="00451A59" w:rsidP="00451A59">
            <w:pPr>
              <w:shd w:val="clear" w:color="auto" w:fill="FFFFFF" w:themeFill="background1"/>
              <w:spacing w:line="276" w:lineRule="auto"/>
              <w:ind w:left="142" w:right="139"/>
              <w:rPr>
                <w:rFonts w:ascii="Times New Roman" w:eastAsia="Calibri" w:hAnsi="Times New Roman"/>
                <w:sz w:val="20"/>
                <w:szCs w:val="20"/>
                <w:lang w:val="lt-LT"/>
              </w:rPr>
            </w:pPr>
            <w:r w:rsidRPr="00451A59">
              <w:rPr>
                <w:rFonts w:ascii="Times New Roman" w:hAnsi="Times New Roman"/>
                <w:spacing w:val="-3"/>
                <w:sz w:val="20"/>
                <w:szCs w:val="20"/>
                <w:lang w:val="lt-LT"/>
              </w:rPr>
              <w:t>Ataskaita</w:t>
            </w:r>
          </w:p>
        </w:tc>
        <w:tc>
          <w:tcPr>
            <w:tcW w:w="1276" w:type="dxa"/>
            <w:shd w:val="clear" w:color="auto" w:fill="FFFFFF" w:themeFill="background1"/>
            <w:tcMar>
              <w:top w:w="0" w:type="dxa"/>
              <w:left w:w="108" w:type="dxa"/>
              <w:bottom w:w="0" w:type="dxa"/>
              <w:right w:w="108" w:type="dxa"/>
            </w:tcMar>
            <w:vAlign w:val="center"/>
          </w:tcPr>
          <w:p w14:paraId="067CFC4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03E68F0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696363C" w14:textId="77777777" w:rsidTr="00D7567A">
        <w:trPr>
          <w:trHeight w:val="1880"/>
        </w:trPr>
        <w:tc>
          <w:tcPr>
            <w:tcW w:w="694" w:type="dxa"/>
            <w:tcMar>
              <w:top w:w="0" w:type="dxa"/>
              <w:left w:w="108" w:type="dxa"/>
              <w:bottom w:w="0" w:type="dxa"/>
              <w:right w:w="108" w:type="dxa"/>
            </w:tcMar>
            <w:vAlign w:val="center"/>
          </w:tcPr>
          <w:p w14:paraId="183901F2"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shd w:val="clear" w:color="auto" w:fill="FFFFFF" w:themeFill="background1"/>
            <w:tcMar>
              <w:top w:w="0" w:type="dxa"/>
              <w:left w:w="108" w:type="dxa"/>
              <w:bottom w:w="0" w:type="dxa"/>
              <w:right w:w="108" w:type="dxa"/>
            </w:tcMar>
            <w:vAlign w:val="center"/>
          </w:tcPr>
          <w:p w14:paraId="5E0C7009" w14:textId="77777777" w:rsidR="00451A59" w:rsidRPr="00451A59" w:rsidRDefault="00451A59" w:rsidP="00451A59">
            <w:pPr>
              <w:shd w:val="clear" w:color="auto" w:fill="FFFFFF" w:themeFill="background1"/>
              <w:spacing w:line="276" w:lineRule="auto"/>
              <w:jc w:val="center"/>
              <w:rPr>
                <w:spacing w:val="-3"/>
                <w:sz w:val="19"/>
                <w:szCs w:val="19"/>
                <w:lang w:val="lt-LT"/>
              </w:rPr>
            </w:pPr>
            <w:r w:rsidRPr="00451A59">
              <w:rPr>
                <w:spacing w:val="-3"/>
                <w:sz w:val="19"/>
                <w:szCs w:val="19"/>
                <w:lang w:val="lt-LT"/>
              </w:rPr>
              <w:t>6.1.2.1</w:t>
            </w:r>
          </w:p>
        </w:tc>
        <w:tc>
          <w:tcPr>
            <w:tcW w:w="2533" w:type="dxa"/>
            <w:shd w:val="clear" w:color="auto" w:fill="FFFFFF" w:themeFill="background1"/>
            <w:vAlign w:val="center"/>
          </w:tcPr>
          <w:p w14:paraId="1E330248" w14:textId="77777777" w:rsidR="00451A59" w:rsidRPr="00451A59" w:rsidRDefault="00451A59" w:rsidP="00451A59">
            <w:pPr>
              <w:shd w:val="clear" w:color="auto" w:fill="FFFFFF" w:themeFill="background1"/>
              <w:ind w:left="107" w:right="142"/>
              <w:jc w:val="both"/>
              <w:rPr>
                <w:rFonts w:ascii="Times New Roman" w:hAnsi="Times New Roman"/>
                <w:spacing w:val="-3"/>
                <w:sz w:val="20"/>
                <w:szCs w:val="20"/>
                <w:lang w:val="lt-LT"/>
              </w:rPr>
            </w:pPr>
            <w:r w:rsidRPr="00451A59">
              <w:rPr>
                <w:rFonts w:ascii="Times New Roman" w:hAnsi="Times New Roman"/>
                <w:color w:val="000000"/>
                <w:spacing w:val="-3"/>
                <w:sz w:val="20"/>
                <w:szCs w:val="20"/>
                <w:lang w:val="lt-LT"/>
              </w:rPr>
              <w:t>Atlikti sistemų ir įrenginių izoliavimą (priemonė bus įvykdyta 2036 m.)</w:t>
            </w:r>
          </w:p>
        </w:tc>
        <w:tc>
          <w:tcPr>
            <w:tcW w:w="3260" w:type="dxa"/>
            <w:shd w:val="clear" w:color="auto" w:fill="FFFFFF" w:themeFill="background1"/>
          </w:tcPr>
          <w:p w14:paraId="25EB450C" w14:textId="77777777" w:rsidR="00451A59" w:rsidRPr="00451A59" w:rsidRDefault="00451A59" w:rsidP="00451A59">
            <w:pPr>
              <w:pStyle w:val="ListParagraph"/>
              <w:shd w:val="clear" w:color="auto" w:fill="FFFFFF" w:themeFill="background1"/>
              <w:tabs>
                <w:tab w:val="left" w:pos="284"/>
              </w:tabs>
              <w:ind w:left="142" w:right="141"/>
              <w:jc w:val="both"/>
              <w:rPr>
                <w:rFonts w:ascii="Times New Roman" w:hAnsi="Times New Roman"/>
                <w:spacing w:val="-3"/>
                <w:sz w:val="20"/>
                <w:szCs w:val="20"/>
              </w:rPr>
            </w:pPr>
            <w:r w:rsidRPr="00451A59">
              <w:rPr>
                <w:rFonts w:ascii="Times New Roman" w:hAnsi="Times New Roman"/>
                <w:color w:val="000000"/>
                <w:spacing w:val="-3"/>
                <w:sz w:val="20"/>
                <w:szCs w:val="20"/>
              </w:rPr>
              <w:t>izoliuojamų sistemų skaičius, ne mažiau nei</w:t>
            </w:r>
          </w:p>
        </w:tc>
        <w:tc>
          <w:tcPr>
            <w:tcW w:w="851" w:type="dxa"/>
            <w:shd w:val="clear" w:color="auto" w:fill="FFFFFF" w:themeFill="background1"/>
            <w:vAlign w:val="center"/>
          </w:tcPr>
          <w:p w14:paraId="4DC49C60"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0AAFDF80" w14:textId="77777777" w:rsidR="00451A59" w:rsidRPr="00451A59" w:rsidRDefault="00451A59" w:rsidP="00451A59">
            <w:pPr>
              <w:shd w:val="clear" w:color="auto" w:fill="FFFFFF" w:themeFill="background1"/>
              <w:spacing w:line="276" w:lineRule="auto"/>
              <w:ind w:left="142" w:right="139"/>
              <w:rPr>
                <w:rFonts w:ascii="Times New Roman" w:hAnsi="Times New Roman"/>
                <w:spacing w:val="-3"/>
                <w:sz w:val="20"/>
                <w:szCs w:val="20"/>
                <w:lang w:val="lt-LT"/>
              </w:rPr>
            </w:pPr>
            <w:r w:rsidRPr="00451A59">
              <w:rPr>
                <w:rFonts w:ascii="Times New Roman" w:hAnsi="Times New Roman"/>
                <w:spacing w:val="-3"/>
                <w:sz w:val="20"/>
                <w:szCs w:val="20"/>
                <w:lang w:val="lt-LT"/>
              </w:rPr>
              <w:t>3 pilnai izoliuota</w:t>
            </w:r>
          </w:p>
        </w:tc>
        <w:tc>
          <w:tcPr>
            <w:tcW w:w="1276" w:type="dxa"/>
            <w:shd w:val="clear" w:color="auto" w:fill="FFFFFF" w:themeFill="background1"/>
            <w:tcMar>
              <w:top w:w="0" w:type="dxa"/>
              <w:left w:w="108" w:type="dxa"/>
              <w:bottom w:w="0" w:type="dxa"/>
              <w:right w:w="108" w:type="dxa"/>
            </w:tcMar>
            <w:vAlign w:val="center"/>
          </w:tcPr>
          <w:p w14:paraId="181DF61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50757F01"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4EC0B6ED" w14:textId="77777777" w:rsidTr="00D7567A">
        <w:trPr>
          <w:trHeight w:val="410"/>
        </w:trPr>
        <w:tc>
          <w:tcPr>
            <w:tcW w:w="694" w:type="dxa"/>
            <w:tcMar>
              <w:top w:w="0" w:type="dxa"/>
              <w:left w:w="108" w:type="dxa"/>
              <w:bottom w:w="0" w:type="dxa"/>
              <w:right w:w="108" w:type="dxa"/>
            </w:tcMar>
            <w:vAlign w:val="center"/>
          </w:tcPr>
          <w:p w14:paraId="0BAB72B8"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val="restart"/>
            <w:shd w:val="clear" w:color="auto" w:fill="FFFFFF" w:themeFill="background1"/>
            <w:tcMar>
              <w:top w:w="0" w:type="dxa"/>
              <w:left w:w="108" w:type="dxa"/>
              <w:bottom w:w="0" w:type="dxa"/>
              <w:right w:w="108" w:type="dxa"/>
            </w:tcMar>
            <w:vAlign w:val="center"/>
          </w:tcPr>
          <w:p w14:paraId="4B5CA4EE" w14:textId="77777777" w:rsidR="00451A59" w:rsidRPr="00451A59" w:rsidRDefault="00451A59" w:rsidP="00451A59">
            <w:pPr>
              <w:shd w:val="clear" w:color="auto" w:fill="FFFFFF" w:themeFill="background1"/>
              <w:spacing w:line="276" w:lineRule="auto"/>
              <w:jc w:val="center"/>
              <w:rPr>
                <w:spacing w:val="-3"/>
                <w:sz w:val="19"/>
                <w:szCs w:val="19"/>
                <w:lang w:val="lt-LT"/>
              </w:rPr>
            </w:pPr>
            <w:r w:rsidRPr="00451A59">
              <w:rPr>
                <w:spacing w:val="-3"/>
                <w:sz w:val="19"/>
                <w:szCs w:val="19"/>
                <w:lang w:val="lt-LT"/>
              </w:rPr>
              <w:t>6.1.3.1</w:t>
            </w:r>
          </w:p>
        </w:tc>
        <w:tc>
          <w:tcPr>
            <w:tcW w:w="2533" w:type="dxa"/>
            <w:vMerge w:val="restart"/>
            <w:shd w:val="clear" w:color="auto" w:fill="FFFFFF" w:themeFill="background1"/>
            <w:vAlign w:val="center"/>
          </w:tcPr>
          <w:p w14:paraId="3C301F1E" w14:textId="77777777" w:rsidR="00451A59" w:rsidRPr="00451A59" w:rsidRDefault="00451A59" w:rsidP="00451A59">
            <w:pPr>
              <w:shd w:val="clear" w:color="auto" w:fill="FFFFFF" w:themeFill="background1"/>
              <w:ind w:left="107" w:right="142"/>
              <w:jc w:val="both"/>
              <w:rPr>
                <w:rFonts w:ascii="Times New Roman" w:hAnsi="Times New Roman"/>
                <w:color w:val="000000"/>
                <w:spacing w:val="-3"/>
                <w:sz w:val="20"/>
                <w:szCs w:val="20"/>
                <w:lang w:val="lt-LT"/>
              </w:rPr>
            </w:pPr>
            <w:r w:rsidRPr="00451A59">
              <w:rPr>
                <w:rFonts w:ascii="Times New Roman" w:hAnsi="Times New Roman"/>
                <w:color w:val="000000"/>
                <w:spacing w:val="-3"/>
                <w:sz w:val="20"/>
                <w:szCs w:val="20"/>
                <w:lang w:val="lt-LT"/>
              </w:rPr>
              <w:t>Parengti UP01 projekto (Pirmojo bloko reaktoriaus įrenginio išmontavimas) R1, R2 zonos (reaktoriaus viršutiniai ir apatiniai vamzdynai) išmontavimo ir dezaktyvavimo projektinę dokumentaciją (priemonė bus įvykdyta 2019 m., planuota 2016 m.)</w:t>
            </w:r>
          </w:p>
        </w:tc>
        <w:tc>
          <w:tcPr>
            <w:tcW w:w="3260" w:type="dxa"/>
            <w:shd w:val="clear" w:color="auto" w:fill="FFFFFF" w:themeFill="background1"/>
          </w:tcPr>
          <w:p w14:paraId="1D26A7E1" w14:textId="77777777" w:rsidR="00451A59" w:rsidRPr="00451A59" w:rsidRDefault="00451A59" w:rsidP="00451A59">
            <w:pPr>
              <w:pStyle w:val="ListParagraph"/>
              <w:numPr>
                <w:ilvl w:val="0"/>
                <w:numId w:val="25"/>
              </w:numPr>
              <w:shd w:val="clear" w:color="auto" w:fill="FFFFFF" w:themeFill="background1"/>
              <w:tabs>
                <w:tab w:val="left" w:pos="284"/>
              </w:tabs>
              <w:ind w:right="141"/>
              <w:jc w:val="both"/>
              <w:rPr>
                <w:rFonts w:ascii="Times New Roman" w:hAnsi="Times New Roman"/>
                <w:color w:val="000000"/>
                <w:spacing w:val="-3"/>
                <w:sz w:val="20"/>
                <w:szCs w:val="20"/>
              </w:rPr>
            </w:pPr>
            <w:r w:rsidRPr="00451A59">
              <w:rPr>
                <w:rFonts w:ascii="Times New Roman" w:hAnsi="Times New Roman"/>
                <w:color w:val="000000"/>
                <w:spacing w:val="-3"/>
                <w:sz w:val="20"/>
                <w:szCs w:val="20"/>
              </w:rPr>
              <w:t>Suderinti su VATESI TP ir SAA</w:t>
            </w:r>
          </w:p>
        </w:tc>
        <w:tc>
          <w:tcPr>
            <w:tcW w:w="851" w:type="dxa"/>
            <w:shd w:val="clear" w:color="auto" w:fill="FFFFFF" w:themeFill="background1"/>
            <w:vAlign w:val="center"/>
          </w:tcPr>
          <w:p w14:paraId="6F031E61"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65B15F8E" w14:textId="77777777" w:rsidR="00451A59" w:rsidRPr="00451A59" w:rsidRDefault="00451A59" w:rsidP="00451A59">
            <w:pPr>
              <w:shd w:val="clear" w:color="auto" w:fill="FFFFFF" w:themeFill="background1"/>
              <w:spacing w:line="276" w:lineRule="auto"/>
              <w:ind w:left="142" w:right="139"/>
              <w:rPr>
                <w:rFonts w:ascii="Times New Roman" w:hAnsi="Times New Roman"/>
                <w:spacing w:val="-3"/>
                <w:sz w:val="20"/>
                <w:szCs w:val="20"/>
                <w:lang w:val="lt-LT"/>
              </w:rPr>
            </w:pPr>
            <w:r w:rsidRPr="00451A59">
              <w:rPr>
                <w:rFonts w:ascii="Times New Roman" w:hAnsi="Times New Roman"/>
                <w:spacing w:val="-3"/>
                <w:sz w:val="20"/>
                <w:szCs w:val="20"/>
                <w:lang w:val="lt-LT"/>
              </w:rPr>
              <w:t>VATESI raštas</w:t>
            </w:r>
          </w:p>
        </w:tc>
        <w:tc>
          <w:tcPr>
            <w:tcW w:w="1276" w:type="dxa"/>
            <w:shd w:val="clear" w:color="auto" w:fill="FFFFFF" w:themeFill="background1"/>
            <w:tcMar>
              <w:top w:w="0" w:type="dxa"/>
              <w:left w:w="108" w:type="dxa"/>
              <w:bottom w:w="0" w:type="dxa"/>
              <w:right w:w="108" w:type="dxa"/>
            </w:tcMar>
            <w:vAlign w:val="center"/>
          </w:tcPr>
          <w:p w14:paraId="60ABAF3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color w:val="FF0000"/>
                <w:sz w:val="20"/>
                <w:szCs w:val="20"/>
                <w:lang w:val="lt-LT"/>
              </w:rPr>
              <w:t>neįvykdytas</w:t>
            </w:r>
          </w:p>
        </w:tc>
        <w:tc>
          <w:tcPr>
            <w:tcW w:w="3135" w:type="dxa"/>
            <w:shd w:val="clear" w:color="auto" w:fill="FFFFFF" w:themeFill="background1"/>
            <w:tcMar>
              <w:top w:w="0" w:type="dxa"/>
              <w:left w:w="108" w:type="dxa"/>
              <w:bottom w:w="0" w:type="dxa"/>
              <w:right w:w="108" w:type="dxa"/>
            </w:tcMar>
            <w:vAlign w:val="center"/>
          </w:tcPr>
          <w:p w14:paraId="356DA8A6" w14:textId="77777777" w:rsidR="00451A59" w:rsidRPr="00451A59" w:rsidRDefault="00451A59" w:rsidP="00451A59">
            <w:pPr>
              <w:shd w:val="clear" w:color="auto" w:fill="FFFFFF" w:themeFill="background1"/>
              <w:spacing w:before="80" w:after="40"/>
              <w:rPr>
                <w:rFonts w:ascii="Times New Roman" w:hAnsi="Times New Roman"/>
                <w:i/>
                <w:iCs/>
                <w:spacing w:val="-3"/>
                <w:sz w:val="20"/>
                <w:szCs w:val="20"/>
                <w:lang w:val="lt-LT"/>
              </w:rPr>
            </w:pPr>
            <w:r w:rsidRPr="00451A59">
              <w:rPr>
                <w:rFonts w:ascii="Times New Roman" w:hAnsi="Times New Roman"/>
                <w:i/>
                <w:iCs/>
                <w:spacing w:val="-3"/>
                <w:sz w:val="20"/>
                <w:szCs w:val="20"/>
                <w:lang w:val="lt-LT"/>
              </w:rPr>
              <w:t>Projekto derinimas vykdomas kartu su A1 bloko nuklidinio vektoriaus ataskaitos derinimu - rengiant dokumentus, kelis kartus buvo perskaičiuoti duomenys pagal atliekų srautus.</w:t>
            </w:r>
          </w:p>
          <w:p w14:paraId="4AEBAFB6" w14:textId="20D54F95" w:rsidR="00451A59" w:rsidRPr="00451A59" w:rsidRDefault="00451A59" w:rsidP="00451A59">
            <w:pPr>
              <w:shd w:val="clear" w:color="auto" w:fill="FFFFFF" w:themeFill="background1"/>
              <w:rPr>
                <w:rFonts w:ascii="Times New Roman" w:hAnsi="Times New Roman"/>
                <w:sz w:val="20"/>
                <w:szCs w:val="20"/>
                <w:lang w:val="lt-LT"/>
              </w:rPr>
            </w:pPr>
            <w:r w:rsidRPr="00451A59">
              <w:rPr>
                <w:rFonts w:ascii="Times New Roman" w:hAnsi="Times New Roman"/>
                <w:i/>
                <w:iCs/>
                <w:spacing w:val="-3"/>
                <w:sz w:val="20"/>
                <w:szCs w:val="20"/>
                <w:lang w:val="lt-LT"/>
              </w:rPr>
              <w:t>Rengiant atsakymus į VATESI komentarus – Radiacinės saugos skyriaus personalo trūkumas.</w:t>
            </w:r>
          </w:p>
        </w:tc>
      </w:tr>
      <w:tr w:rsidR="00451A59" w:rsidRPr="00451A59" w14:paraId="6E3F8380" w14:textId="77777777" w:rsidTr="00D7567A">
        <w:trPr>
          <w:trHeight w:val="410"/>
        </w:trPr>
        <w:tc>
          <w:tcPr>
            <w:tcW w:w="694" w:type="dxa"/>
            <w:tcMar>
              <w:top w:w="0" w:type="dxa"/>
              <w:left w:w="108" w:type="dxa"/>
              <w:bottom w:w="0" w:type="dxa"/>
              <w:right w:w="108" w:type="dxa"/>
            </w:tcMar>
            <w:vAlign w:val="center"/>
          </w:tcPr>
          <w:p w14:paraId="52368BD2"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shd w:val="clear" w:color="auto" w:fill="FFFFFF" w:themeFill="background1"/>
            <w:tcMar>
              <w:top w:w="0" w:type="dxa"/>
              <w:left w:w="108" w:type="dxa"/>
              <w:bottom w:w="0" w:type="dxa"/>
              <w:right w:w="108" w:type="dxa"/>
            </w:tcMar>
            <w:vAlign w:val="center"/>
          </w:tcPr>
          <w:p w14:paraId="119EDC72" w14:textId="77777777" w:rsidR="00451A59" w:rsidRPr="00451A59" w:rsidRDefault="00451A59" w:rsidP="00451A59">
            <w:pPr>
              <w:shd w:val="clear" w:color="auto" w:fill="FFFFFF" w:themeFill="background1"/>
              <w:spacing w:line="276" w:lineRule="auto"/>
              <w:jc w:val="center"/>
              <w:rPr>
                <w:spacing w:val="-3"/>
                <w:sz w:val="19"/>
                <w:szCs w:val="19"/>
                <w:lang w:val="lt-LT"/>
              </w:rPr>
            </w:pPr>
          </w:p>
        </w:tc>
        <w:tc>
          <w:tcPr>
            <w:tcW w:w="2533" w:type="dxa"/>
            <w:vMerge/>
            <w:shd w:val="clear" w:color="auto" w:fill="FFFFFF" w:themeFill="background1"/>
            <w:vAlign w:val="center"/>
          </w:tcPr>
          <w:p w14:paraId="167BBD23" w14:textId="77777777" w:rsidR="00451A59" w:rsidRPr="00451A59" w:rsidRDefault="00451A59" w:rsidP="00451A59">
            <w:pPr>
              <w:shd w:val="clear" w:color="auto" w:fill="FFFFFF" w:themeFill="background1"/>
              <w:ind w:left="107" w:right="142"/>
              <w:jc w:val="both"/>
              <w:rPr>
                <w:rFonts w:ascii="Times New Roman" w:hAnsi="Times New Roman"/>
                <w:color w:val="000000"/>
                <w:spacing w:val="-3"/>
                <w:sz w:val="20"/>
                <w:szCs w:val="20"/>
                <w:lang w:val="lt-LT"/>
              </w:rPr>
            </w:pPr>
          </w:p>
        </w:tc>
        <w:tc>
          <w:tcPr>
            <w:tcW w:w="3260" w:type="dxa"/>
            <w:shd w:val="clear" w:color="auto" w:fill="FFFFFF" w:themeFill="background1"/>
          </w:tcPr>
          <w:p w14:paraId="24139247" w14:textId="77777777" w:rsidR="00451A59" w:rsidRPr="00451A59" w:rsidRDefault="00451A59" w:rsidP="00451A59">
            <w:pPr>
              <w:pStyle w:val="ListParagraph"/>
              <w:numPr>
                <w:ilvl w:val="0"/>
                <w:numId w:val="25"/>
              </w:numPr>
              <w:shd w:val="clear" w:color="auto" w:fill="FFFFFF" w:themeFill="background1"/>
              <w:tabs>
                <w:tab w:val="left" w:pos="448"/>
              </w:tabs>
              <w:ind w:right="141"/>
              <w:jc w:val="both"/>
              <w:rPr>
                <w:rFonts w:ascii="Times New Roman" w:hAnsi="Times New Roman"/>
                <w:color w:val="000000"/>
                <w:spacing w:val="-3"/>
                <w:sz w:val="20"/>
                <w:szCs w:val="20"/>
              </w:rPr>
            </w:pPr>
            <w:r w:rsidRPr="00451A59">
              <w:rPr>
                <w:rFonts w:ascii="Times New Roman" w:hAnsi="Times New Roman"/>
                <w:color w:val="000000"/>
                <w:spacing w:val="-3"/>
                <w:sz w:val="20"/>
                <w:szCs w:val="20"/>
              </w:rPr>
              <w:t>Projekto uždirbtos vertės metodo rodikliai SPI ir CPI, santykiniai dydžiai</w:t>
            </w:r>
          </w:p>
        </w:tc>
        <w:tc>
          <w:tcPr>
            <w:tcW w:w="851" w:type="dxa"/>
            <w:shd w:val="clear" w:color="auto" w:fill="FFFFFF" w:themeFill="background1"/>
            <w:vAlign w:val="center"/>
          </w:tcPr>
          <w:p w14:paraId="1DDF67DD"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shd w:val="clear" w:color="auto" w:fill="FFFFFF" w:themeFill="background1"/>
            <w:vAlign w:val="center"/>
          </w:tcPr>
          <w:p w14:paraId="1EA05A5C" w14:textId="77777777" w:rsidR="00451A59" w:rsidRPr="00451A59" w:rsidRDefault="00451A59" w:rsidP="00451A59">
            <w:pPr>
              <w:shd w:val="clear" w:color="auto" w:fill="FFFFFF" w:themeFill="background1"/>
              <w:spacing w:line="276" w:lineRule="auto"/>
              <w:ind w:left="142" w:right="139"/>
              <w:rPr>
                <w:rFonts w:ascii="Times New Roman" w:hAnsi="Times New Roman"/>
                <w:spacing w:val="-3"/>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08B7436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color w:val="FF0000"/>
                <w:sz w:val="20"/>
                <w:szCs w:val="20"/>
                <w:lang w:val="lt-LT"/>
              </w:rPr>
              <w:t>neįvykdytas</w:t>
            </w:r>
          </w:p>
        </w:tc>
        <w:tc>
          <w:tcPr>
            <w:tcW w:w="3135" w:type="dxa"/>
            <w:shd w:val="clear" w:color="auto" w:fill="FFFFFF" w:themeFill="background1"/>
            <w:tcMar>
              <w:top w:w="0" w:type="dxa"/>
              <w:left w:w="108" w:type="dxa"/>
              <w:bottom w:w="0" w:type="dxa"/>
              <w:right w:w="108" w:type="dxa"/>
            </w:tcMar>
            <w:vAlign w:val="center"/>
          </w:tcPr>
          <w:p w14:paraId="79A29BC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Žr. 6.3.1.1</w:t>
            </w:r>
          </w:p>
        </w:tc>
      </w:tr>
      <w:tr w:rsidR="00451A59" w:rsidRPr="00451A59" w14:paraId="6FFF7F3F" w14:textId="77777777" w:rsidTr="00D7567A">
        <w:trPr>
          <w:trHeight w:val="410"/>
        </w:trPr>
        <w:tc>
          <w:tcPr>
            <w:tcW w:w="694" w:type="dxa"/>
            <w:tcMar>
              <w:top w:w="0" w:type="dxa"/>
              <w:left w:w="108" w:type="dxa"/>
              <w:bottom w:w="0" w:type="dxa"/>
              <w:right w:w="108" w:type="dxa"/>
            </w:tcMar>
            <w:vAlign w:val="center"/>
          </w:tcPr>
          <w:p w14:paraId="15A4ADBA"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69A9858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6.1.3.2</w:t>
            </w:r>
          </w:p>
        </w:tc>
        <w:tc>
          <w:tcPr>
            <w:tcW w:w="2533" w:type="dxa"/>
            <w:vMerge w:val="restart"/>
            <w:vAlign w:val="center"/>
          </w:tcPr>
          <w:p w14:paraId="27742E10"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 xml:space="preserve">Parengti UP01 projekto (Pirmojo bloko reaktoriaus įrenginio išmontavimas) R3 </w:t>
            </w:r>
            <w:r w:rsidRPr="00451A59">
              <w:rPr>
                <w:rFonts w:ascii="Times New Roman" w:hAnsi="Times New Roman"/>
                <w:sz w:val="20"/>
                <w:szCs w:val="20"/>
                <w:lang w:val="lt-LT"/>
              </w:rPr>
              <w:lastRenderedPageBreak/>
              <w:t>zonos (reaktoriaus aktyvioji zona ir biologinė apsauga) išmontavimo ir dezaktyvavimo projektinę dokumentaciją (priemonė bus įvykdyta 2026 m., planuota 2020 m.)</w:t>
            </w:r>
          </w:p>
        </w:tc>
        <w:tc>
          <w:tcPr>
            <w:tcW w:w="3260" w:type="dxa"/>
            <w:vAlign w:val="center"/>
          </w:tcPr>
          <w:p w14:paraId="2F17E11F"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lastRenderedPageBreak/>
              <w:t xml:space="preserve">1. Suderinta su CPVA techninė specifikacija reaktoriaus išmontavimo varianto parinkimo ir </w:t>
            </w:r>
            <w:r w:rsidRPr="00451A59">
              <w:rPr>
                <w:rFonts w:ascii="Times New Roman" w:hAnsi="Times New Roman"/>
                <w:sz w:val="20"/>
                <w:szCs w:val="20"/>
                <w:lang w:val="lt-LT"/>
              </w:rPr>
              <w:lastRenderedPageBreak/>
              <w:t>PAVA rengimo paslaugai pirkti (planuota 2018 m.)</w:t>
            </w:r>
          </w:p>
        </w:tc>
        <w:tc>
          <w:tcPr>
            <w:tcW w:w="851" w:type="dxa"/>
            <w:vAlign w:val="center"/>
          </w:tcPr>
          <w:p w14:paraId="42243CC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lastRenderedPageBreak/>
              <w:t>II</w:t>
            </w:r>
          </w:p>
        </w:tc>
        <w:tc>
          <w:tcPr>
            <w:tcW w:w="1436" w:type="dxa"/>
            <w:vAlign w:val="center"/>
          </w:tcPr>
          <w:p w14:paraId="033C61F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Suderinta su CPVA</w:t>
            </w:r>
          </w:p>
        </w:tc>
        <w:tc>
          <w:tcPr>
            <w:tcW w:w="1276" w:type="dxa"/>
            <w:tcMar>
              <w:top w:w="0" w:type="dxa"/>
              <w:left w:w="108" w:type="dxa"/>
              <w:bottom w:w="0" w:type="dxa"/>
              <w:right w:w="108" w:type="dxa"/>
            </w:tcMar>
            <w:vAlign w:val="center"/>
          </w:tcPr>
          <w:p w14:paraId="3E86A84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 (IV ketv. pavėluotai)</w:t>
            </w:r>
          </w:p>
        </w:tc>
        <w:tc>
          <w:tcPr>
            <w:tcW w:w="3135" w:type="dxa"/>
            <w:tcMar>
              <w:top w:w="0" w:type="dxa"/>
              <w:left w:w="108" w:type="dxa"/>
              <w:bottom w:w="0" w:type="dxa"/>
              <w:right w:w="108" w:type="dxa"/>
            </w:tcMar>
          </w:tcPr>
          <w:p w14:paraId="4EF389EF" w14:textId="77777777" w:rsidR="00451A59" w:rsidRPr="00451A59" w:rsidRDefault="00451A59" w:rsidP="00451A59">
            <w:pPr>
              <w:pStyle w:val="ListParagraph"/>
              <w:numPr>
                <w:ilvl w:val="0"/>
                <w:numId w:val="15"/>
              </w:numPr>
              <w:shd w:val="clear" w:color="auto" w:fill="FFFFFF" w:themeFill="background1"/>
              <w:ind w:left="33" w:hanging="720"/>
              <w:jc w:val="both"/>
              <w:rPr>
                <w:rFonts w:ascii="Times New Roman" w:hAnsi="Times New Roman"/>
                <w:sz w:val="20"/>
                <w:szCs w:val="20"/>
              </w:rPr>
            </w:pPr>
          </w:p>
        </w:tc>
      </w:tr>
      <w:tr w:rsidR="00451A59" w:rsidRPr="00451A59" w14:paraId="37ED09C1" w14:textId="77777777" w:rsidTr="00D7567A">
        <w:trPr>
          <w:trHeight w:val="410"/>
        </w:trPr>
        <w:tc>
          <w:tcPr>
            <w:tcW w:w="694" w:type="dxa"/>
            <w:tcMar>
              <w:top w:w="0" w:type="dxa"/>
              <w:left w:w="108" w:type="dxa"/>
              <w:bottom w:w="0" w:type="dxa"/>
              <w:right w:w="108" w:type="dxa"/>
            </w:tcMar>
            <w:vAlign w:val="center"/>
          </w:tcPr>
          <w:p w14:paraId="37C18388"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5DFC4C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48C23D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4F47AF05"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  Paskelbtas konkursas reaktoriaus išmontavimo varianto parinkimo ir PAVA rengimo paslaugai vykdyti (planuota 2018 m.)</w:t>
            </w:r>
          </w:p>
        </w:tc>
        <w:tc>
          <w:tcPr>
            <w:tcW w:w="851" w:type="dxa"/>
            <w:vAlign w:val="center"/>
          </w:tcPr>
          <w:p w14:paraId="0C122A56"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2FEEDEB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Paskelbtas konkursas</w:t>
            </w:r>
          </w:p>
        </w:tc>
        <w:tc>
          <w:tcPr>
            <w:tcW w:w="1276" w:type="dxa"/>
            <w:tcMar>
              <w:top w:w="0" w:type="dxa"/>
              <w:left w:w="108" w:type="dxa"/>
              <w:bottom w:w="0" w:type="dxa"/>
              <w:right w:w="108" w:type="dxa"/>
            </w:tcMar>
            <w:vAlign w:val="center"/>
          </w:tcPr>
          <w:p w14:paraId="79E2D22B"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tcPr>
          <w:p w14:paraId="20CB724F" w14:textId="3BEDF875" w:rsidR="00451A59" w:rsidRPr="00451A59" w:rsidRDefault="00451A59" w:rsidP="00451A59">
            <w:pPr>
              <w:shd w:val="clear" w:color="auto" w:fill="FFFFFF" w:themeFill="background1"/>
              <w:spacing w:line="228" w:lineRule="auto"/>
              <w:rPr>
                <w:rFonts w:ascii="Times New Roman" w:hAnsi="Times New Roman"/>
                <w:spacing w:val="-3"/>
                <w:sz w:val="20"/>
                <w:szCs w:val="20"/>
                <w:lang w:val="lt-LT"/>
              </w:rPr>
            </w:pPr>
            <w:r w:rsidRPr="00451A59">
              <w:rPr>
                <w:rFonts w:ascii="Times New Roman" w:hAnsi="Times New Roman"/>
                <w:i/>
                <w:spacing w:val="-3"/>
                <w:sz w:val="20"/>
                <w:szCs w:val="20"/>
                <w:lang w:val="lt-LT"/>
              </w:rPr>
              <w:t>Iki galo neužbaigti rengti pirkimo dokumentai</w:t>
            </w:r>
            <w:r w:rsidRPr="00451A59">
              <w:rPr>
                <w:rFonts w:ascii="Times New Roman" w:hAnsi="Times New Roman"/>
                <w:spacing w:val="-3"/>
                <w:sz w:val="20"/>
                <w:szCs w:val="20"/>
                <w:lang w:val="lt-LT"/>
              </w:rPr>
              <w:t>.</w:t>
            </w:r>
          </w:p>
        </w:tc>
      </w:tr>
      <w:tr w:rsidR="00451A59" w:rsidRPr="00451A59" w14:paraId="1807B976" w14:textId="77777777" w:rsidTr="00D7567A">
        <w:trPr>
          <w:trHeight w:val="410"/>
        </w:trPr>
        <w:tc>
          <w:tcPr>
            <w:tcW w:w="694" w:type="dxa"/>
            <w:tcMar>
              <w:top w:w="0" w:type="dxa"/>
              <w:left w:w="108" w:type="dxa"/>
              <w:bottom w:w="0" w:type="dxa"/>
              <w:right w:w="108" w:type="dxa"/>
            </w:tcMar>
            <w:vAlign w:val="center"/>
          </w:tcPr>
          <w:p w14:paraId="1B9C0EC7"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CEF9DB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F8262E1"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Align w:val="bottom"/>
          </w:tcPr>
          <w:p w14:paraId="68180CB4"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3. Projekto uždirbtos vertės metodo rodikliai SPI ir CPI, santykiniai dydžiai</w:t>
            </w:r>
          </w:p>
        </w:tc>
        <w:tc>
          <w:tcPr>
            <w:tcW w:w="851" w:type="dxa"/>
            <w:vAlign w:val="center"/>
          </w:tcPr>
          <w:p w14:paraId="7DAC53B7"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57149D1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4CDCA207"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740B25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D91F50A" w14:textId="77777777" w:rsidTr="00D7567A">
        <w:trPr>
          <w:trHeight w:val="652"/>
        </w:trPr>
        <w:tc>
          <w:tcPr>
            <w:tcW w:w="694" w:type="dxa"/>
            <w:tcMar>
              <w:top w:w="0" w:type="dxa"/>
              <w:left w:w="108" w:type="dxa"/>
              <w:bottom w:w="0" w:type="dxa"/>
              <w:right w:w="108" w:type="dxa"/>
            </w:tcMar>
            <w:vAlign w:val="center"/>
          </w:tcPr>
          <w:p w14:paraId="7B629A43"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10C4F79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6.1.3.3</w:t>
            </w:r>
          </w:p>
        </w:tc>
        <w:tc>
          <w:tcPr>
            <w:tcW w:w="2533" w:type="dxa"/>
            <w:vMerge w:val="restart"/>
            <w:vAlign w:val="center"/>
          </w:tcPr>
          <w:p w14:paraId="6F5B7AC7"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Parengti A1 bloko (reaktoriaus ir jo sistemų patalpos) išmontavimo ir dezaktyvavimo projektinę dokumentaciją (priemonė bus įvykdyta 2020 m., planuota 2016 m.)</w:t>
            </w:r>
          </w:p>
        </w:tc>
        <w:tc>
          <w:tcPr>
            <w:tcW w:w="3260" w:type="dxa"/>
            <w:vAlign w:val="center"/>
          </w:tcPr>
          <w:p w14:paraId="23820819"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1. Gautas VATESI leidimas perkrovimo mašinos išmontavimui</w:t>
            </w:r>
          </w:p>
        </w:tc>
        <w:tc>
          <w:tcPr>
            <w:tcW w:w="851" w:type="dxa"/>
            <w:vAlign w:val="center"/>
          </w:tcPr>
          <w:p w14:paraId="4E7D7ED3"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3F77330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VATESI leidimas</w:t>
            </w:r>
          </w:p>
        </w:tc>
        <w:tc>
          <w:tcPr>
            <w:tcW w:w="1276" w:type="dxa"/>
            <w:tcMar>
              <w:top w:w="0" w:type="dxa"/>
              <w:left w:w="108" w:type="dxa"/>
              <w:bottom w:w="0" w:type="dxa"/>
              <w:right w:w="108" w:type="dxa"/>
            </w:tcMar>
            <w:vAlign w:val="center"/>
          </w:tcPr>
          <w:p w14:paraId="5AED6D3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1845A8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2F3DF3" w14:paraId="1F8E28F3" w14:textId="77777777" w:rsidTr="00D7567A">
        <w:trPr>
          <w:trHeight w:val="410"/>
        </w:trPr>
        <w:tc>
          <w:tcPr>
            <w:tcW w:w="694" w:type="dxa"/>
            <w:tcMar>
              <w:top w:w="0" w:type="dxa"/>
              <w:left w:w="108" w:type="dxa"/>
              <w:bottom w:w="0" w:type="dxa"/>
              <w:right w:w="108" w:type="dxa"/>
            </w:tcMar>
            <w:vAlign w:val="center"/>
          </w:tcPr>
          <w:p w14:paraId="53724E1C"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32B5AF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14DAAEC"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Align w:val="center"/>
          </w:tcPr>
          <w:p w14:paraId="6BA2D681"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2. Projekto uždirbtos vertės metodo rodikliai SPI ir CPI, santykiniai dydžiai</w:t>
            </w:r>
          </w:p>
        </w:tc>
        <w:tc>
          <w:tcPr>
            <w:tcW w:w="851" w:type="dxa"/>
            <w:vAlign w:val="center"/>
          </w:tcPr>
          <w:p w14:paraId="610C0A9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25FF739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54031451"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152F4FCE" w14:textId="349738E2" w:rsidR="00451A59" w:rsidRPr="00451A59" w:rsidRDefault="00451A59" w:rsidP="00451A59">
            <w:pPr>
              <w:shd w:val="clear" w:color="auto" w:fill="FFFFFF" w:themeFill="background1"/>
              <w:tabs>
                <w:tab w:val="left" w:pos="317"/>
              </w:tabs>
              <w:spacing w:line="228" w:lineRule="auto"/>
              <w:rPr>
                <w:rFonts w:ascii="Times New Roman" w:eastAsia="Times New Roman" w:hAnsi="Times New Roman"/>
                <w:spacing w:val="-3"/>
                <w:sz w:val="20"/>
                <w:szCs w:val="20"/>
                <w:lang w:val="lt-LT"/>
              </w:rPr>
            </w:pPr>
            <w:r w:rsidRPr="00451A59">
              <w:rPr>
                <w:rFonts w:ascii="Times New Roman" w:eastAsia="Times New Roman" w:hAnsi="Times New Roman"/>
                <w:spacing w:val="-3"/>
                <w:sz w:val="20"/>
                <w:szCs w:val="20"/>
                <w:lang w:val="lt-LT"/>
              </w:rPr>
              <w:t>Laiku n</w:t>
            </w:r>
            <w:r>
              <w:rPr>
                <w:rFonts w:ascii="Times New Roman" w:eastAsia="Times New Roman" w:hAnsi="Times New Roman"/>
                <w:spacing w:val="-3"/>
                <w:sz w:val="20"/>
                <w:szCs w:val="20"/>
                <w:lang w:val="lt-LT"/>
              </w:rPr>
              <w:t>e</w:t>
            </w:r>
            <w:r w:rsidRPr="00451A59">
              <w:rPr>
                <w:rFonts w:ascii="Times New Roman" w:eastAsia="Times New Roman" w:hAnsi="Times New Roman"/>
                <w:spacing w:val="-3"/>
                <w:sz w:val="20"/>
                <w:szCs w:val="20"/>
                <w:lang w:val="lt-LT"/>
              </w:rPr>
              <w:t>buvo pradėti ši</w:t>
            </w:r>
            <w:r>
              <w:rPr>
                <w:rFonts w:ascii="Times New Roman" w:eastAsia="Times New Roman" w:hAnsi="Times New Roman"/>
                <w:spacing w:val="-3"/>
                <w:sz w:val="20"/>
                <w:szCs w:val="20"/>
                <w:lang w:val="lt-LT"/>
              </w:rPr>
              <w:t>e</w:t>
            </w:r>
            <w:r w:rsidRPr="00451A59">
              <w:rPr>
                <w:rFonts w:ascii="Times New Roman" w:eastAsia="Times New Roman" w:hAnsi="Times New Roman"/>
                <w:spacing w:val="-3"/>
                <w:sz w:val="20"/>
                <w:szCs w:val="20"/>
                <w:lang w:val="lt-LT"/>
              </w:rPr>
              <w:t xml:space="preserve"> darbai: </w:t>
            </w:r>
          </w:p>
          <w:p w14:paraId="53154649" w14:textId="286E1723" w:rsidR="00451A59" w:rsidRPr="00451A59" w:rsidRDefault="00451A59" w:rsidP="00451A59">
            <w:pPr>
              <w:numPr>
                <w:ilvl w:val="0"/>
                <w:numId w:val="16"/>
              </w:numPr>
              <w:shd w:val="clear" w:color="auto" w:fill="FFFFFF" w:themeFill="background1"/>
              <w:tabs>
                <w:tab w:val="left" w:pos="317"/>
              </w:tabs>
              <w:spacing w:line="228" w:lineRule="auto"/>
              <w:ind w:left="223" w:hanging="223"/>
              <w:jc w:val="both"/>
              <w:rPr>
                <w:rFonts w:ascii="Times New Roman" w:eastAsia="Times New Roman" w:hAnsi="Times New Roman"/>
                <w:spacing w:val="-3"/>
                <w:sz w:val="20"/>
                <w:szCs w:val="20"/>
                <w:lang w:val="lt-LT"/>
              </w:rPr>
            </w:pPr>
            <w:r w:rsidRPr="00451A59">
              <w:rPr>
                <w:rFonts w:ascii="Times New Roman" w:eastAsia="Times New Roman" w:hAnsi="Times New Roman"/>
                <w:spacing w:val="-3"/>
                <w:sz w:val="20"/>
                <w:szCs w:val="20"/>
                <w:lang w:val="lt-LT"/>
              </w:rPr>
              <w:t>A1 bloko kuro rinklių iškrovimo-pakrovimo mašinos išmontavimas</w:t>
            </w:r>
            <w:r>
              <w:rPr>
                <w:rFonts w:ascii="Times New Roman" w:eastAsia="Times New Roman" w:hAnsi="Times New Roman"/>
                <w:spacing w:val="-3"/>
                <w:sz w:val="20"/>
                <w:szCs w:val="20"/>
                <w:lang w:val="lt-LT"/>
              </w:rPr>
              <w:t>;</w:t>
            </w:r>
          </w:p>
          <w:p w14:paraId="72363E0D" w14:textId="227A55CF" w:rsidR="00451A59" w:rsidRPr="00451A59" w:rsidRDefault="00451A59" w:rsidP="00451A59">
            <w:pPr>
              <w:numPr>
                <w:ilvl w:val="0"/>
                <w:numId w:val="16"/>
              </w:numPr>
              <w:shd w:val="clear" w:color="auto" w:fill="FFFFFF" w:themeFill="background1"/>
              <w:tabs>
                <w:tab w:val="left" w:pos="317"/>
              </w:tabs>
              <w:spacing w:line="228" w:lineRule="auto"/>
              <w:ind w:left="33" w:firstLine="0"/>
              <w:jc w:val="both"/>
              <w:rPr>
                <w:rFonts w:ascii="Times New Roman" w:eastAsia="Times New Roman" w:hAnsi="Times New Roman"/>
                <w:spacing w:val="-3"/>
                <w:sz w:val="20"/>
                <w:szCs w:val="20"/>
                <w:lang w:val="lt-LT"/>
              </w:rPr>
            </w:pPr>
            <w:r w:rsidRPr="00451A59">
              <w:rPr>
                <w:rFonts w:ascii="Times New Roman" w:eastAsia="Times New Roman" w:hAnsi="Times New Roman"/>
                <w:spacing w:val="-3"/>
                <w:sz w:val="20"/>
                <w:szCs w:val="20"/>
                <w:lang w:val="lt-LT"/>
              </w:rPr>
              <w:t>A1 bloko kuro rinklių iškrovimo-pakrovimo mašinos  išmontavimo atliekų pirminis apdorojimas</w:t>
            </w:r>
            <w:r>
              <w:rPr>
                <w:rFonts w:ascii="Times New Roman" w:eastAsia="Times New Roman" w:hAnsi="Times New Roman"/>
                <w:spacing w:val="-3"/>
                <w:sz w:val="20"/>
                <w:szCs w:val="20"/>
                <w:lang w:val="lt-LT"/>
              </w:rPr>
              <w:t>;</w:t>
            </w:r>
          </w:p>
          <w:p w14:paraId="25F76944" w14:textId="078375C3" w:rsidR="00451A59" w:rsidRPr="00451A59" w:rsidRDefault="00451A59" w:rsidP="00451A59">
            <w:pPr>
              <w:numPr>
                <w:ilvl w:val="0"/>
                <w:numId w:val="16"/>
              </w:numPr>
              <w:shd w:val="clear" w:color="auto" w:fill="FFFFFF" w:themeFill="background1"/>
              <w:tabs>
                <w:tab w:val="left" w:pos="317"/>
              </w:tabs>
              <w:spacing w:line="228" w:lineRule="auto"/>
              <w:ind w:left="33" w:firstLine="0"/>
              <w:jc w:val="both"/>
              <w:rPr>
                <w:rFonts w:ascii="Times New Roman" w:eastAsia="Times New Roman" w:hAnsi="Times New Roman"/>
                <w:spacing w:val="-3"/>
                <w:sz w:val="20"/>
                <w:szCs w:val="20"/>
                <w:lang w:val="lt-LT"/>
              </w:rPr>
            </w:pPr>
            <w:r w:rsidRPr="00451A59">
              <w:rPr>
                <w:rFonts w:ascii="Times New Roman" w:eastAsia="Times New Roman" w:hAnsi="Times New Roman"/>
                <w:spacing w:val="-3"/>
                <w:sz w:val="20"/>
                <w:szCs w:val="20"/>
                <w:lang w:val="lt-LT"/>
              </w:rPr>
              <w:t>Radiologiniai matavimai, atliekami A1 bloko kuro rinklių iškrovimo-pakrovimo</w:t>
            </w:r>
            <w:r>
              <w:rPr>
                <w:rFonts w:ascii="Times New Roman" w:eastAsia="Times New Roman" w:hAnsi="Times New Roman"/>
                <w:spacing w:val="-3"/>
                <w:sz w:val="20"/>
                <w:szCs w:val="20"/>
                <w:lang w:val="lt-LT"/>
              </w:rPr>
              <w:t xml:space="preserve"> </w:t>
            </w:r>
            <w:r w:rsidRPr="00451A59">
              <w:rPr>
                <w:rFonts w:ascii="Times New Roman" w:eastAsia="Times New Roman" w:hAnsi="Times New Roman"/>
                <w:spacing w:val="-3"/>
                <w:sz w:val="20"/>
                <w:szCs w:val="20"/>
                <w:lang w:val="lt-LT"/>
              </w:rPr>
              <w:t>mašinos</w:t>
            </w:r>
            <w:r>
              <w:rPr>
                <w:rFonts w:ascii="Times New Roman" w:eastAsia="Times New Roman" w:hAnsi="Times New Roman"/>
                <w:spacing w:val="-3"/>
                <w:sz w:val="20"/>
                <w:szCs w:val="20"/>
                <w:lang w:val="lt-LT"/>
              </w:rPr>
              <w:t xml:space="preserve"> </w:t>
            </w:r>
            <w:r w:rsidRPr="00451A59">
              <w:rPr>
                <w:rFonts w:ascii="Times New Roman" w:eastAsia="Times New Roman" w:hAnsi="Times New Roman"/>
                <w:spacing w:val="-3"/>
                <w:sz w:val="20"/>
                <w:szCs w:val="20"/>
                <w:lang w:val="lt-LT"/>
              </w:rPr>
              <w:t>išmontavimo metu</w:t>
            </w:r>
          </w:p>
        </w:tc>
      </w:tr>
      <w:tr w:rsidR="00451A59" w:rsidRPr="00451A59" w14:paraId="5570C9B6" w14:textId="77777777" w:rsidTr="00D7567A">
        <w:trPr>
          <w:trHeight w:val="410"/>
        </w:trPr>
        <w:tc>
          <w:tcPr>
            <w:tcW w:w="694" w:type="dxa"/>
            <w:tcMar>
              <w:top w:w="0" w:type="dxa"/>
              <w:left w:w="108" w:type="dxa"/>
              <w:bottom w:w="0" w:type="dxa"/>
              <w:right w:w="108" w:type="dxa"/>
            </w:tcMar>
            <w:vAlign w:val="center"/>
          </w:tcPr>
          <w:p w14:paraId="2BC5C48D"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5D1219A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6.1.3.4</w:t>
            </w:r>
          </w:p>
        </w:tc>
        <w:tc>
          <w:tcPr>
            <w:tcW w:w="2533" w:type="dxa"/>
            <w:vMerge w:val="restart"/>
            <w:vAlign w:val="center"/>
          </w:tcPr>
          <w:p w14:paraId="1A6E2F79"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r w:rsidRPr="00451A59">
              <w:rPr>
                <w:rFonts w:ascii="Times New Roman" w:hAnsi="Times New Roman"/>
                <w:color w:val="000000"/>
                <w:spacing w:val="-3"/>
                <w:sz w:val="20"/>
                <w:szCs w:val="20"/>
                <w:lang w:val="lt-LT"/>
              </w:rPr>
              <w:t>Parengti A2 bloko (reaktoriaus ir jo sistemų patalpos) ir V2 bloko (reaktoriaus dujų kontūro ir specialiosios ventiliacijos sistemos patalpos) išmontavimo ir dezaktyvavimo projektinę dokumentaciją (priemonė bus įvykdyta 2022 m.)</w:t>
            </w:r>
          </w:p>
        </w:tc>
        <w:tc>
          <w:tcPr>
            <w:tcW w:w="3260" w:type="dxa"/>
            <w:vAlign w:val="center"/>
          </w:tcPr>
          <w:p w14:paraId="102003B6"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color w:val="000000"/>
                <w:spacing w:val="-3"/>
                <w:sz w:val="20"/>
                <w:szCs w:val="20"/>
                <w:lang w:val="lt-LT"/>
              </w:rPr>
              <w:t xml:space="preserve">Parengtas ir </w:t>
            </w:r>
            <w:r w:rsidRPr="00451A59">
              <w:rPr>
                <w:rFonts w:ascii="Times New Roman" w:hAnsi="Times New Roman"/>
                <w:spacing w:val="-3"/>
                <w:sz w:val="20"/>
                <w:szCs w:val="20"/>
                <w:lang w:val="lt-LT"/>
              </w:rPr>
              <w:t xml:space="preserve">pateiktas derinti </w:t>
            </w:r>
            <w:r w:rsidRPr="00451A59">
              <w:rPr>
                <w:rFonts w:ascii="Times New Roman" w:hAnsi="Times New Roman"/>
                <w:color w:val="000000"/>
                <w:spacing w:val="-3"/>
                <w:sz w:val="20"/>
                <w:szCs w:val="20"/>
                <w:lang w:val="lt-LT"/>
              </w:rPr>
              <w:t>VATESI išmontavimo paruošiamųjų darbų projektas</w:t>
            </w:r>
          </w:p>
        </w:tc>
        <w:tc>
          <w:tcPr>
            <w:tcW w:w="851" w:type="dxa"/>
            <w:vAlign w:val="center"/>
          </w:tcPr>
          <w:p w14:paraId="373B0CEC"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vAlign w:val="center"/>
          </w:tcPr>
          <w:p w14:paraId="6F6B8F3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Raštas VATESI</w:t>
            </w:r>
          </w:p>
        </w:tc>
        <w:tc>
          <w:tcPr>
            <w:tcW w:w="1276" w:type="dxa"/>
            <w:tcMar>
              <w:top w:w="0" w:type="dxa"/>
              <w:left w:w="108" w:type="dxa"/>
              <w:bottom w:w="0" w:type="dxa"/>
              <w:right w:w="108" w:type="dxa"/>
            </w:tcMar>
            <w:vAlign w:val="center"/>
          </w:tcPr>
          <w:p w14:paraId="0C62879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AF7F4A2" w14:textId="77777777" w:rsidR="00451A59" w:rsidRPr="00451A59" w:rsidRDefault="00451A59" w:rsidP="00451A59">
            <w:pPr>
              <w:shd w:val="clear" w:color="auto" w:fill="FFFFFF" w:themeFill="background1"/>
              <w:tabs>
                <w:tab w:val="left" w:pos="317"/>
              </w:tabs>
              <w:spacing w:line="228" w:lineRule="auto"/>
              <w:rPr>
                <w:rFonts w:ascii="Times New Roman" w:eastAsia="Times New Roman" w:hAnsi="Times New Roman"/>
                <w:spacing w:val="-3"/>
                <w:sz w:val="20"/>
                <w:szCs w:val="20"/>
                <w:lang w:val="lt-LT"/>
              </w:rPr>
            </w:pPr>
          </w:p>
        </w:tc>
      </w:tr>
      <w:tr w:rsidR="00451A59" w:rsidRPr="00451A59" w14:paraId="5D49F776" w14:textId="77777777" w:rsidTr="00D7567A">
        <w:trPr>
          <w:trHeight w:val="410"/>
        </w:trPr>
        <w:tc>
          <w:tcPr>
            <w:tcW w:w="694" w:type="dxa"/>
            <w:tcMar>
              <w:top w:w="0" w:type="dxa"/>
              <w:left w:w="108" w:type="dxa"/>
              <w:bottom w:w="0" w:type="dxa"/>
              <w:right w:w="108" w:type="dxa"/>
            </w:tcMar>
            <w:vAlign w:val="center"/>
          </w:tcPr>
          <w:p w14:paraId="62F7234E"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E125F8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1E758A4" w14:textId="77777777" w:rsidR="00451A59" w:rsidRPr="00451A59" w:rsidRDefault="00451A59" w:rsidP="00451A59">
            <w:pPr>
              <w:shd w:val="clear" w:color="auto" w:fill="FFFFFF" w:themeFill="background1"/>
              <w:ind w:left="107" w:right="142"/>
              <w:rPr>
                <w:rFonts w:ascii="Times New Roman" w:hAnsi="Times New Roman"/>
                <w:color w:val="000000"/>
                <w:spacing w:val="-3"/>
                <w:sz w:val="20"/>
                <w:szCs w:val="20"/>
                <w:lang w:val="lt-LT"/>
              </w:rPr>
            </w:pPr>
          </w:p>
        </w:tc>
        <w:tc>
          <w:tcPr>
            <w:tcW w:w="3260" w:type="dxa"/>
            <w:vAlign w:val="center"/>
          </w:tcPr>
          <w:p w14:paraId="034077EE"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Projekto uždirbtos vertės metodo rodikliai SPI ir CPI, santykiniai dydžiai</w:t>
            </w:r>
          </w:p>
        </w:tc>
        <w:tc>
          <w:tcPr>
            <w:tcW w:w="851" w:type="dxa"/>
            <w:vAlign w:val="center"/>
          </w:tcPr>
          <w:p w14:paraId="5B458B99"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vAlign w:val="center"/>
          </w:tcPr>
          <w:p w14:paraId="160957E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7F7D47C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4376C7F" w14:textId="77777777" w:rsidR="00451A59" w:rsidRPr="00451A59" w:rsidRDefault="00451A59" w:rsidP="00451A59">
            <w:pPr>
              <w:shd w:val="clear" w:color="auto" w:fill="FFFFFF" w:themeFill="background1"/>
              <w:tabs>
                <w:tab w:val="left" w:pos="317"/>
              </w:tabs>
              <w:spacing w:line="228" w:lineRule="auto"/>
              <w:rPr>
                <w:rFonts w:ascii="Times New Roman" w:eastAsia="Times New Roman" w:hAnsi="Times New Roman"/>
                <w:spacing w:val="-3"/>
                <w:sz w:val="20"/>
                <w:szCs w:val="20"/>
                <w:lang w:val="lt-LT"/>
              </w:rPr>
            </w:pPr>
          </w:p>
        </w:tc>
      </w:tr>
      <w:tr w:rsidR="00451A59" w:rsidRPr="00451A59" w14:paraId="2B69EBBE" w14:textId="77777777" w:rsidTr="00D7567A">
        <w:trPr>
          <w:trHeight w:val="410"/>
        </w:trPr>
        <w:tc>
          <w:tcPr>
            <w:tcW w:w="694" w:type="dxa"/>
            <w:tcMar>
              <w:top w:w="0" w:type="dxa"/>
              <w:left w:w="108" w:type="dxa"/>
              <w:bottom w:w="0" w:type="dxa"/>
              <w:right w:w="108" w:type="dxa"/>
            </w:tcMar>
            <w:vAlign w:val="center"/>
          </w:tcPr>
          <w:p w14:paraId="79A753F6"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234D0C5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6.1.4.1</w:t>
            </w:r>
          </w:p>
        </w:tc>
        <w:tc>
          <w:tcPr>
            <w:tcW w:w="2533" w:type="dxa"/>
            <w:vMerge w:val="restart"/>
            <w:vAlign w:val="center"/>
          </w:tcPr>
          <w:p w14:paraId="5DE01956" w14:textId="77777777" w:rsidR="00451A59" w:rsidRPr="00451A59" w:rsidRDefault="00451A59" w:rsidP="00451A59">
            <w:pPr>
              <w:shd w:val="clear" w:color="auto" w:fill="FFFFFF" w:themeFill="background1"/>
              <w:ind w:left="107" w:right="142"/>
              <w:rPr>
                <w:rFonts w:ascii="Times New Roman" w:hAnsi="Times New Roman"/>
                <w:color w:val="000000"/>
                <w:spacing w:val="-3"/>
                <w:sz w:val="20"/>
                <w:szCs w:val="20"/>
                <w:lang w:val="lt-LT"/>
              </w:rPr>
            </w:pPr>
            <w:r w:rsidRPr="00451A59">
              <w:rPr>
                <w:rFonts w:ascii="Times New Roman" w:hAnsi="Times New Roman"/>
                <w:color w:val="000000"/>
                <w:spacing w:val="-3"/>
                <w:sz w:val="20"/>
                <w:szCs w:val="20"/>
                <w:lang w:val="lt-LT"/>
              </w:rPr>
              <w:t>Išmontuoti 1-ojo bloko RĮ (R1 ir R2 zonos) (iš viso</w:t>
            </w:r>
            <w:r w:rsidRPr="00451A59">
              <w:rPr>
                <w:rFonts w:ascii="Times New Roman" w:hAnsi="Times New Roman"/>
                <w:color w:val="0000FF"/>
                <w:spacing w:val="-3"/>
                <w:sz w:val="20"/>
                <w:szCs w:val="20"/>
                <w:lang w:val="lt-LT"/>
              </w:rPr>
              <w:t xml:space="preserve"> </w:t>
            </w:r>
            <w:r w:rsidRPr="00451A59">
              <w:rPr>
                <w:rFonts w:ascii="Times New Roman" w:hAnsi="Times New Roman"/>
                <w:spacing w:val="-3"/>
                <w:sz w:val="20"/>
                <w:szCs w:val="20"/>
                <w:lang w:val="lt-LT"/>
              </w:rPr>
              <w:t>2246 t) (priemonė bus įvykdyta 2024 m.)</w:t>
            </w:r>
          </w:p>
        </w:tc>
        <w:tc>
          <w:tcPr>
            <w:tcW w:w="3260" w:type="dxa"/>
            <w:vAlign w:val="center"/>
          </w:tcPr>
          <w:p w14:paraId="7938D201"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color w:val="000000"/>
                <w:spacing w:val="-3"/>
                <w:sz w:val="20"/>
                <w:szCs w:val="20"/>
                <w:lang w:val="lt-LT"/>
              </w:rPr>
              <w:t>Išmontuota įrangos, ne mažiau nei</w:t>
            </w:r>
          </w:p>
        </w:tc>
        <w:tc>
          <w:tcPr>
            <w:tcW w:w="851" w:type="dxa"/>
            <w:vAlign w:val="center"/>
          </w:tcPr>
          <w:p w14:paraId="13DD616F"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vAlign w:val="center"/>
          </w:tcPr>
          <w:p w14:paraId="2EEF968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11 t</w:t>
            </w:r>
          </w:p>
        </w:tc>
        <w:tc>
          <w:tcPr>
            <w:tcW w:w="1276" w:type="dxa"/>
            <w:tcMar>
              <w:top w:w="0" w:type="dxa"/>
              <w:left w:w="108" w:type="dxa"/>
              <w:bottom w:w="0" w:type="dxa"/>
              <w:right w:w="108" w:type="dxa"/>
            </w:tcMar>
            <w:vAlign w:val="center"/>
          </w:tcPr>
          <w:p w14:paraId="386F4DA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103D75E" w14:textId="77777777" w:rsidR="00451A59" w:rsidRPr="00451A59" w:rsidRDefault="00451A59" w:rsidP="00451A59">
            <w:pPr>
              <w:shd w:val="clear" w:color="auto" w:fill="FFFFFF" w:themeFill="background1"/>
              <w:tabs>
                <w:tab w:val="left" w:pos="317"/>
              </w:tabs>
              <w:spacing w:line="228" w:lineRule="auto"/>
              <w:rPr>
                <w:rFonts w:ascii="Times New Roman" w:eastAsia="Times New Roman" w:hAnsi="Times New Roman"/>
                <w:spacing w:val="-3"/>
                <w:sz w:val="20"/>
                <w:szCs w:val="20"/>
                <w:lang w:val="lt-LT"/>
              </w:rPr>
            </w:pPr>
          </w:p>
        </w:tc>
      </w:tr>
      <w:tr w:rsidR="00451A59" w:rsidRPr="00451A59" w14:paraId="7A02D7F6" w14:textId="77777777" w:rsidTr="00D7567A">
        <w:trPr>
          <w:trHeight w:val="410"/>
        </w:trPr>
        <w:tc>
          <w:tcPr>
            <w:tcW w:w="694" w:type="dxa"/>
            <w:tcMar>
              <w:top w:w="0" w:type="dxa"/>
              <w:left w:w="108" w:type="dxa"/>
              <w:bottom w:w="0" w:type="dxa"/>
              <w:right w:w="108" w:type="dxa"/>
            </w:tcMar>
            <w:vAlign w:val="center"/>
          </w:tcPr>
          <w:p w14:paraId="1985B383"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9447A1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30D75FE" w14:textId="77777777" w:rsidR="00451A59" w:rsidRPr="00451A59" w:rsidRDefault="00451A59" w:rsidP="00451A59">
            <w:pPr>
              <w:shd w:val="clear" w:color="auto" w:fill="FFFFFF" w:themeFill="background1"/>
              <w:ind w:left="107" w:right="142"/>
              <w:rPr>
                <w:color w:val="000000"/>
                <w:spacing w:val="-3"/>
                <w:sz w:val="19"/>
                <w:szCs w:val="19"/>
                <w:lang w:val="lt-LT"/>
              </w:rPr>
            </w:pPr>
          </w:p>
        </w:tc>
        <w:tc>
          <w:tcPr>
            <w:tcW w:w="3260" w:type="dxa"/>
            <w:vAlign w:val="center"/>
          </w:tcPr>
          <w:p w14:paraId="06744162" w14:textId="77777777" w:rsidR="00451A59" w:rsidRPr="00451A59" w:rsidRDefault="00451A59" w:rsidP="00451A59">
            <w:pPr>
              <w:shd w:val="clear" w:color="auto" w:fill="FFFFFF" w:themeFill="background1"/>
              <w:ind w:left="107" w:right="141"/>
              <w:rPr>
                <w:color w:val="000000"/>
                <w:spacing w:val="-3"/>
                <w:sz w:val="19"/>
                <w:szCs w:val="19"/>
                <w:lang w:val="lt-LT"/>
              </w:rPr>
            </w:pPr>
            <w:r w:rsidRPr="00451A59">
              <w:rPr>
                <w:rFonts w:ascii="Times New Roman" w:hAnsi="Times New Roman"/>
                <w:sz w:val="20"/>
                <w:szCs w:val="20"/>
                <w:lang w:val="lt-LT"/>
              </w:rPr>
              <w:t>Projekto uždirbtos vertės metodo rodikliai SPI ir CPI, santykiniai dydžiai</w:t>
            </w:r>
          </w:p>
        </w:tc>
        <w:tc>
          <w:tcPr>
            <w:tcW w:w="851" w:type="dxa"/>
            <w:vAlign w:val="center"/>
          </w:tcPr>
          <w:p w14:paraId="34FCF13E"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vAlign w:val="center"/>
          </w:tcPr>
          <w:p w14:paraId="66BFAA8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61FE7A3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AA3D3D7" w14:textId="77777777" w:rsidR="00451A59" w:rsidRPr="00451A59" w:rsidRDefault="00451A59" w:rsidP="00451A59">
            <w:pPr>
              <w:shd w:val="clear" w:color="auto" w:fill="FFFFFF" w:themeFill="background1"/>
              <w:tabs>
                <w:tab w:val="left" w:pos="317"/>
              </w:tabs>
              <w:spacing w:line="228" w:lineRule="auto"/>
              <w:rPr>
                <w:rFonts w:ascii="Times New Roman" w:eastAsia="Times New Roman" w:hAnsi="Times New Roman"/>
                <w:spacing w:val="-3"/>
                <w:sz w:val="20"/>
                <w:szCs w:val="20"/>
                <w:lang w:val="lt-LT"/>
              </w:rPr>
            </w:pPr>
          </w:p>
        </w:tc>
      </w:tr>
      <w:tr w:rsidR="00451A59" w:rsidRPr="00451A59" w14:paraId="4A099261" w14:textId="77777777" w:rsidTr="00D7567A">
        <w:trPr>
          <w:trHeight w:val="410"/>
        </w:trPr>
        <w:tc>
          <w:tcPr>
            <w:tcW w:w="694" w:type="dxa"/>
            <w:tcMar>
              <w:top w:w="0" w:type="dxa"/>
              <w:left w:w="108" w:type="dxa"/>
              <w:bottom w:w="0" w:type="dxa"/>
              <w:right w:w="108" w:type="dxa"/>
            </w:tcMar>
            <w:vAlign w:val="center"/>
          </w:tcPr>
          <w:p w14:paraId="5A23F81E"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30F28B9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6.1.4.2</w:t>
            </w:r>
          </w:p>
        </w:tc>
        <w:tc>
          <w:tcPr>
            <w:tcW w:w="2533" w:type="dxa"/>
            <w:vMerge w:val="restart"/>
            <w:vAlign w:val="center"/>
          </w:tcPr>
          <w:p w14:paraId="63E0E608" w14:textId="77777777" w:rsidR="00451A59" w:rsidRPr="00451A59" w:rsidRDefault="00451A59" w:rsidP="00451A59">
            <w:pPr>
              <w:shd w:val="clear" w:color="auto" w:fill="FFFFFF" w:themeFill="background1"/>
              <w:ind w:left="107" w:right="142"/>
              <w:rPr>
                <w:rFonts w:ascii="Times New Roman" w:hAnsi="Times New Roman"/>
                <w:color w:val="000000"/>
                <w:spacing w:val="-3"/>
                <w:sz w:val="20"/>
                <w:szCs w:val="20"/>
                <w:lang w:val="lt-LT"/>
              </w:rPr>
            </w:pPr>
            <w:r w:rsidRPr="00451A59">
              <w:rPr>
                <w:rFonts w:ascii="Times New Roman" w:hAnsi="Times New Roman"/>
                <w:spacing w:val="-3"/>
                <w:sz w:val="20"/>
                <w:szCs w:val="20"/>
                <w:lang w:val="lt-LT"/>
              </w:rPr>
              <w:t>Išmontuoti A1 bloko (reaktoriaus ir jo sistemų patalpos) įrangą (liko 17148 t, iš viso 17658 t) (priemonė projekto apimtyje bus įvykdyta 2035 m.)</w:t>
            </w:r>
          </w:p>
        </w:tc>
        <w:tc>
          <w:tcPr>
            <w:tcW w:w="3260" w:type="dxa"/>
            <w:vAlign w:val="center"/>
          </w:tcPr>
          <w:p w14:paraId="45E5AF20"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color w:val="000000"/>
                <w:spacing w:val="-3"/>
                <w:sz w:val="20"/>
                <w:szCs w:val="20"/>
                <w:lang w:val="lt-LT"/>
              </w:rPr>
              <w:t>Išmontuota įrangos, ne mažiau nei</w:t>
            </w:r>
          </w:p>
        </w:tc>
        <w:tc>
          <w:tcPr>
            <w:tcW w:w="851" w:type="dxa"/>
            <w:vAlign w:val="center"/>
          </w:tcPr>
          <w:p w14:paraId="177C3FE2"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vAlign w:val="center"/>
          </w:tcPr>
          <w:p w14:paraId="14AB921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520 t</w:t>
            </w:r>
          </w:p>
        </w:tc>
        <w:tc>
          <w:tcPr>
            <w:tcW w:w="1276" w:type="dxa"/>
            <w:tcMar>
              <w:top w:w="0" w:type="dxa"/>
              <w:left w:w="108" w:type="dxa"/>
              <w:bottom w:w="0" w:type="dxa"/>
              <w:right w:w="108" w:type="dxa"/>
            </w:tcMar>
            <w:vAlign w:val="center"/>
          </w:tcPr>
          <w:p w14:paraId="1510B07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C4F5200" w14:textId="77777777" w:rsidR="00451A59" w:rsidRPr="00451A59" w:rsidRDefault="00451A59" w:rsidP="00451A59">
            <w:pPr>
              <w:shd w:val="clear" w:color="auto" w:fill="FFFFFF" w:themeFill="background1"/>
              <w:tabs>
                <w:tab w:val="left" w:pos="317"/>
              </w:tabs>
              <w:spacing w:line="228" w:lineRule="auto"/>
              <w:rPr>
                <w:rFonts w:ascii="Times New Roman" w:eastAsia="Times New Roman" w:hAnsi="Times New Roman"/>
                <w:spacing w:val="-3"/>
                <w:sz w:val="20"/>
                <w:szCs w:val="20"/>
                <w:lang w:val="lt-LT"/>
              </w:rPr>
            </w:pPr>
          </w:p>
        </w:tc>
      </w:tr>
      <w:tr w:rsidR="00451A59" w:rsidRPr="00451A59" w14:paraId="4618E0D4" w14:textId="77777777" w:rsidTr="00D7567A">
        <w:trPr>
          <w:trHeight w:val="410"/>
        </w:trPr>
        <w:tc>
          <w:tcPr>
            <w:tcW w:w="694" w:type="dxa"/>
            <w:tcMar>
              <w:top w:w="0" w:type="dxa"/>
              <w:left w:w="108" w:type="dxa"/>
              <w:bottom w:w="0" w:type="dxa"/>
              <w:right w:w="108" w:type="dxa"/>
            </w:tcMar>
            <w:vAlign w:val="center"/>
          </w:tcPr>
          <w:p w14:paraId="6C417EE8" w14:textId="77777777" w:rsidR="00451A59" w:rsidRPr="00451A59" w:rsidRDefault="00451A59" w:rsidP="00451A59">
            <w:pPr>
              <w:pStyle w:val="ListParagraph"/>
              <w:numPr>
                <w:ilvl w:val="0"/>
                <w:numId w:val="30"/>
              </w:numPr>
              <w:shd w:val="clear" w:color="auto" w:fill="FFFFFF" w:themeFill="background1"/>
              <w:spacing w:line="276"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7AE8B29"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E1D678D" w14:textId="77777777" w:rsidR="00451A59" w:rsidRPr="00451A59" w:rsidRDefault="00451A59" w:rsidP="00451A59">
            <w:pPr>
              <w:shd w:val="clear" w:color="auto" w:fill="FFFFFF" w:themeFill="background1"/>
              <w:ind w:left="107" w:right="142"/>
              <w:rPr>
                <w:color w:val="000000"/>
                <w:spacing w:val="-3"/>
                <w:sz w:val="19"/>
                <w:szCs w:val="19"/>
                <w:lang w:val="lt-LT"/>
              </w:rPr>
            </w:pPr>
          </w:p>
        </w:tc>
        <w:tc>
          <w:tcPr>
            <w:tcW w:w="3260" w:type="dxa"/>
            <w:vAlign w:val="center"/>
          </w:tcPr>
          <w:p w14:paraId="791A8D3F"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Projekto uždirbtos vertės metodo rodikliai SPI ir CPI, santykiniai dydžiai</w:t>
            </w:r>
          </w:p>
        </w:tc>
        <w:tc>
          <w:tcPr>
            <w:tcW w:w="851" w:type="dxa"/>
            <w:vAlign w:val="center"/>
          </w:tcPr>
          <w:p w14:paraId="0AA9A200" w14:textId="77777777" w:rsidR="00451A59" w:rsidRPr="00451A59" w:rsidRDefault="00451A59" w:rsidP="00451A59">
            <w:pPr>
              <w:shd w:val="clear" w:color="auto" w:fill="FFFFFF" w:themeFill="background1"/>
              <w:spacing w:line="276" w:lineRule="auto"/>
              <w:ind w:left="142" w:right="139"/>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vAlign w:val="center"/>
          </w:tcPr>
          <w:p w14:paraId="28B8941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4C15479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7691A0A" w14:textId="77777777" w:rsidR="00451A59" w:rsidRPr="00451A59" w:rsidRDefault="00451A59" w:rsidP="00451A59">
            <w:pPr>
              <w:shd w:val="clear" w:color="auto" w:fill="FFFFFF" w:themeFill="background1"/>
              <w:tabs>
                <w:tab w:val="left" w:pos="317"/>
              </w:tabs>
              <w:spacing w:line="228" w:lineRule="auto"/>
              <w:rPr>
                <w:rFonts w:ascii="Times New Roman" w:eastAsia="Times New Roman" w:hAnsi="Times New Roman"/>
                <w:spacing w:val="-3"/>
                <w:sz w:val="20"/>
                <w:szCs w:val="20"/>
                <w:lang w:val="lt-LT"/>
              </w:rPr>
            </w:pPr>
          </w:p>
        </w:tc>
      </w:tr>
      <w:tr w:rsidR="00451A59" w:rsidRPr="00451A59" w14:paraId="56AF2A40" w14:textId="77777777" w:rsidTr="00D7567A">
        <w:trPr>
          <w:trHeight w:val="408"/>
        </w:trPr>
        <w:tc>
          <w:tcPr>
            <w:tcW w:w="694" w:type="dxa"/>
            <w:tcMar>
              <w:top w:w="0" w:type="dxa"/>
              <w:left w:w="108" w:type="dxa"/>
              <w:bottom w:w="0" w:type="dxa"/>
              <w:right w:w="108" w:type="dxa"/>
            </w:tcMar>
            <w:vAlign w:val="center"/>
          </w:tcPr>
          <w:p w14:paraId="4375EDC5"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1E2F86B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6.1.4.3</w:t>
            </w:r>
          </w:p>
        </w:tc>
        <w:tc>
          <w:tcPr>
            <w:tcW w:w="2533" w:type="dxa"/>
            <w:vMerge w:val="restart"/>
            <w:vAlign w:val="center"/>
          </w:tcPr>
          <w:p w14:paraId="205006C1"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Išmontuoti</w:t>
            </w:r>
            <w:r w:rsidRPr="00451A59">
              <w:rPr>
                <w:rFonts w:ascii="Times New Roman" w:hAnsi="Times New Roman"/>
                <w:bCs/>
                <w:sz w:val="20"/>
                <w:szCs w:val="20"/>
                <w:lang w:val="lt-LT"/>
              </w:rPr>
              <w:t xml:space="preserve"> D2 bloko</w:t>
            </w:r>
            <w:r w:rsidRPr="00451A59">
              <w:rPr>
                <w:rFonts w:ascii="Times New Roman" w:hAnsi="Times New Roman"/>
                <w:sz w:val="20"/>
                <w:szCs w:val="20"/>
                <w:lang w:val="lt-LT"/>
              </w:rPr>
              <w:t xml:space="preserve"> (valdymo, elektros įrangos ir deaeratorių patalpos) įrangą (liko 7763 t, iš viso 8759 t). (Priemonė bus įvykdyta 2022 m.)</w:t>
            </w:r>
          </w:p>
        </w:tc>
        <w:tc>
          <w:tcPr>
            <w:tcW w:w="3260" w:type="dxa"/>
            <w:vMerge w:val="restart"/>
            <w:vAlign w:val="center"/>
          </w:tcPr>
          <w:p w14:paraId="391FDFA6"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1.Išmontuota įrangos, ne mažiau nei</w:t>
            </w:r>
          </w:p>
        </w:tc>
        <w:tc>
          <w:tcPr>
            <w:tcW w:w="851" w:type="dxa"/>
            <w:vAlign w:val="center"/>
          </w:tcPr>
          <w:p w14:paraId="16D3AC5D"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vAlign w:val="center"/>
          </w:tcPr>
          <w:p w14:paraId="5188231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257 t</w:t>
            </w:r>
          </w:p>
        </w:tc>
        <w:tc>
          <w:tcPr>
            <w:tcW w:w="1276" w:type="dxa"/>
            <w:tcMar>
              <w:top w:w="0" w:type="dxa"/>
              <w:left w:w="108" w:type="dxa"/>
              <w:bottom w:w="0" w:type="dxa"/>
              <w:right w:w="108" w:type="dxa"/>
            </w:tcMar>
            <w:vAlign w:val="center"/>
          </w:tcPr>
          <w:p w14:paraId="6EB6B86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2CDA7E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100EF8B" w14:textId="77777777" w:rsidTr="00D7567A">
        <w:trPr>
          <w:trHeight w:val="414"/>
        </w:trPr>
        <w:tc>
          <w:tcPr>
            <w:tcW w:w="694" w:type="dxa"/>
            <w:tcMar>
              <w:top w:w="0" w:type="dxa"/>
              <w:left w:w="108" w:type="dxa"/>
              <w:bottom w:w="0" w:type="dxa"/>
              <w:right w:w="108" w:type="dxa"/>
            </w:tcMar>
            <w:vAlign w:val="center"/>
          </w:tcPr>
          <w:p w14:paraId="18F4B14B"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E424E2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0BC378E"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5FAC2E42"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vAlign w:val="center"/>
          </w:tcPr>
          <w:p w14:paraId="6B77747D"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60BCC96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527 t</w:t>
            </w:r>
          </w:p>
        </w:tc>
        <w:tc>
          <w:tcPr>
            <w:tcW w:w="1276" w:type="dxa"/>
            <w:tcMar>
              <w:top w:w="0" w:type="dxa"/>
              <w:left w:w="108" w:type="dxa"/>
              <w:bottom w:w="0" w:type="dxa"/>
              <w:right w:w="108" w:type="dxa"/>
            </w:tcMar>
            <w:vAlign w:val="center"/>
          </w:tcPr>
          <w:p w14:paraId="4588821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0F2786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6676C42" w14:textId="77777777" w:rsidTr="00D7567A">
        <w:trPr>
          <w:trHeight w:val="414"/>
        </w:trPr>
        <w:tc>
          <w:tcPr>
            <w:tcW w:w="694" w:type="dxa"/>
            <w:tcMar>
              <w:top w:w="0" w:type="dxa"/>
              <w:left w:w="108" w:type="dxa"/>
              <w:bottom w:w="0" w:type="dxa"/>
              <w:right w:w="108" w:type="dxa"/>
            </w:tcMar>
            <w:vAlign w:val="center"/>
          </w:tcPr>
          <w:p w14:paraId="6BF253DA"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A87C06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4ED83D7"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36E7A712"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shd w:val="clear" w:color="auto" w:fill="FFFFFF" w:themeFill="background1"/>
            <w:vAlign w:val="center"/>
          </w:tcPr>
          <w:p w14:paraId="700140D1"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7B20859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797 t</w:t>
            </w:r>
          </w:p>
        </w:tc>
        <w:tc>
          <w:tcPr>
            <w:tcW w:w="1276" w:type="dxa"/>
            <w:shd w:val="clear" w:color="auto" w:fill="FFFFFF" w:themeFill="background1"/>
            <w:tcMar>
              <w:top w:w="0" w:type="dxa"/>
              <w:left w:w="108" w:type="dxa"/>
              <w:bottom w:w="0" w:type="dxa"/>
              <w:right w:w="108" w:type="dxa"/>
            </w:tcMar>
            <w:vAlign w:val="center"/>
          </w:tcPr>
          <w:p w14:paraId="29B2C34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9F9921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5C233356" w14:textId="77777777" w:rsidTr="00D7567A">
        <w:trPr>
          <w:trHeight w:val="414"/>
        </w:trPr>
        <w:tc>
          <w:tcPr>
            <w:tcW w:w="694" w:type="dxa"/>
            <w:shd w:val="clear" w:color="auto" w:fill="FFFFFF" w:themeFill="background1"/>
            <w:tcMar>
              <w:top w:w="0" w:type="dxa"/>
              <w:left w:w="108" w:type="dxa"/>
              <w:bottom w:w="0" w:type="dxa"/>
              <w:right w:w="108" w:type="dxa"/>
            </w:tcMar>
            <w:vAlign w:val="center"/>
          </w:tcPr>
          <w:p w14:paraId="48B0CDE8"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1D8246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BF89B0C"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2B60CDDD"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shd w:val="clear" w:color="auto" w:fill="FFFFFF" w:themeFill="background1"/>
            <w:vAlign w:val="center"/>
          </w:tcPr>
          <w:p w14:paraId="3BC65B19"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43A19052"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1067 t</w:t>
            </w:r>
          </w:p>
        </w:tc>
        <w:tc>
          <w:tcPr>
            <w:tcW w:w="1276" w:type="dxa"/>
            <w:shd w:val="clear" w:color="auto" w:fill="FFFFFF" w:themeFill="background1"/>
            <w:tcMar>
              <w:top w:w="0" w:type="dxa"/>
              <w:left w:w="108" w:type="dxa"/>
              <w:bottom w:w="0" w:type="dxa"/>
              <w:right w:w="108" w:type="dxa"/>
            </w:tcMar>
            <w:vAlign w:val="center"/>
          </w:tcPr>
          <w:p w14:paraId="282A632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D2A559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2DE709F" w14:textId="77777777" w:rsidTr="00D7567A">
        <w:trPr>
          <w:trHeight w:val="406"/>
        </w:trPr>
        <w:tc>
          <w:tcPr>
            <w:tcW w:w="694" w:type="dxa"/>
            <w:tcMar>
              <w:top w:w="0" w:type="dxa"/>
              <w:left w:w="108" w:type="dxa"/>
              <w:bottom w:w="0" w:type="dxa"/>
              <w:right w:w="108" w:type="dxa"/>
            </w:tcMar>
            <w:vAlign w:val="center"/>
          </w:tcPr>
          <w:p w14:paraId="4D755936"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9EC46D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8662787"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vAlign w:val="center"/>
          </w:tcPr>
          <w:p w14:paraId="32075131"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2. Projekto uždirbtos vertės metodo rodikliai SPI ir CPI, santykiniai dydžiai</w:t>
            </w:r>
          </w:p>
        </w:tc>
        <w:tc>
          <w:tcPr>
            <w:tcW w:w="851" w:type="dxa"/>
            <w:shd w:val="clear" w:color="auto" w:fill="FFFFFF" w:themeFill="background1"/>
            <w:vAlign w:val="center"/>
          </w:tcPr>
          <w:p w14:paraId="5DC294E6"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shd w:val="clear" w:color="auto" w:fill="FFFFFF" w:themeFill="background1"/>
            <w:vAlign w:val="center"/>
          </w:tcPr>
          <w:p w14:paraId="0CD71C1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335C69D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B55BA7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20AC49A" w14:textId="77777777" w:rsidTr="00D7567A">
        <w:trPr>
          <w:trHeight w:val="411"/>
        </w:trPr>
        <w:tc>
          <w:tcPr>
            <w:tcW w:w="694" w:type="dxa"/>
            <w:tcMar>
              <w:top w:w="0" w:type="dxa"/>
              <w:left w:w="108" w:type="dxa"/>
              <w:bottom w:w="0" w:type="dxa"/>
              <w:right w:w="108" w:type="dxa"/>
            </w:tcMar>
            <w:vAlign w:val="center"/>
          </w:tcPr>
          <w:p w14:paraId="4A934912"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F67120E"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02C66C0"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426E880D"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shd w:val="clear" w:color="auto" w:fill="FFFFFF" w:themeFill="background1"/>
            <w:vAlign w:val="center"/>
          </w:tcPr>
          <w:p w14:paraId="25662C53"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5BBF269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4F38892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6F1B71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B8F97EE" w14:textId="77777777" w:rsidTr="00D7567A">
        <w:trPr>
          <w:trHeight w:val="411"/>
        </w:trPr>
        <w:tc>
          <w:tcPr>
            <w:tcW w:w="694" w:type="dxa"/>
            <w:tcMar>
              <w:top w:w="0" w:type="dxa"/>
              <w:left w:w="108" w:type="dxa"/>
              <w:bottom w:w="0" w:type="dxa"/>
              <w:right w:w="108" w:type="dxa"/>
            </w:tcMar>
            <w:vAlign w:val="center"/>
          </w:tcPr>
          <w:p w14:paraId="32252575"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561AC75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C5EBD55"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39924676"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shd w:val="clear" w:color="auto" w:fill="FFFFFF" w:themeFill="background1"/>
            <w:vAlign w:val="center"/>
          </w:tcPr>
          <w:p w14:paraId="3BA5FBE0"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69BCA68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054C6C7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5FE91320" w14:textId="77777777" w:rsidR="00451A59" w:rsidRPr="00451A59" w:rsidRDefault="00451A59" w:rsidP="00451A59">
            <w:pPr>
              <w:shd w:val="clear" w:color="auto" w:fill="FFFFFF" w:themeFill="background1"/>
              <w:jc w:val="center"/>
              <w:rPr>
                <w:rFonts w:ascii="Times New Roman" w:hAnsi="Times New Roman"/>
                <w:b/>
                <w:sz w:val="20"/>
                <w:szCs w:val="20"/>
                <w:lang w:val="lt-LT"/>
              </w:rPr>
            </w:pPr>
            <w:r w:rsidRPr="00451A59">
              <w:rPr>
                <w:rFonts w:ascii="Times New Roman" w:hAnsi="Times New Roman"/>
                <w:sz w:val="20"/>
                <w:szCs w:val="20"/>
                <w:lang w:val="lt-LT"/>
              </w:rPr>
              <w:t>-</w:t>
            </w:r>
          </w:p>
        </w:tc>
      </w:tr>
      <w:tr w:rsidR="00451A59" w:rsidRPr="00451A59" w14:paraId="15037452" w14:textId="77777777" w:rsidTr="00D7567A">
        <w:trPr>
          <w:trHeight w:val="411"/>
        </w:trPr>
        <w:tc>
          <w:tcPr>
            <w:tcW w:w="694" w:type="dxa"/>
            <w:tcMar>
              <w:top w:w="0" w:type="dxa"/>
              <w:left w:w="108" w:type="dxa"/>
              <w:bottom w:w="0" w:type="dxa"/>
              <w:right w:w="108" w:type="dxa"/>
            </w:tcMar>
            <w:vAlign w:val="center"/>
          </w:tcPr>
          <w:p w14:paraId="1EC44F1E"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C1BFA9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868E0F4"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3A8A9462"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shd w:val="clear" w:color="auto" w:fill="FFFFFF" w:themeFill="background1"/>
            <w:vAlign w:val="center"/>
          </w:tcPr>
          <w:p w14:paraId="716B3FBA"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3A78B16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433A15A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65E919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1731CDF" w14:textId="77777777" w:rsidTr="00D7567A">
        <w:trPr>
          <w:trHeight w:val="403"/>
        </w:trPr>
        <w:tc>
          <w:tcPr>
            <w:tcW w:w="694" w:type="dxa"/>
            <w:tcMar>
              <w:top w:w="0" w:type="dxa"/>
              <w:left w:w="108" w:type="dxa"/>
              <w:bottom w:w="0" w:type="dxa"/>
              <w:right w:w="108" w:type="dxa"/>
            </w:tcMar>
            <w:vAlign w:val="center"/>
          </w:tcPr>
          <w:p w14:paraId="40921EF1"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40B9E36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6.1.4.4</w:t>
            </w:r>
          </w:p>
        </w:tc>
        <w:tc>
          <w:tcPr>
            <w:tcW w:w="2533" w:type="dxa"/>
            <w:vMerge w:val="restart"/>
            <w:vAlign w:val="center"/>
          </w:tcPr>
          <w:p w14:paraId="36550CA8"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 xml:space="preserve">Išmontuoti </w:t>
            </w:r>
            <w:r w:rsidRPr="00451A59">
              <w:rPr>
                <w:rFonts w:ascii="Times New Roman" w:hAnsi="Times New Roman"/>
                <w:bCs/>
                <w:sz w:val="20"/>
                <w:szCs w:val="20"/>
                <w:lang w:val="lt-LT"/>
              </w:rPr>
              <w:t>G1 bloko</w:t>
            </w:r>
            <w:r w:rsidRPr="00451A59">
              <w:rPr>
                <w:rFonts w:ascii="Times New Roman" w:hAnsi="Times New Roman"/>
                <w:b/>
                <w:bCs/>
                <w:sz w:val="20"/>
                <w:szCs w:val="20"/>
                <w:lang w:val="lt-LT"/>
              </w:rPr>
              <w:t xml:space="preserve"> </w:t>
            </w:r>
            <w:r w:rsidRPr="00451A59">
              <w:rPr>
                <w:rFonts w:ascii="Times New Roman" w:hAnsi="Times New Roman"/>
                <w:sz w:val="20"/>
                <w:szCs w:val="20"/>
                <w:lang w:val="lt-LT"/>
              </w:rPr>
              <w:t>(turbinų ir generatorių su pagalbinėmis sistemomis patalpos) įrangą (liko 5395 t, iš viso 23915 t) (priemonė bus įvykdyta 2019 m.)</w:t>
            </w:r>
          </w:p>
        </w:tc>
        <w:tc>
          <w:tcPr>
            <w:tcW w:w="3260" w:type="dxa"/>
            <w:vMerge w:val="restart"/>
            <w:vAlign w:val="center"/>
          </w:tcPr>
          <w:p w14:paraId="77D34BA4"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1.Išmontuota įrangos, ne mažiau nei</w:t>
            </w:r>
          </w:p>
        </w:tc>
        <w:tc>
          <w:tcPr>
            <w:tcW w:w="851" w:type="dxa"/>
            <w:vAlign w:val="center"/>
          </w:tcPr>
          <w:p w14:paraId="0009BEC7"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vAlign w:val="center"/>
          </w:tcPr>
          <w:p w14:paraId="10E896D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140 t</w:t>
            </w:r>
          </w:p>
        </w:tc>
        <w:tc>
          <w:tcPr>
            <w:tcW w:w="1276" w:type="dxa"/>
            <w:tcMar>
              <w:top w:w="0" w:type="dxa"/>
              <w:left w:w="108" w:type="dxa"/>
              <w:bottom w:w="0" w:type="dxa"/>
              <w:right w:w="108" w:type="dxa"/>
            </w:tcMar>
            <w:vAlign w:val="center"/>
          </w:tcPr>
          <w:p w14:paraId="45F0431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D4B010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4CDDF2C" w14:textId="77777777" w:rsidTr="00D7567A">
        <w:trPr>
          <w:trHeight w:val="423"/>
        </w:trPr>
        <w:tc>
          <w:tcPr>
            <w:tcW w:w="694" w:type="dxa"/>
            <w:tcMar>
              <w:top w:w="0" w:type="dxa"/>
              <w:left w:w="108" w:type="dxa"/>
              <w:bottom w:w="0" w:type="dxa"/>
              <w:right w:w="108" w:type="dxa"/>
            </w:tcMar>
            <w:vAlign w:val="center"/>
          </w:tcPr>
          <w:p w14:paraId="28275AC0"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8D1330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C9F144A"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5DDA540A"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vAlign w:val="center"/>
          </w:tcPr>
          <w:p w14:paraId="1BD6F8D3"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21146D6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280 t</w:t>
            </w:r>
          </w:p>
        </w:tc>
        <w:tc>
          <w:tcPr>
            <w:tcW w:w="1276" w:type="dxa"/>
            <w:tcMar>
              <w:top w:w="0" w:type="dxa"/>
              <w:left w:w="108" w:type="dxa"/>
              <w:bottom w:w="0" w:type="dxa"/>
              <w:right w:w="108" w:type="dxa"/>
            </w:tcMar>
            <w:vAlign w:val="center"/>
          </w:tcPr>
          <w:p w14:paraId="27B6BFF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8EF70F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9B83998" w14:textId="77777777" w:rsidTr="00D7567A">
        <w:trPr>
          <w:trHeight w:val="401"/>
        </w:trPr>
        <w:tc>
          <w:tcPr>
            <w:tcW w:w="694" w:type="dxa"/>
            <w:tcMar>
              <w:top w:w="0" w:type="dxa"/>
              <w:left w:w="108" w:type="dxa"/>
              <w:bottom w:w="0" w:type="dxa"/>
              <w:right w:w="108" w:type="dxa"/>
            </w:tcMar>
            <w:vAlign w:val="center"/>
          </w:tcPr>
          <w:p w14:paraId="68F73EDF"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033F17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3C23C44"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restart"/>
            <w:vAlign w:val="center"/>
          </w:tcPr>
          <w:p w14:paraId="1D8EC9CF"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 Projekto uždirbtos vertės metodo rodikliai SPI ir CPI, santykiniai dydžiai</w:t>
            </w:r>
          </w:p>
        </w:tc>
        <w:tc>
          <w:tcPr>
            <w:tcW w:w="851" w:type="dxa"/>
            <w:vAlign w:val="center"/>
          </w:tcPr>
          <w:p w14:paraId="09E0BA28"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vAlign w:val="center"/>
          </w:tcPr>
          <w:p w14:paraId="0D524D9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2977C1D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2545E7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C94AFFE" w14:textId="77777777" w:rsidTr="00D7567A">
        <w:trPr>
          <w:trHeight w:val="409"/>
        </w:trPr>
        <w:tc>
          <w:tcPr>
            <w:tcW w:w="694" w:type="dxa"/>
            <w:tcMar>
              <w:top w:w="0" w:type="dxa"/>
              <w:left w:w="108" w:type="dxa"/>
              <w:bottom w:w="0" w:type="dxa"/>
              <w:right w:w="108" w:type="dxa"/>
            </w:tcMar>
            <w:vAlign w:val="center"/>
          </w:tcPr>
          <w:p w14:paraId="1B865191"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AF3D6E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787603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2F82D5BA"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vAlign w:val="center"/>
          </w:tcPr>
          <w:p w14:paraId="494E1FCE"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5526F68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52CB967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757563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F38109D" w14:textId="77777777" w:rsidTr="00D7567A">
        <w:trPr>
          <w:trHeight w:val="413"/>
        </w:trPr>
        <w:tc>
          <w:tcPr>
            <w:tcW w:w="694" w:type="dxa"/>
            <w:tcMar>
              <w:top w:w="0" w:type="dxa"/>
              <w:left w:w="108" w:type="dxa"/>
              <w:bottom w:w="0" w:type="dxa"/>
              <w:right w:w="108" w:type="dxa"/>
            </w:tcMar>
            <w:vAlign w:val="center"/>
          </w:tcPr>
          <w:p w14:paraId="0F30557B"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4C4BF79F"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6.1.4.5</w:t>
            </w:r>
          </w:p>
        </w:tc>
        <w:tc>
          <w:tcPr>
            <w:tcW w:w="2533" w:type="dxa"/>
            <w:vMerge w:val="restart"/>
            <w:vAlign w:val="center"/>
          </w:tcPr>
          <w:p w14:paraId="1967617C"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 xml:space="preserve">Išmontuoti </w:t>
            </w:r>
            <w:r w:rsidRPr="00451A59">
              <w:rPr>
                <w:rFonts w:ascii="Times New Roman" w:hAnsi="Times New Roman"/>
                <w:bCs/>
                <w:sz w:val="20"/>
                <w:szCs w:val="20"/>
                <w:lang w:val="lt-LT"/>
              </w:rPr>
              <w:t xml:space="preserve">G2 bloko </w:t>
            </w:r>
            <w:r w:rsidRPr="00451A59">
              <w:rPr>
                <w:rFonts w:ascii="Times New Roman" w:hAnsi="Times New Roman"/>
                <w:sz w:val="20"/>
                <w:szCs w:val="20"/>
                <w:lang w:val="lt-LT"/>
              </w:rPr>
              <w:t>(turbinų ir generatorių su pagalbinėmis sistemomis patalpos) įrangą (liko 9643 t, iš viso 25069 t) (priemonė bus įvykdyta 2021 m.)</w:t>
            </w:r>
          </w:p>
        </w:tc>
        <w:tc>
          <w:tcPr>
            <w:tcW w:w="3260" w:type="dxa"/>
            <w:vMerge w:val="restart"/>
            <w:vAlign w:val="center"/>
          </w:tcPr>
          <w:p w14:paraId="2E1399E8"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1.Išmontuota įrangos, ne mažiau nei</w:t>
            </w:r>
          </w:p>
        </w:tc>
        <w:tc>
          <w:tcPr>
            <w:tcW w:w="851" w:type="dxa"/>
            <w:vAlign w:val="center"/>
          </w:tcPr>
          <w:p w14:paraId="4104142D"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vAlign w:val="center"/>
          </w:tcPr>
          <w:p w14:paraId="5486D35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430 t</w:t>
            </w:r>
          </w:p>
        </w:tc>
        <w:tc>
          <w:tcPr>
            <w:tcW w:w="1276" w:type="dxa"/>
            <w:tcMar>
              <w:top w:w="0" w:type="dxa"/>
              <w:left w:w="108" w:type="dxa"/>
              <w:bottom w:w="0" w:type="dxa"/>
              <w:right w:w="108" w:type="dxa"/>
            </w:tcMar>
            <w:vAlign w:val="center"/>
          </w:tcPr>
          <w:p w14:paraId="5366BE5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7A20F7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576D04FD" w14:textId="77777777" w:rsidTr="00D7567A">
        <w:trPr>
          <w:trHeight w:val="405"/>
        </w:trPr>
        <w:tc>
          <w:tcPr>
            <w:tcW w:w="694" w:type="dxa"/>
            <w:tcMar>
              <w:top w:w="0" w:type="dxa"/>
              <w:left w:w="108" w:type="dxa"/>
              <w:bottom w:w="0" w:type="dxa"/>
              <w:right w:w="108" w:type="dxa"/>
            </w:tcMar>
            <w:vAlign w:val="center"/>
          </w:tcPr>
          <w:p w14:paraId="74E21C57"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166367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944F6B4"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15B9586C"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vAlign w:val="center"/>
          </w:tcPr>
          <w:p w14:paraId="0281D279"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4974180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1300 t</w:t>
            </w:r>
          </w:p>
        </w:tc>
        <w:tc>
          <w:tcPr>
            <w:tcW w:w="1276" w:type="dxa"/>
            <w:tcMar>
              <w:top w:w="0" w:type="dxa"/>
              <w:left w:w="108" w:type="dxa"/>
              <w:bottom w:w="0" w:type="dxa"/>
              <w:right w:w="108" w:type="dxa"/>
            </w:tcMar>
            <w:vAlign w:val="center"/>
          </w:tcPr>
          <w:p w14:paraId="05CA23CE" w14:textId="77777777" w:rsidR="00451A59" w:rsidRPr="006446D5" w:rsidRDefault="00451A59" w:rsidP="00451A59">
            <w:pPr>
              <w:shd w:val="clear" w:color="auto" w:fill="FFFFFF" w:themeFill="background1"/>
              <w:jc w:val="center"/>
              <w:rPr>
                <w:rFonts w:ascii="Times New Roman" w:hAnsi="Times New Roman"/>
                <w:color w:val="FF0000"/>
                <w:sz w:val="20"/>
                <w:szCs w:val="20"/>
                <w:lang w:val="lt-LT"/>
              </w:rPr>
            </w:pPr>
            <w:r w:rsidRPr="006446D5">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36CC51DB" w14:textId="77777777" w:rsidR="00451A59" w:rsidRPr="00451A59" w:rsidRDefault="00451A59" w:rsidP="00451A59">
            <w:pPr>
              <w:shd w:val="clear" w:color="auto" w:fill="FFFFFF" w:themeFill="background1"/>
              <w:jc w:val="both"/>
              <w:rPr>
                <w:rFonts w:ascii="Times New Roman" w:hAnsi="Times New Roman"/>
                <w:sz w:val="20"/>
                <w:szCs w:val="20"/>
                <w:lang w:val="lt-LT"/>
              </w:rPr>
            </w:pPr>
          </w:p>
        </w:tc>
      </w:tr>
      <w:tr w:rsidR="00451A59" w:rsidRPr="00451A59" w14:paraId="21315A5C" w14:textId="77777777" w:rsidTr="00D7567A">
        <w:trPr>
          <w:trHeight w:val="405"/>
        </w:trPr>
        <w:tc>
          <w:tcPr>
            <w:tcW w:w="694" w:type="dxa"/>
            <w:tcMar>
              <w:top w:w="0" w:type="dxa"/>
              <w:left w:w="108" w:type="dxa"/>
              <w:bottom w:w="0" w:type="dxa"/>
              <w:right w:w="108" w:type="dxa"/>
            </w:tcMar>
            <w:vAlign w:val="center"/>
          </w:tcPr>
          <w:p w14:paraId="0C65543A"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65CE14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43B4113"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003C5F68"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shd w:val="clear" w:color="auto" w:fill="FFFFFF" w:themeFill="background1"/>
            <w:vAlign w:val="center"/>
          </w:tcPr>
          <w:p w14:paraId="2724C2AB"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484CE23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2170 t</w:t>
            </w:r>
          </w:p>
        </w:tc>
        <w:tc>
          <w:tcPr>
            <w:tcW w:w="1276" w:type="dxa"/>
            <w:shd w:val="clear" w:color="auto" w:fill="FFFFFF" w:themeFill="background1"/>
            <w:tcMar>
              <w:top w:w="0" w:type="dxa"/>
              <w:left w:w="108" w:type="dxa"/>
              <w:bottom w:w="0" w:type="dxa"/>
              <w:right w:w="108" w:type="dxa"/>
            </w:tcMar>
            <w:vAlign w:val="center"/>
          </w:tcPr>
          <w:p w14:paraId="488EC313" w14:textId="77777777" w:rsidR="00451A59" w:rsidRPr="006446D5" w:rsidRDefault="00451A59" w:rsidP="00451A59">
            <w:pPr>
              <w:shd w:val="clear" w:color="auto" w:fill="FFFFFF" w:themeFill="background1"/>
              <w:jc w:val="center"/>
              <w:rPr>
                <w:rFonts w:ascii="Times New Roman" w:hAnsi="Times New Roman"/>
                <w:color w:val="FF0000"/>
                <w:sz w:val="20"/>
                <w:szCs w:val="20"/>
                <w:lang w:val="lt-LT"/>
              </w:rPr>
            </w:pPr>
            <w:r w:rsidRPr="006446D5">
              <w:rPr>
                <w:rFonts w:ascii="Times New Roman" w:hAnsi="Times New Roman"/>
                <w:color w:val="FF0000"/>
                <w:sz w:val="20"/>
                <w:szCs w:val="20"/>
                <w:lang w:val="lt-LT"/>
              </w:rPr>
              <w:t>neįvykdytas</w:t>
            </w:r>
          </w:p>
        </w:tc>
        <w:tc>
          <w:tcPr>
            <w:tcW w:w="3135" w:type="dxa"/>
            <w:shd w:val="clear" w:color="auto" w:fill="FFFFFF" w:themeFill="background1"/>
            <w:tcMar>
              <w:top w:w="0" w:type="dxa"/>
              <w:left w:w="108" w:type="dxa"/>
              <w:bottom w:w="0" w:type="dxa"/>
              <w:right w:w="108" w:type="dxa"/>
            </w:tcMar>
            <w:vAlign w:val="center"/>
          </w:tcPr>
          <w:p w14:paraId="27DE961B" w14:textId="77777777" w:rsidR="00451A59" w:rsidRPr="00451A59" w:rsidRDefault="00451A59" w:rsidP="00451A59">
            <w:pPr>
              <w:shd w:val="clear" w:color="auto" w:fill="FFFFFF" w:themeFill="background1"/>
              <w:jc w:val="both"/>
              <w:rPr>
                <w:rFonts w:ascii="Times New Roman" w:eastAsia="Times New Roman" w:hAnsi="Times New Roman"/>
                <w:spacing w:val="-3"/>
                <w:sz w:val="20"/>
                <w:szCs w:val="20"/>
                <w:lang w:val="lt-LT"/>
              </w:rPr>
            </w:pPr>
          </w:p>
        </w:tc>
      </w:tr>
      <w:tr w:rsidR="00451A59" w:rsidRPr="00451A59" w14:paraId="4DA921CE" w14:textId="77777777" w:rsidTr="00D7567A">
        <w:trPr>
          <w:trHeight w:val="405"/>
        </w:trPr>
        <w:tc>
          <w:tcPr>
            <w:tcW w:w="694" w:type="dxa"/>
            <w:shd w:val="clear" w:color="auto" w:fill="FFFFFF" w:themeFill="background1"/>
            <w:tcMar>
              <w:top w:w="0" w:type="dxa"/>
              <w:left w:w="108" w:type="dxa"/>
              <w:bottom w:w="0" w:type="dxa"/>
              <w:right w:w="108" w:type="dxa"/>
            </w:tcMar>
            <w:vAlign w:val="center"/>
          </w:tcPr>
          <w:p w14:paraId="7D643902"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8EC0DC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2D904C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3A990156"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shd w:val="clear" w:color="auto" w:fill="FFFFFF" w:themeFill="background1"/>
            <w:vAlign w:val="center"/>
          </w:tcPr>
          <w:p w14:paraId="1AD51F2E"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7D19E08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3037 t</w:t>
            </w:r>
          </w:p>
        </w:tc>
        <w:tc>
          <w:tcPr>
            <w:tcW w:w="1276" w:type="dxa"/>
            <w:shd w:val="clear" w:color="auto" w:fill="FFFFFF" w:themeFill="background1"/>
            <w:tcMar>
              <w:top w:w="0" w:type="dxa"/>
              <w:left w:w="108" w:type="dxa"/>
              <w:bottom w:w="0" w:type="dxa"/>
              <w:right w:w="108" w:type="dxa"/>
            </w:tcMar>
            <w:vAlign w:val="center"/>
          </w:tcPr>
          <w:p w14:paraId="64C6A8E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344B73E0"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w:t>
            </w:r>
          </w:p>
        </w:tc>
      </w:tr>
      <w:tr w:rsidR="00451A59" w:rsidRPr="00451A59" w14:paraId="3849F90A" w14:textId="77777777" w:rsidTr="00D7567A">
        <w:trPr>
          <w:trHeight w:val="424"/>
        </w:trPr>
        <w:tc>
          <w:tcPr>
            <w:tcW w:w="694" w:type="dxa"/>
            <w:tcMar>
              <w:top w:w="0" w:type="dxa"/>
              <w:left w:w="108" w:type="dxa"/>
              <w:bottom w:w="0" w:type="dxa"/>
              <w:right w:w="108" w:type="dxa"/>
            </w:tcMar>
            <w:vAlign w:val="center"/>
          </w:tcPr>
          <w:p w14:paraId="6C82B5F9"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D8BFF0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EC2926B"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vAlign w:val="center"/>
          </w:tcPr>
          <w:p w14:paraId="7977F09A"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 Projekto uždirbtos vertės metodo rodikliai SPI ir CPI, santykiniai dydžiai</w:t>
            </w:r>
          </w:p>
        </w:tc>
        <w:tc>
          <w:tcPr>
            <w:tcW w:w="851" w:type="dxa"/>
            <w:shd w:val="clear" w:color="auto" w:fill="FFFFFF" w:themeFill="background1"/>
            <w:vAlign w:val="center"/>
          </w:tcPr>
          <w:p w14:paraId="09564D11"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shd w:val="clear" w:color="auto" w:fill="FFFFFF" w:themeFill="background1"/>
            <w:vAlign w:val="center"/>
          </w:tcPr>
          <w:p w14:paraId="4ED7483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33FB157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2725C4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4F2DE3C" w14:textId="77777777" w:rsidTr="00D7567A">
        <w:trPr>
          <w:trHeight w:val="402"/>
        </w:trPr>
        <w:tc>
          <w:tcPr>
            <w:tcW w:w="694" w:type="dxa"/>
            <w:tcMar>
              <w:top w:w="0" w:type="dxa"/>
              <w:left w:w="108" w:type="dxa"/>
              <w:bottom w:w="0" w:type="dxa"/>
              <w:right w:w="108" w:type="dxa"/>
            </w:tcMar>
            <w:vAlign w:val="center"/>
          </w:tcPr>
          <w:p w14:paraId="08E3BCCB"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3CE682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07E60AE"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4B4FDC1C"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51BC0366"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34DB491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5B905D9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C640A7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00BCA4A" w14:textId="77777777" w:rsidTr="00D7567A">
        <w:trPr>
          <w:trHeight w:val="402"/>
        </w:trPr>
        <w:tc>
          <w:tcPr>
            <w:tcW w:w="694" w:type="dxa"/>
            <w:tcMar>
              <w:top w:w="0" w:type="dxa"/>
              <w:left w:w="108" w:type="dxa"/>
              <w:bottom w:w="0" w:type="dxa"/>
              <w:right w:w="108" w:type="dxa"/>
            </w:tcMar>
            <w:vAlign w:val="center"/>
          </w:tcPr>
          <w:p w14:paraId="64447D8F"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291C80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DB31EF7"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7BB7B794"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520A9E67"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7C6BB62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4B37BCC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450EFC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757D01F" w14:textId="77777777" w:rsidTr="00D7567A">
        <w:trPr>
          <w:trHeight w:val="402"/>
        </w:trPr>
        <w:tc>
          <w:tcPr>
            <w:tcW w:w="694" w:type="dxa"/>
            <w:shd w:val="clear" w:color="auto" w:fill="FFFFFF" w:themeFill="background1"/>
            <w:tcMar>
              <w:top w:w="0" w:type="dxa"/>
              <w:left w:w="108" w:type="dxa"/>
              <w:bottom w:w="0" w:type="dxa"/>
              <w:right w:w="108" w:type="dxa"/>
            </w:tcMar>
            <w:vAlign w:val="center"/>
          </w:tcPr>
          <w:p w14:paraId="7F5C2B4E"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DF658E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3EBD82A4"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07499690"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2D21C2A5"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0334ED7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20879B1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D54C00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8F8B747" w14:textId="77777777" w:rsidTr="00D7567A">
        <w:trPr>
          <w:trHeight w:val="402"/>
        </w:trPr>
        <w:tc>
          <w:tcPr>
            <w:tcW w:w="694" w:type="dxa"/>
            <w:tcMar>
              <w:top w:w="0" w:type="dxa"/>
              <w:left w:w="108" w:type="dxa"/>
              <w:bottom w:w="0" w:type="dxa"/>
              <w:right w:w="108" w:type="dxa"/>
            </w:tcMar>
            <w:vAlign w:val="center"/>
          </w:tcPr>
          <w:p w14:paraId="4ED7E73D"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4BCEEEE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6.1.4.6</w:t>
            </w:r>
          </w:p>
        </w:tc>
        <w:tc>
          <w:tcPr>
            <w:tcW w:w="2533" w:type="dxa"/>
            <w:vMerge w:val="restart"/>
            <w:vAlign w:val="center"/>
          </w:tcPr>
          <w:p w14:paraId="5CB08C74"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Išmontuoti D1 bloko (valdymo, elektros įrangos ir dearatorių patalpos) įrangą (liko 3920 t, iš viso 8472 t) (priemonė bus įvykdyta 2019 m.)</w:t>
            </w:r>
          </w:p>
        </w:tc>
        <w:tc>
          <w:tcPr>
            <w:tcW w:w="3260" w:type="dxa"/>
          </w:tcPr>
          <w:p w14:paraId="7C092B3C"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1.Išmontuota įrangos, ne mažiau nei</w:t>
            </w:r>
          </w:p>
        </w:tc>
        <w:tc>
          <w:tcPr>
            <w:tcW w:w="851" w:type="dxa"/>
            <w:vAlign w:val="center"/>
          </w:tcPr>
          <w:p w14:paraId="06CC889F"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6FA1FDE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38 t</w:t>
            </w:r>
          </w:p>
        </w:tc>
        <w:tc>
          <w:tcPr>
            <w:tcW w:w="1276" w:type="dxa"/>
            <w:tcMar>
              <w:top w:w="0" w:type="dxa"/>
              <w:left w:w="108" w:type="dxa"/>
              <w:bottom w:w="0" w:type="dxa"/>
              <w:right w:w="108" w:type="dxa"/>
            </w:tcMar>
            <w:vAlign w:val="center"/>
          </w:tcPr>
          <w:p w14:paraId="34972F7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7057F7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58CE9C0" w14:textId="77777777" w:rsidTr="00D7567A">
        <w:trPr>
          <w:trHeight w:val="402"/>
        </w:trPr>
        <w:tc>
          <w:tcPr>
            <w:tcW w:w="694" w:type="dxa"/>
            <w:tcMar>
              <w:top w:w="0" w:type="dxa"/>
              <w:left w:w="108" w:type="dxa"/>
              <w:bottom w:w="0" w:type="dxa"/>
              <w:right w:w="108" w:type="dxa"/>
            </w:tcMar>
            <w:vAlign w:val="center"/>
          </w:tcPr>
          <w:p w14:paraId="189BE29B"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F51168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4DAC237"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tcPr>
          <w:p w14:paraId="67598B26"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 Projekto uždirbtos vertės metodo rodikliai SPI ir CPI, santykiniai dydžiai</w:t>
            </w:r>
          </w:p>
        </w:tc>
        <w:tc>
          <w:tcPr>
            <w:tcW w:w="851" w:type="dxa"/>
            <w:vAlign w:val="center"/>
          </w:tcPr>
          <w:p w14:paraId="713C2278"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2B03447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376742A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F74F94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A66BB7E" w14:textId="77777777" w:rsidTr="00D7567A">
        <w:trPr>
          <w:trHeight w:val="402"/>
        </w:trPr>
        <w:tc>
          <w:tcPr>
            <w:tcW w:w="694" w:type="dxa"/>
            <w:tcMar>
              <w:top w:w="0" w:type="dxa"/>
              <w:left w:w="108" w:type="dxa"/>
              <w:bottom w:w="0" w:type="dxa"/>
              <w:right w:w="108" w:type="dxa"/>
            </w:tcMar>
            <w:vAlign w:val="center"/>
          </w:tcPr>
          <w:p w14:paraId="59F01801"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6AD5D379"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6.1.4.7</w:t>
            </w:r>
          </w:p>
        </w:tc>
        <w:tc>
          <w:tcPr>
            <w:tcW w:w="2533" w:type="dxa"/>
            <w:vMerge w:val="restart"/>
            <w:vAlign w:val="center"/>
          </w:tcPr>
          <w:p w14:paraId="281EC57D"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Išmontuoti įrangą stebjimo zonoje (liko 12778 t, iš viso 18340 t) Visas kiekis neinventorizuotas (priemonė bus įvykdyta 2034 m.)</w:t>
            </w:r>
          </w:p>
        </w:tc>
        <w:tc>
          <w:tcPr>
            <w:tcW w:w="3260" w:type="dxa"/>
            <w:vMerge w:val="restart"/>
          </w:tcPr>
          <w:p w14:paraId="3F8B220E"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1.Išmontuota įrangos, ne mažiau nei</w:t>
            </w:r>
          </w:p>
        </w:tc>
        <w:tc>
          <w:tcPr>
            <w:tcW w:w="851" w:type="dxa"/>
            <w:vAlign w:val="center"/>
          </w:tcPr>
          <w:p w14:paraId="57A63E2A"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1FABAB4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85 t</w:t>
            </w:r>
          </w:p>
        </w:tc>
        <w:tc>
          <w:tcPr>
            <w:tcW w:w="1276" w:type="dxa"/>
            <w:tcMar>
              <w:top w:w="0" w:type="dxa"/>
              <w:left w:w="108" w:type="dxa"/>
              <w:bottom w:w="0" w:type="dxa"/>
              <w:right w:w="108" w:type="dxa"/>
            </w:tcMar>
            <w:vAlign w:val="center"/>
          </w:tcPr>
          <w:p w14:paraId="17D56F7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2232C4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6EF770E" w14:textId="77777777" w:rsidTr="00D7567A">
        <w:trPr>
          <w:trHeight w:val="402"/>
        </w:trPr>
        <w:tc>
          <w:tcPr>
            <w:tcW w:w="694" w:type="dxa"/>
            <w:tcMar>
              <w:top w:w="0" w:type="dxa"/>
              <w:left w:w="108" w:type="dxa"/>
              <w:bottom w:w="0" w:type="dxa"/>
              <w:right w:w="108" w:type="dxa"/>
            </w:tcMar>
            <w:vAlign w:val="center"/>
          </w:tcPr>
          <w:p w14:paraId="6233BBFE"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5BFFCB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14E61C7"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tcPr>
          <w:p w14:paraId="1709E7C9"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720DD159"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1725408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210 t</w:t>
            </w:r>
          </w:p>
        </w:tc>
        <w:tc>
          <w:tcPr>
            <w:tcW w:w="1276" w:type="dxa"/>
            <w:shd w:val="clear" w:color="auto" w:fill="FFFFFF" w:themeFill="background1"/>
            <w:tcMar>
              <w:top w:w="0" w:type="dxa"/>
              <w:left w:w="108" w:type="dxa"/>
              <w:bottom w:w="0" w:type="dxa"/>
              <w:right w:w="108" w:type="dxa"/>
            </w:tcMar>
            <w:vAlign w:val="center"/>
          </w:tcPr>
          <w:p w14:paraId="0B29B5B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5A2C0CA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6168DD1" w14:textId="77777777" w:rsidTr="00D7567A">
        <w:trPr>
          <w:trHeight w:val="402"/>
        </w:trPr>
        <w:tc>
          <w:tcPr>
            <w:tcW w:w="694" w:type="dxa"/>
            <w:shd w:val="clear" w:color="auto" w:fill="FFFFFF" w:themeFill="background1"/>
            <w:tcMar>
              <w:top w:w="0" w:type="dxa"/>
              <w:left w:w="108" w:type="dxa"/>
              <w:bottom w:w="0" w:type="dxa"/>
              <w:right w:w="108" w:type="dxa"/>
            </w:tcMar>
            <w:vAlign w:val="center"/>
          </w:tcPr>
          <w:p w14:paraId="0BB739FE"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F3879F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4AB2D5B"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tcPr>
          <w:p w14:paraId="35F7B9E0"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7BA29A97"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2811995B"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470 t</w:t>
            </w:r>
          </w:p>
        </w:tc>
        <w:tc>
          <w:tcPr>
            <w:tcW w:w="1276" w:type="dxa"/>
            <w:shd w:val="clear" w:color="auto" w:fill="FFFFFF" w:themeFill="background1"/>
            <w:tcMar>
              <w:top w:w="0" w:type="dxa"/>
              <w:left w:w="108" w:type="dxa"/>
              <w:bottom w:w="0" w:type="dxa"/>
              <w:right w:w="108" w:type="dxa"/>
            </w:tcMar>
            <w:vAlign w:val="center"/>
          </w:tcPr>
          <w:p w14:paraId="4634ED5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781B55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C47FE90" w14:textId="77777777" w:rsidTr="00D7567A">
        <w:trPr>
          <w:trHeight w:val="402"/>
        </w:trPr>
        <w:tc>
          <w:tcPr>
            <w:tcW w:w="694" w:type="dxa"/>
            <w:tcMar>
              <w:top w:w="0" w:type="dxa"/>
              <w:left w:w="108" w:type="dxa"/>
              <w:bottom w:w="0" w:type="dxa"/>
              <w:right w:w="108" w:type="dxa"/>
            </w:tcMar>
            <w:vAlign w:val="center"/>
          </w:tcPr>
          <w:p w14:paraId="6A4B6237"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903C94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14D4E7B"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restart"/>
          </w:tcPr>
          <w:p w14:paraId="1DC8AC89"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 Projekto uždirbtos vertės metodo rodikliai SPI ir CPI, santykiniai dydžiai</w:t>
            </w:r>
          </w:p>
        </w:tc>
        <w:tc>
          <w:tcPr>
            <w:tcW w:w="851" w:type="dxa"/>
            <w:shd w:val="clear" w:color="auto" w:fill="FFFFFF" w:themeFill="background1"/>
            <w:vAlign w:val="center"/>
          </w:tcPr>
          <w:p w14:paraId="368FD42B"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46CB4BA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00219A2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422F61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041D7A9" w14:textId="77777777" w:rsidTr="00D7567A">
        <w:trPr>
          <w:trHeight w:val="402"/>
        </w:trPr>
        <w:tc>
          <w:tcPr>
            <w:tcW w:w="694" w:type="dxa"/>
            <w:tcMar>
              <w:top w:w="0" w:type="dxa"/>
              <w:left w:w="108" w:type="dxa"/>
              <w:bottom w:w="0" w:type="dxa"/>
              <w:right w:w="108" w:type="dxa"/>
            </w:tcMar>
            <w:vAlign w:val="center"/>
          </w:tcPr>
          <w:p w14:paraId="20FDCE9A"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3EBC03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638CDE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tcPr>
          <w:p w14:paraId="0C3FCFF1"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07190CCC"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670CA31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6AD9469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C756F7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C2A5C46" w14:textId="77777777" w:rsidTr="00D7567A">
        <w:trPr>
          <w:trHeight w:val="402"/>
        </w:trPr>
        <w:tc>
          <w:tcPr>
            <w:tcW w:w="694" w:type="dxa"/>
            <w:shd w:val="clear" w:color="auto" w:fill="FFFFFF" w:themeFill="background1"/>
            <w:tcMar>
              <w:top w:w="0" w:type="dxa"/>
              <w:left w:w="108" w:type="dxa"/>
              <w:bottom w:w="0" w:type="dxa"/>
              <w:right w:w="108" w:type="dxa"/>
            </w:tcMar>
            <w:vAlign w:val="center"/>
          </w:tcPr>
          <w:p w14:paraId="68FB4768"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AEF58E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B320330"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tcPr>
          <w:p w14:paraId="68B1128A"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6C212A9F"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 xml:space="preserve">IV </w:t>
            </w:r>
          </w:p>
        </w:tc>
        <w:tc>
          <w:tcPr>
            <w:tcW w:w="1436" w:type="dxa"/>
            <w:shd w:val="clear" w:color="auto" w:fill="FFFFFF" w:themeFill="background1"/>
            <w:vAlign w:val="center"/>
          </w:tcPr>
          <w:p w14:paraId="4F6D049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2455947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22E100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733567A" w14:textId="77777777" w:rsidTr="00D7567A">
        <w:trPr>
          <w:trHeight w:val="402"/>
        </w:trPr>
        <w:tc>
          <w:tcPr>
            <w:tcW w:w="694" w:type="dxa"/>
            <w:shd w:val="clear" w:color="auto" w:fill="FFFFFF" w:themeFill="background1"/>
            <w:tcMar>
              <w:top w:w="0" w:type="dxa"/>
              <w:left w:w="108" w:type="dxa"/>
              <w:bottom w:w="0" w:type="dxa"/>
              <w:right w:w="108" w:type="dxa"/>
            </w:tcMar>
            <w:vAlign w:val="center"/>
          </w:tcPr>
          <w:p w14:paraId="4022C0F3"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1050FAC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6.1.4.8</w:t>
            </w:r>
          </w:p>
        </w:tc>
        <w:tc>
          <w:tcPr>
            <w:tcW w:w="2533" w:type="dxa"/>
            <w:vMerge w:val="restart"/>
            <w:vAlign w:val="center"/>
          </w:tcPr>
          <w:p w14:paraId="0DB074BD"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pacing w:val="-3"/>
                <w:sz w:val="20"/>
                <w:szCs w:val="20"/>
                <w:lang w:val="lt-LT"/>
              </w:rPr>
              <w:t>Atlikti 1-ojo bloko objektų nugriovimą (priemonė bus įvykdyta 2038 m.)</w:t>
            </w:r>
          </w:p>
        </w:tc>
        <w:tc>
          <w:tcPr>
            <w:tcW w:w="3260" w:type="dxa"/>
          </w:tcPr>
          <w:p w14:paraId="457B3A18"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1.Išmontuota įrangos, ne mažiau nei</w:t>
            </w:r>
          </w:p>
        </w:tc>
        <w:tc>
          <w:tcPr>
            <w:tcW w:w="851" w:type="dxa"/>
            <w:shd w:val="clear" w:color="auto" w:fill="FFFFFF" w:themeFill="background1"/>
            <w:vAlign w:val="center"/>
          </w:tcPr>
          <w:p w14:paraId="237096D8"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3157941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10 t</w:t>
            </w:r>
          </w:p>
        </w:tc>
        <w:tc>
          <w:tcPr>
            <w:tcW w:w="1276" w:type="dxa"/>
            <w:shd w:val="clear" w:color="auto" w:fill="FFFFFF" w:themeFill="background1"/>
            <w:tcMar>
              <w:top w:w="0" w:type="dxa"/>
              <w:left w:w="108" w:type="dxa"/>
              <w:bottom w:w="0" w:type="dxa"/>
              <w:right w:w="108" w:type="dxa"/>
            </w:tcMar>
            <w:vAlign w:val="center"/>
          </w:tcPr>
          <w:p w14:paraId="07D8217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988FBDF"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2F3DF3" w14:paraId="0C9D8586" w14:textId="77777777" w:rsidTr="00D7567A">
        <w:trPr>
          <w:trHeight w:val="402"/>
        </w:trPr>
        <w:tc>
          <w:tcPr>
            <w:tcW w:w="694" w:type="dxa"/>
            <w:shd w:val="clear" w:color="auto" w:fill="FFFFFF" w:themeFill="background1"/>
            <w:tcMar>
              <w:top w:w="0" w:type="dxa"/>
              <w:left w:w="108" w:type="dxa"/>
              <w:bottom w:w="0" w:type="dxa"/>
              <w:right w:w="108" w:type="dxa"/>
            </w:tcMar>
            <w:vAlign w:val="center"/>
          </w:tcPr>
          <w:p w14:paraId="37897690"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F964FE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3483FF60" w14:textId="77777777" w:rsidR="00451A59" w:rsidRPr="00451A59" w:rsidRDefault="00451A59" w:rsidP="00451A59">
            <w:pPr>
              <w:shd w:val="clear" w:color="auto" w:fill="FFFFFF" w:themeFill="background1"/>
              <w:ind w:left="107" w:right="142"/>
              <w:jc w:val="both"/>
              <w:rPr>
                <w:spacing w:val="-3"/>
                <w:sz w:val="19"/>
                <w:szCs w:val="19"/>
                <w:lang w:val="lt-LT"/>
              </w:rPr>
            </w:pPr>
          </w:p>
        </w:tc>
        <w:tc>
          <w:tcPr>
            <w:tcW w:w="3260" w:type="dxa"/>
          </w:tcPr>
          <w:p w14:paraId="46E8D107"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Projekto uždirbtos vertės metodo rodikliai SPI ir CPI, santykiniai dydžiai</w:t>
            </w:r>
          </w:p>
        </w:tc>
        <w:tc>
          <w:tcPr>
            <w:tcW w:w="851" w:type="dxa"/>
            <w:shd w:val="clear" w:color="auto" w:fill="FFFFFF" w:themeFill="background1"/>
            <w:vAlign w:val="center"/>
          </w:tcPr>
          <w:p w14:paraId="6CA7DA7F"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7E763BF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18E82A8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1DB38FBA" w14:textId="59497389" w:rsidR="00451A59" w:rsidRPr="00451A59" w:rsidRDefault="00451A59" w:rsidP="00451A59">
            <w:pPr>
              <w:shd w:val="clear" w:color="auto" w:fill="FFFFFF" w:themeFill="background1"/>
              <w:rPr>
                <w:rFonts w:ascii="Times New Roman" w:hAnsi="Times New Roman"/>
                <w:sz w:val="20"/>
                <w:szCs w:val="20"/>
                <w:lang w:val="lt-LT"/>
              </w:rPr>
            </w:pPr>
            <w:r w:rsidRPr="00451A59">
              <w:rPr>
                <w:rFonts w:ascii="Times New Roman" w:hAnsi="Times New Roman"/>
                <w:spacing w:val="-3"/>
                <w:sz w:val="18"/>
                <w:szCs w:val="18"/>
                <w:lang w:val="lt-LT"/>
              </w:rPr>
              <w:t>SPI ir CPI mažėjimo priežastys – projekto darbų vykdymo vėlavimas (inžinerinių tyrimų ir PKTD rengimų darbai pristabdyti nuo 2018 m. liepos 1 d. dėl kvalifikuotų darbuotojų (darbo išteklių</w:t>
            </w:r>
            <w:r>
              <w:rPr>
                <w:rFonts w:ascii="Times New Roman" w:hAnsi="Times New Roman"/>
                <w:spacing w:val="-3"/>
                <w:sz w:val="18"/>
                <w:szCs w:val="18"/>
                <w:lang w:val="lt-LT"/>
              </w:rPr>
              <w:t>)</w:t>
            </w:r>
            <w:r w:rsidRPr="00451A59">
              <w:rPr>
                <w:rFonts w:ascii="Times New Roman" w:hAnsi="Times New Roman"/>
                <w:spacing w:val="-3"/>
                <w:sz w:val="18"/>
                <w:szCs w:val="18"/>
                <w:lang w:val="lt-LT"/>
              </w:rPr>
              <w:t xml:space="preserve"> stokos</w:t>
            </w:r>
          </w:p>
        </w:tc>
      </w:tr>
      <w:tr w:rsidR="00451A59" w:rsidRPr="00451A59" w14:paraId="5B215135" w14:textId="77777777" w:rsidTr="00D7567A">
        <w:trPr>
          <w:trHeight w:val="402"/>
        </w:trPr>
        <w:tc>
          <w:tcPr>
            <w:tcW w:w="694" w:type="dxa"/>
            <w:tcMar>
              <w:top w:w="0" w:type="dxa"/>
              <w:left w:w="108" w:type="dxa"/>
              <w:bottom w:w="0" w:type="dxa"/>
              <w:right w:w="108" w:type="dxa"/>
            </w:tcMar>
            <w:vAlign w:val="center"/>
          </w:tcPr>
          <w:p w14:paraId="12182CF1"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4480C31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6.1.5.1</w:t>
            </w:r>
          </w:p>
        </w:tc>
        <w:tc>
          <w:tcPr>
            <w:tcW w:w="2533" w:type="dxa"/>
            <w:vMerge w:val="restart"/>
            <w:vAlign w:val="center"/>
          </w:tcPr>
          <w:p w14:paraId="1AC8086B"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Atlikti galerijos rekonstrukcijos darbus, siekiant pasiruošti 129 pastato griovimui (priemonė bus įvykdyta 2022 m., planuota 2018 m.)</w:t>
            </w:r>
          </w:p>
        </w:tc>
        <w:tc>
          <w:tcPr>
            <w:tcW w:w="3260" w:type="dxa"/>
            <w:vMerge w:val="restart"/>
            <w:shd w:val="clear" w:color="auto" w:fill="FFFFFF" w:themeFill="background1"/>
          </w:tcPr>
          <w:p w14:paraId="06F7AEEA" w14:textId="77777777" w:rsidR="00451A59" w:rsidRPr="00451A59" w:rsidRDefault="00451A59" w:rsidP="00451A59">
            <w:pPr>
              <w:shd w:val="clear" w:color="auto" w:fill="FFFFFF" w:themeFill="background1"/>
              <w:tabs>
                <w:tab w:val="center" w:pos="4844"/>
                <w:tab w:val="right" w:pos="9689"/>
              </w:tabs>
              <w:ind w:left="107" w:right="141"/>
              <w:jc w:val="both"/>
              <w:rPr>
                <w:rFonts w:ascii="Times New Roman" w:hAnsi="Times New Roman"/>
                <w:sz w:val="20"/>
                <w:szCs w:val="20"/>
                <w:lang w:val="lt-LT"/>
              </w:rPr>
            </w:pPr>
            <w:r w:rsidRPr="00451A59">
              <w:rPr>
                <w:rFonts w:ascii="Times New Roman" w:hAnsi="Times New Roman"/>
                <w:spacing w:val="-3"/>
                <w:sz w:val="20"/>
                <w:szCs w:val="20"/>
                <w:lang w:val="lt-LT"/>
              </w:rPr>
              <w:t>1.Priimtas sprendimas dėl 174V galerijos rekonstrukcijos vykdymo būdo</w:t>
            </w:r>
          </w:p>
        </w:tc>
        <w:tc>
          <w:tcPr>
            <w:tcW w:w="851" w:type="dxa"/>
            <w:vMerge w:val="restart"/>
            <w:shd w:val="clear" w:color="auto" w:fill="FFFFFF" w:themeFill="background1"/>
            <w:vAlign w:val="center"/>
          </w:tcPr>
          <w:p w14:paraId="66FE09C4"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vMerge w:val="restart"/>
            <w:shd w:val="clear" w:color="auto" w:fill="FFFFFF" w:themeFill="background1"/>
            <w:vAlign w:val="center"/>
          </w:tcPr>
          <w:p w14:paraId="3AC99E56" w14:textId="77777777" w:rsidR="00451A59" w:rsidRPr="00451A59" w:rsidRDefault="00451A59" w:rsidP="00451A59">
            <w:pPr>
              <w:shd w:val="clear" w:color="auto" w:fill="FFFFFF" w:themeFill="background1"/>
              <w:tabs>
                <w:tab w:val="center" w:pos="4844"/>
                <w:tab w:val="right" w:pos="9689"/>
              </w:tabs>
              <w:jc w:val="center"/>
              <w:rPr>
                <w:rFonts w:ascii="Times New Roman" w:hAnsi="Times New Roman"/>
                <w:sz w:val="20"/>
                <w:szCs w:val="20"/>
                <w:lang w:val="lt-LT"/>
              </w:rPr>
            </w:pPr>
            <w:r w:rsidRPr="00451A59">
              <w:rPr>
                <w:rFonts w:ascii="Times New Roman" w:hAnsi="Times New Roman"/>
                <w:spacing w:val="-3"/>
                <w:sz w:val="20"/>
                <w:szCs w:val="20"/>
                <w:lang w:val="lt-LT"/>
              </w:rPr>
              <w:t>Priimtas sprendimas</w:t>
            </w:r>
          </w:p>
        </w:tc>
        <w:tc>
          <w:tcPr>
            <w:tcW w:w="1276" w:type="dxa"/>
            <w:vMerge w:val="restart"/>
            <w:shd w:val="clear" w:color="auto" w:fill="FFFFFF" w:themeFill="background1"/>
            <w:tcMar>
              <w:top w:w="0" w:type="dxa"/>
              <w:left w:w="108" w:type="dxa"/>
              <w:bottom w:w="0" w:type="dxa"/>
              <w:right w:w="108" w:type="dxa"/>
            </w:tcMar>
            <w:vAlign w:val="center"/>
          </w:tcPr>
          <w:p w14:paraId="63CC25E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vMerge w:val="restart"/>
            <w:tcMar>
              <w:top w:w="0" w:type="dxa"/>
              <w:left w:w="108" w:type="dxa"/>
              <w:bottom w:w="0" w:type="dxa"/>
              <w:right w:w="108" w:type="dxa"/>
            </w:tcMar>
            <w:vAlign w:val="center"/>
          </w:tcPr>
          <w:p w14:paraId="29D7E96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A53B307" w14:textId="77777777" w:rsidTr="00D7567A">
        <w:trPr>
          <w:trHeight w:val="124"/>
        </w:trPr>
        <w:tc>
          <w:tcPr>
            <w:tcW w:w="694" w:type="dxa"/>
            <w:tcMar>
              <w:top w:w="0" w:type="dxa"/>
              <w:left w:w="108" w:type="dxa"/>
              <w:bottom w:w="0" w:type="dxa"/>
              <w:right w:w="108" w:type="dxa"/>
            </w:tcMar>
            <w:vAlign w:val="center"/>
          </w:tcPr>
          <w:p w14:paraId="28353AB8"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D1A5DDE"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78FC9E5"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shd w:val="clear" w:color="auto" w:fill="FFFFFF" w:themeFill="background1"/>
          </w:tcPr>
          <w:p w14:paraId="02410B2B"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vMerge/>
            <w:shd w:val="clear" w:color="auto" w:fill="FFFFFF" w:themeFill="background1"/>
            <w:vAlign w:val="center"/>
          </w:tcPr>
          <w:p w14:paraId="14563436"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p>
        </w:tc>
        <w:tc>
          <w:tcPr>
            <w:tcW w:w="1436" w:type="dxa"/>
            <w:vMerge/>
            <w:shd w:val="clear" w:color="auto" w:fill="FFFFFF" w:themeFill="background1"/>
            <w:vAlign w:val="center"/>
          </w:tcPr>
          <w:p w14:paraId="4A1DA8F3" w14:textId="77777777" w:rsidR="00451A59" w:rsidRPr="00451A59" w:rsidRDefault="00451A59" w:rsidP="00451A59">
            <w:pPr>
              <w:shd w:val="clear" w:color="auto" w:fill="FFFFFF" w:themeFill="background1"/>
              <w:tabs>
                <w:tab w:val="center" w:pos="4844"/>
                <w:tab w:val="right" w:pos="9689"/>
              </w:tabs>
              <w:jc w:val="center"/>
              <w:rPr>
                <w:rFonts w:ascii="Times New Roman" w:hAnsi="Times New Roman"/>
                <w:sz w:val="20"/>
                <w:szCs w:val="20"/>
                <w:lang w:val="lt-LT"/>
              </w:rPr>
            </w:pPr>
          </w:p>
        </w:tc>
        <w:tc>
          <w:tcPr>
            <w:tcW w:w="1276" w:type="dxa"/>
            <w:vMerge/>
            <w:shd w:val="clear" w:color="auto" w:fill="FFFFFF" w:themeFill="background1"/>
            <w:tcMar>
              <w:top w:w="0" w:type="dxa"/>
              <w:left w:w="108" w:type="dxa"/>
              <w:bottom w:w="0" w:type="dxa"/>
              <w:right w:w="108" w:type="dxa"/>
            </w:tcMar>
            <w:vAlign w:val="center"/>
          </w:tcPr>
          <w:p w14:paraId="6EE75EFF"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c>
          <w:tcPr>
            <w:tcW w:w="3135" w:type="dxa"/>
            <w:vMerge/>
            <w:tcMar>
              <w:top w:w="0" w:type="dxa"/>
              <w:left w:w="108" w:type="dxa"/>
              <w:bottom w:w="0" w:type="dxa"/>
              <w:right w:w="108" w:type="dxa"/>
            </w:tcMar>
            <w:vAlign w:val="center"/>
          </w:tcPr>
          <w:p w14:paraId="3D344BFB"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p>
        </w:tc>
      </w:tr>
      <w:tr w:rsidR="00451A59" w:rsidRPr="00451A59" w14:paraId="48EB85CB" w14:textId="77777777" w:rsidTr="00D7567A">
        <w:trPr>
          <w:trHeight w:val="402"/>
        </w:trPr>
        <w:tc>
          <w:tcPr>
            <w:tcW w:w="694" w:type="dxa"/>
            <w:shd w:val="clear" w:color="auto" w:fill="FFFFFF" w:themeFill="background1"/>
            <w:tcMar>
              <w:top w:w="0" w:type="dxa"/>
              <w:left w:w="108" w:type="dxa"/>
              <w:bottom w:w="0" w:type="dxa"/>
              <w:right w:w="108" w:type="dxa"/>
            </w:tcMar>
            <w:vAlign w:val="center"/>
          </w:tcPr>
          <w:p w14:paraId="1807DB07"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06A59F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B09F19C"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tcPr>
          <w:p w14:paraId="1786ACD7" w14:textId="77777777" w:rsidR="00451A59" w:rsidRPr="00451A59" w:rsidRDefault="00451A59" w:rsidP="00451A59">
            <w:pPr>
              <w:shd w:val="clear" w:color="auto" w:fill="FFFFFF" w:themeFill="background1"/>
              <w:ind w:left="155" w:right="141" w:hanging="155"/>
              <w:jc w:val="both"/>
              <w:rPr>
                <w:rFonts w:ascii="Times New Roman" w:hAnsi="Times New Roman"/>
                <w:sz w:val="20"/>
                <w:szCs w:val="20"/>
                <w:lang w:val="lt-LT"/>
              </w:rPr>
            </w:pPr>
            <w:r w:rsidRPr="00451A59">
              <w:rPr>
                <w:rFonts w:ascii="Times New Roman" w:hAnsi="Times New Roman"/>
                <w:sz w:val="20"/>
                <w:szCs w:val="20"/>
                <w:lang w:val="lt-LT"/>
              </w:rPr>
              <w:t xml:space="preserve">   2.Pasirašyta sutartis 129 pastato     griovimo techniniam projektui parengti</w:t>
            </w:r>
          </w:p>
        </w:tc>
        <w:tc>
          <w:tcPr>
            <w:tcW w:w="851" w:type="dxa"/>
            <w:shd w:val="clear" w:color="auto" w:fill="FFFFFF" w:themeFill="background1"/>
            <w:vAlign w:val="center"/>
          </w:tcPr>
          <w:p w14:paraId="24A177CE"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617DE4CD" w14:textId="77777777" w:rsidR="00451A59" w:rsidRPr="00451A59" w:rsidRDefault="00451A59" w:rsidP="00451A59">
            <w:pPr>
              <w:shd w:val="clear" w:color="auto" w:fill="FFFFFF" w:themeFill="background1"/>
              <w:tabs>
                <w:tab w:val="center" w:pos="4844"/>
                <w:tab w:val="right" w:pos="9689"/>
              </w:tabs>
              <w:jc w:val="center"/>
              <w:rPr>
                <w:rFonts w:ascii="Times New Roman" w:hAnsi="Times New Roman"/>
                <w:color w:val="000000"/>
                <w:spacing w:val="-3"/>
                <w:sz w:val="20"/>
                <w:szCs w:val="20"/>
                <w:lang w:val="lt-LT"/>
              </w:rPr>
            </w:pPr>
            <w:r w:rsidRPr="00451A59">
              <w:rPr>
                <w:rFonts w:ascii="Times New Roman" w:hAnsi="Times New Roman"/>
                <w:color w:val="000000"/>
                <w:spacing w:val="-3"/>
                <w:sz w:val="20"/>
                <w:szCs w:val="20"/>
                <w:lang w:val="lt-LT"/>
              </w:rPr>
              <w:t>Pasirašyta sutartis</w:t>
            </w:r>
          </w:p>
        </w:tc>
        <w:tc>
          <w:tcPr>
            <w:tcW w:w="1276" w:type="dxa"/>
            <w:shd w:val="clear" w:color="auto" w:fill="FFFFFF" w:themeFill="background1"/>
            <w:tcMar>
              <w:top w:w="0" w:type="dxa"/>
              <w:left w:w="108" w:type="dxa"/>
              <w:bottom w:w="0" w:type="dxa"/>
              <w:right w:w="108" w:type="dxa"/>
            </w:tcMar>
            <w:vAlign w:val="center"/>
          </w:tcPr>
          <w:p w14:paraId="35BF6F3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C197D6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EEDA482" w14:textId="77777777" w:rsidTr="00D7567A">
        <w:trPr>
          <w:trHeight w:val="402"/>
        </w:trPr>
        <w:tc>
          <w:tcPr>
            <w:tcW w:w="694" w:type="dxa"/>
            <w:tcMar>
              <w:top w:w="0" w:type="dxa"/>
              <w:left w:w="108" w:type="dxa"/>
              <w:bottom w:w="0" w:type="dxa"/>
              <w:right w:w="108" w:type="dxa"/>
            </w:tcMar>
            <w:vAlign w:val="center"/>
          </w:tcPr>
          <w:p w14:paraId="0E78A640"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58E8F2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915F9CD"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tcPr>
          <w:p w14:paraId="2B1CD6E9"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3. Projekto uždirbtos vertės metodo rodikliai SPI ir CPI, santykiniai dydžiai</w:t>
            </w:r>
          </w:p>
        </w:tc>
        <w:tc>
          <w:tcPr>
            <w:tcW w:w="851" w:type="dxa"/>
            <w:vMerge w:val="restart"/>
            <w:shd w:val="clear" w:color="auto" w:fill="FFFFFF" w:themeFill="background1"/>
            <w:vAlign w:val="center"/>
          </w:tcPr>
          <w:p w14:paraId="0C6D6D48"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vMerge w:val="restart"/>
            <w:shd w:val="clear" w:color="auto" w:fill="FFFFFF" w:themeFill="background1"/>
            <w:vAlign w:val="center"/>
          </w:tcPr>
          <w:p w14:paraId="5D06255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vMerge w:val="restart"/>
            <w:shd w:val="clear" w:color="auto" w:fill="FFFFFF" w:themeFill="background1"/>
            <w:tcMar>
              <w:top w:w="0" w:type="dxa"/>
              <w:left w:w="108" w:type="dxa"/>
              <w:bottom w:w="0" w:type="dxa"/>
              <w:right w:w="108" w:type="dxa"/>
            </w:tcMar>
            <w:vAlign w:val="center"/>
          </w:tcPr>
          <w:p w14:paraId="4FD27D2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6446D5">
              <w:rPr>
                <w:rFonts w:ascii="Times New Roman" w:hAnsi="Times New Roman"/>
                <w:color w:val="FF0000"/>
                <w:sz w:val="20"/>
                <w:szCs w:val="20"/>
                <w:lang w:val="lt-LT"/>
              </w:rPr>
              <w:t>neįvykdytas</w:t>
            </w:r>
          </w:p>
        </w:tc>
        <w:tc>
          <w:tcPr>
            <w:tcW w:w="3135" w:type="dxa"/>
            <w:vMerge w:val="restart"/>
            <w:tcMar>
              <w:top w:w="0" w:type="dxa"/>
              <w:left w:w="108" w:type="dxa"/>
              <w:bottom w:w="0" w:type="dxa"/>
              <w:right w:w="108" w:type="dxa"/>
            </w:tcMar>
            <w:vAlign w:val="center"/>
          </w:tcPr>
          <w:p w14:paraId="5918FEA3" w14:textId="77777777" w:rsidR="00451A59" w:rsidRPr="00451A59" w:rsidRDefault="00451A59" w:rsidP="00451A59">
            <w:pPr>
              <w:keepNext/>
              <w:shd w:val="clear" w:color="auto" w:fill="FFFFFF" w:themeFill="background1"/>
              <w:spacing w:before="80" w:after="40" w:line="228" w:lineRule="auto"/>
              <w:rPr>
                <w:rFonts w:ascii="Times New Roman" w:hAnsi="Times New Roman"/>
                <w:sz w:val="20"/>
                <w:szCs w:val="20"/>
                <w:lang w:val="lt-LT"/>
              </w:rPr>
            </w:pPr>
            <w:r w:rsidRPr="00451A59">
              <w:rPr>
                <w:rFonts w:ascii="Times New Roman" w:hAnsi="Times New Roman"/>
                <w:spacing w:val="-3"/>
                <w:sz w:val="20"/>
                <w:szCs w:val="20"/>
                <w:lang w:val="lt-LT"/>
              </w:rPr>
              <w:t>Užsitęsė sutarties pasirašymas</w:t>
            </w:r>
          </w:p>
        </w:tc>
      </w:tr>
      <w:tr w:rsidR="00451A59" w:rsidRPr="00451A59" w14:paraId="69DD059F" w14:textId="77777777" w:rsidTr="00D7567A">
        <w:trPr>
          <w:trHeight w:val="314"/>
        </w:trPr>
        <w:tc>
          <w:tcPr>
            <w:tcW w:w="694" w:type="dxa"/>
            <w:tcMar>
              <w:top w:w="0" w:type="dxa"/>
              <w:left w:w="108" w:type="dxa"/>
              <w:bottom w:w="0" w:type="dxa"/>
              <w:right w:w="108" w:type="dxa"/>
            </w:tcMar>
            <w:vAlign w:val="center"/>
          </w:tcPr>
          <w:p w14:paraId="6DCCDB47"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7051AA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9DBFC7D"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tcPr>
          <w:p w14:paraId="17722B5E"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vMerge/>
            <w:shd w:val="clear" w:color="auto" w:fill="FFFFFF" w:themeFill="background1"/>
            <w:vAlign w:val="center"/>
          </w:tcPr>
          <w:p w14:paraId="11F67477"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p>
        </w:tc>
        <w:tc>
          <w:tcPr>
            <w:tcW w:w="1436" w:type="dxa"/>
            <w:vMerge/>
            <w:shd w:val="clear" w:color="auto" w:fill="FFFFFF" w:themeFill="background1"/>
            <w:vAlign w:val="center"/>
          </w:tcPr>
          <w:p w14:paraId="36DEBF5D"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c>
          <w:tcPr>
            <w:tcW w:w="1276" w:type="dxa"/>
            <w:vMerge/>
            <w:shd w:val="clear" w:color="auto" w:fill="FFFFFF" w:themeFill="background1"/>
            <w:tcMar>
              <w:top w:w="0" w:type="dxa"/>
              <w:left w:w="108" w:type="dxa"/>
              <w:bottom w:w="0" w:type="dxa"/>
              <w:right w:w="108" w:type="dxa"/>
            </w:tcMar>
            <w:vAlign w:val="center"/>
          </w:tcPr>
          <w:p w14:paraId="1A602D3A"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c>
          <w:tcPr>
            <w:tcW w:w="3135" w:type="dxa"/>
            <w:vMerge/>
            <w:shd w:val="clear" w:color="auto" w:fill="auto"/>
            <w:tcMar>
              <w:top w:w="0" w:type="dxa"/>
              <w:left w:w="108" w:type="dxa"/>
              <w:bottom w:w="0" w:type="dxa"/>
              <w:right w:w="108" w:type="dxa"/>
            </w:tcMar>
            <w:vAlign w:val="center"/>
          </w:tcPr>
          <w:p w14:paraId="76B3C6C2" w14:textId="77777777" w:rsidR="00451A59" w:rsidRPr="00451A59" w:rsidRDefault="00451A59" w:rsidP="00451A59">
            <w:pPr>
              <w:keepNext/>
              <w:shd w:val="clear" w:color="auto" w:fill="FFFFFF" w:themeFill="background1"/>
              <w:spacing w:before="80" w:after="40" w:line="228" w:lineRule="auto"/>
              <w:rPr>
                <w:rFonts w:ascii="Times New Roman" w:hAnsi="Times New Roman"/>
                <w:spacing w:val="-3"/>
                <w:sz w:val="20"/>
                <w:szCs w:val="20"/>
                <w:lang w:val="lt-LT"/>
              </w:rPr>
            </w:pPr>
          </w:p>
        </w:tc>
      </w:tr>
      <w:tr w:rsidR="00451A59" w:rsidRPr="00451A59" w14:paraId="0728B650" w14:textId="77777777" w:rsidTr="00D7567A">
        <w:trPr>
          <w:trHeight w:val="402"/>
        </w:trPr>
        <w:tc>
          <w:tcPr>
            <w:tcW w:w="694" w:type="dxa"/>
            <w:shd w:val="clear" w:color="auto" w:fill="FFFFFF" w:themeFill="background1"/>
            <w:tcMar>
              <w:top w:w="0" w:type="dxa"/>
              <w:left w:w="108" w:type="dxa"/>
              <w:bottom w:w="0" w:type="dxa"/>
              <w:right w:w="108" w:type="dxa"/>
            </w:tcMar>
            <w:vAlign w:val="center"/>
          </w:tcPr>
          <w:p w14:paraId="5F2D9C6C"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3D6B82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F634646"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tcPr>
          <w:p w14:paraId="6E8BB562"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00BA5529"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0761B06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49B852B4"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shd w:val="clear" w:color="auto" w:fill="auto"/>
            <w:tcMar>
              <w:top w:w="0" w:type="dxa"/>
              <w:left w:w="108" w:type="dxa"/>
              <w:bottom w:w="0" w:type="dxa"/>
              <w:right w:w="108" w:type="dxa"/>
            </w:tcMar>
            <w:vAlign w:val="center"/>
          </w:tcPr>
          <w:p w14:paraId="3F49A416" w14:textId="77777777" w:rsidR="00451A59" w:rsidRPr="00451A59" w:rsidRDefault="00451A59" w:rsidP="00451A59">
            <w:pPr>
              <w:keepNext/>
              <w:shd w:val="clear" w:color="auto" w:fill="FFFFFF" w:themeFill="background1"/>
              <w:spacing w:before="80" w:after="40" w:line="228" w:lineRule="auto"/>
              <w:rPr>
                <w:rFonts w:ascii="Times New Roman" w:hAnsi="Times New Roman"/>
                <w:spacing w:val="-3"/>
                <w:sz w:val="20"/>
                <w:szCs w:val="20"/>
                <w:lang w:val="lt-LT"/>
              </w:rPr>
            </w:pPr>
            <w:r w:rsidRPr="00451A59">
              <w:rPr>
                <w:rFonts w:ascii="Times New Roman" w:hAnsi="Times New Roman"/>
                <w:spacing w:val="-3"/>
                <w:sz w:val="20"/>
                <w:szCs w:val="20"/>
                <w:lang w:val="lt-LT"/>
              </w:rPr>
              <w:t>Užsitęsė sutarties pasirašymas</w:t>
            </w:r>
          </w:p>
        </w:tc>
      </w:tr>
      <w:tr w:rsidR="00451A59" w:rsidRPr="00451A59" w14:paraId="6B70D31D" w14:textId="77777777" w:rsidTr="00D7567A">
        <w:trPr>
          <w:trHeight w:val="402"/>
        </w:trPr>
        <w:tc>
          <w:tcPr>
            <w:tcW w:w="694" w:type="dxa"/>
            <w:shd w:val="clear" w:color="auto" w:fill="FFFFFF" w:themeFill="background1"/>
            <w:tcMar>
              <w:top w:w="0" w:type="dxa"/>
              <w:left w:w="108" w:type="dxa"/>
              <w:bottom w:w="0" w:type="dxa"/>
              <w:right w:w="108" w:type="dxa"/>
            </w:tcMar>
            <w:vAlign w:val="center"/>
          </w:tcPr>
          <w:p w14:paraId="3FE6D821"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15FE454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6.1.5.2</w:t>
            </w:r>
          </w:p>
        </w:tc>
        <w:tc>
          <w:tcPr>
            <w:tcW w:w="2533" w:type="dxa"/>
            <w:vMerge w:val="restart"/>
            <w:vAlign w:val="center"/>
          </w:tcPr>
          <w:p w14:paraId="56B38B3B"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r w:rsidRPr="00451A59">
              <w:rPr>
                <w:rFonts w:ascii="Times New Roman" w:hAnsi="Times New Roman"/>
                <w:color w:val="000000"/>
                <w:spacing w:val="-3"/>
                <w:sz w:val="20"/>
                <w:szCs w:val="20"/>
                <w:lang w:val="lt-LT"/>
              </w:rPr>
              <w:t>Parengti pastatų ir statinių nugriovimo už stebimosios zonos ribų projektinę dokumentaciją (priemonė bus įvykdyta 2034 m.)</w:t>
            </w:r>
          </w:p>
        </w:tc>
        <w:tc>
          <w:tcPr>
            <w:tcW w:w="3260" w:type="dxa"/>
          </w:tcPr>
          <w:p w14:paraId="40F12E40" w14:textId="77777777" w:rsidR="00451A59" w:rsidRPr="00451A59" w:rsidRDefault="00451A59" w:rsidP="00451A59">
            <w:pPr>
              <w:pStyle w:val="ListParagraph"/>
              <w:numPr>
                <w:ilvl w:val="0"/>
                <w:numId w:val="27"/>
              </w:numPr>
              <w:shd w:val="clear" w:color="auto" w:fill="FFFFFF" w:themeFill="background1"/>
              <w:ind w:right="141"/>
              <w:jc w:val="both"/>
              <w:rPr>
                <w:rFonts w:ascii="Times New Roman" w:hAnsi="Times New Roman"/>
                <w:sz w:val="20"/>
                <w:szCs w:val="20"/>
              </w:rPr>
            </w:pPr>
            <w:r w:rsidRPr="00451A59">
              <w:rPr>
                <w:rFonts w:ascii="Times New Roman" w:hAnsi="Times New Roman"/>
                <w:color w:val="000000"/>
                <w:spacing w:val="-3"/>
                <w:sz w:val="20"/>
                <w:szCs w:val="20"/>
              </w:rPr>
              <w:t>Pasirašyta 02, 03, 31G, 77 pastatų bei 22 šilumos punkto griovimo darbų projekto rengimo sutartis</w:t>
            </w:r>
          </w:p>
        </w:tc>
        <w:tc>
          <w:tcPr>
            <w:tcW w:w="851" w:type="dxa"/>
            <w:shd w:val="clear" w:color="auto" w:fill="FFFFFF" w:themeFill="background1"/>
            <w:vAlign w:val="center"/>
          </w:tcPr>
          <w:p w14:paraId="7F882297"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24A3F6C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Pasirašyta sutartis</w:t>
            </w:r>
          </w:p>
        </w:tc>
        <w:tc>
          <w:tcPr>
            <w:tcW w:w="1276" w:type="dxa"/>
            <w:shd w:val="clear" w:color="auto" w:fill="FFFFFF" w:themeFill="background1"/>
            <w:tcMar>
              <w:top w:w="0" w:type="dxa"/>
              <w:left w:w="108" w:type="dxa"/>
              <w:bottom w:w="0" w:type="dxa"/>
              <w:right w:w="108" w:type="dxa"/>
            </w:tcMar>
            <w:vAlign w:val="center"/>
          </w:tcPr>
          <w:p w14:paraId="413F67A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auto"/>
            <w:tcMar>
              <w:top w:w="0" w:type="dxa"/>
              <w:left w:w="108" w:type="dxa"/>
              <w:bottom w:w="0" w:type="dxa"/>
              <w:right w:w="108" w:type="dxa"/>
            </w:tcMar>
            <w:vAlign w:val="center"/>
          </w:tcPr>
          <w:p w14:paraId="3877EAA0" w14:textId="77777777" w:rsidR="00451A59" w:rsidRPr="00451A59" w:rsidRDefault="00451A59" w:rsidP="00451A59">
            <w:pPr>
              <w:keepNext/>
              <w:shd w:val="clear" w:color="auto" w:fill="FFFFFF" w:themeFill="background1"/>
              <w:spacing w:before="80" w:after="40" w:line="228" w:lineRule="auto"/>
              <w:rPr>
                <w:rFonts w:ascii="Times New Roman" w:hAnsi="Times New Roman"/>
                <w:spacing w:val="-3"/>
                <w:sz w:val="20"/>
                <w:szCs w:val="20"/>
                <w:lang w:val="lt-LT"/>
              </w:rPr>
            </w:pPr>
          </w:p>
        </w:tc>
      </w:tr>
      <w:tr w:rsidR="00451A59" w:rsidRPr="00451A59" w14:paraId="7A7E1C36" w14:textId="77777777" w:rsidTr="00D7567A">
        <w:trPr>
          <w:trHeight w:val="402"/>
        </w:trPr>
        <w:tc>
          <w:tcPr>
            <w:tcW w:w="694" w:type="dxa"/>
            <w:shd w:val="clear" w:color="auto" w:fill="FFFFFF" w:themeFill="background1"/>
            <w:tcMar>
              <w:top w:w="0" w:type="dxa"/>
              <w:left w:w="108" w:type="dxa"/>
              <w:bottom w:w="0" w:type="dxa"/>
              <w:right w:w="108" w:type="dxa"/>
            </w:tcMar>
            <w:vAlign w:val="center"/>
          </w:tcPr>
          <w:p w14:paraId="625FFB51"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7392EF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7CB79B9" w14:textId="77777777" w:rsidR="00451A59" w:rsidRPr="00451A59" w:rsidRDefault="00451A59" w:rsidP="00451A59">
            <w:pPr>
              <w:shd w:val="clear" w:color="auto" w:fill="FFFFFF" w:themeFill="background1"/>
              <w:ind w:left="107" w:right="142"/>
              <w:rPr>
                <w:rFonts w:ascii="Times New Roman" w:hAnsi="Times New Roman"/>
                <w:color w:val="000000"/>
                <w:spacing w:val="-3"/>
                <w:sz w:val="20"/>
                <w:szCs w:val="20"/>
                <w:lang w:val="lt-LT"/>
              </w:rPr>
            </w:pPr>
          </w:p>
        </w:tc>
        <w:tc>
          <w:tcPr>
            <w:tcW w:w="3260" w:type="dxa"/>
          </w:tcPr>
          <w:p w14:paraId="24096655" w14:textId="77777777" w:rsidR="00451A59" w:rsidRPr="00451A59" w:rsidRDefault="00451A59" w:rsidP="00451A59">
            <w:pPr>
              <w:pStyle w:val="ListParagraph"/>
              <w:numPr>
                <w:ilvl w:val="0"/>
                <w:numId w:val="27"/>
              </w:numPr>
              <w:shd w:val="clear" w:color="auto" w:fill="FFFFFF" w:themeFill="background1"/>
              <w:ind w:right="141"/>
              <w:jc w:val="both"/>
              <w:rPr>
                <w:rFonts w:ascii="Times New Roman" w:hAnsi="Times New Roman"/>
                <w:color w:val="000000"/>
                <w:spacing w:val="-3"/>
                <w:sz w:val="20"/>
                <w:szCs w:val="20"/>
              </w:rPr>
            </w:pPr>
            <w:r w:rsidRPr="00451A59">
              <w:rPr>
                <w:rFonts w:ascii="Times New Roman" w:hAnsi="Times New Roman"/>
                <w:sz w:val="20"/>
                <w:szCs w:val="20"/>
              </w:rPr>
              <w:t>Projekto uždirbtos vertės metodo rodikliai SPI ir CPI, santykiniai dydžiai</w:t>
            </w:r>
          </w:p>
        </w:tc>
        <w:tc>
          <w:tcPr>
            <w:tcW w:w="851" w:type="dxa"/>
            <w:shd w:val="clear" w:color="auto" w:fill="FFFFFF" w:themeFill="background1"/>
            <w:vAlign w:val="center"/>
          </w:tcPr>
          <w:p w14:paraId="17A7803B"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0FEF178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6265489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auto"/>
            <w:tcMar>
              <w:top w:w="0" w:type="dxa"/>
              <w:left w:w="108" w:type="dxa"/>
              <w:bottom w:w="0" w:type="dxa"/>
              <w:right w:w="108" w:type="dxa"/>
            </w:tcMar>
            <w:vAlign w:val="center"/>
          </w:tcPr>
          <w:p w14:paraId="629EA072" w14:textId="77777777" w:rsidR="00451A59" w:rsidRPr="00451A59" w:rsidRDefault="00451A59" w:rsidP="00451A59">
            <w:pPr>
              <w:keepNext/>
              <w:shd w:val="clear" w:color="auto" w:fill="FFFFFF" w:themeFill="background1"/>
              <w:spacing w:before="80" w:after="40" w:line="228" w:lineRule="auto"/>
              <w:rPr>
                <w:rFonts w:ascii="Times New Roman" w:hAnsi="Times New Roman"/>
                <w:spacing w:val="-3"/>
                <w:sz w:val="20"/>
                <w:szCs w:val="20"/>
                <w:lang w:val="lt-LT"/>
              </w:rPr>
            </w:pPr>
          </w:p>
        </w:tc>
      </w:tr>
      <w:tr w:rsidR="00451A59" w:rsidRPr="00451A59" w14:paraId="6EE3FA52" w14:textId="77777777" w:rsidTr="00D7567A">
        <w:trPr>
          <w:trHeight w:val="554"/>
        </w:trPr>
        <w:tc>
          <w:tcPr>
            <w:tcW w:w="694" w:type="dxa"/>
            <w:tcMar>
              <w:top w:w="0" w:type="dxa"/>
              <w:left w:w="108" w:type="dxa"/>
              <w:bottom w:w="0" w:type="dxa"/>
              <w:right w:w="108" w:type="dxa"/>
            </w:tcMar>
            <w:vAlign w:val="center"/>
          </w:tcPr>
          <w:p w14:paraId="530D4BE9"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4026131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6.2</w:t>
            </w:r>
          </w:p>
        </w:tc>
        <w:tc>
          <w:tcPr>
            <w:tcW w:w="2533" w:type="dxa"/>
            <w:vMerge w:val="restart"/>
            <w:vAlign w:val="center"/>
          </w:tcPr>
          <w:p w14:paraId="0FB662D2"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vAlign w:val="center"/>
          </w:tcPr>
          <w:p w14:paraId="62F9DE7D" w14:textId="77777777" w:rsidR="00451A59" w:rsidRPr="00451A59" w:rsidRDefault="00451A59" w:rsidP="00451A59">
            <w:pPr>
              <w:shd w:val="clear" w:color="auto" w:fill="FFFFFF" w:themeFill="background1"/>
              <w:ind w:left="107" w:right="141"/>
              <w:jc w:val="both"/>
              <w:rPr>
                <w:rFonts w:ascii="Times New Roman" w:hAnsi="Times New Roman"/>
                <w:b/>
                <w:bCs/>
                <w:sz w:val="20"/>
                <w:szCs w:val="20"/>
                <w:lang w:val="lt-LT"/>
              </w:rPr>
            </w:pPr>
            <w:r w:rsidRPr="00451A59">
              <w:rPr>
                <w:rFonts w:ascii="Times New Roman" w:hAnsi="Times New Roman"/>
                <w:b/>
                <w:bCs/>
                <w:sz w:val="20"/>
                <w:szCs w:val="20"/>
                <w:lang w:val="lt-LT"/>
              </w:rPr>
              <w:t>R10 Į laikinąją saugyklą perkeltų panaudoto branduolinio kuro konteinerių skaičius (liko – 104 vnt., iš viso - 190 vnt., bus įvykdyta 2022 m.), ne mažiau nei</w:t>
            </w:r>
          </w:p>
        </w:tc>
        <w:tc>
          <w:tcPr>
            <w:tcW w:w="851" w:type="dxa"/>
            <w:vAlign w:val="center"/>
          </w:tcPr>
          <w:p w14:paraId="26D95733"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vAlign w:val="center"/>
          </w:tcPr>
          <w:p w14:paraId="7AF307A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10 konteinerių</w:t>
            </w:r>
          </w:p>
        </w:tc>
        <w:tc>
          <w:tcPr>
            <w:tcW w:w="1276" w:type="dxa"/>
            <w:tcMar>
              <w:top w:w="0" w:type="dxa"/>
              <w:left w:w="108" w:type="dxa"/>
              <w:bottom w:w="0" w:type="dxa"/>
              <w:right w:w="108" w:type="dxa"/>
            </w:tcMar>
            <w:vAlign w:val="center"/>
          </w:tcPr>
          <w:p w14:paraId="587A9B5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2A63FA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576DB33" w14:textId="77777777" w:rsidTr="00D7567A">
        <w:trPr>
          <w:trHeight w:val="554"/>
        </w:trPr>
        <w:tc>
          <w:tcPr>
            <w:tcW w:w="694" w:type="dxa"/>
            <w:tcMar>
              <w:top w:w="0" w:type="dxa"/>
              <w:left w:w="108" w:type="dxa"/>
              <w:bottom w:w="0" w:type="dxa"/>
              <w:right w:w="108" w:type="dxa"/>
            </w:tcMar>
            <w:vAlign w:val="center"/>
          </w:tcPr>
          <w:p w14:paraId="3B071F4A"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B482B5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3AB3205D"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04ED6A61"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vAlign w:val="center"/>
          </w:tcPr>
          <w:p w14:paraId="2316AF81"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3857BE6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20 konteinerių</w:t>
            </w:r>
          </w:p>
        </w:tc>
        <w:tc>
          <w:tcPr>
            <w:tcW w:w="1276" w:type="dxa"/>
            <w:shd w:val="clear" w:color="auto" w:fill="FFFFFF" w:themeFill="background1"/>
            <w:tcMar>
              <w:top w:w="0" w:type="dxa"/>
              <w:left w:w="108" w:type="dxa"/>
              <w:bottom w:w="0" w:type="dxa"/>
              <w:right w:w="108" w:type="dxa"/>
            </w:tcMar>
            <w:vAlign w:val="center"/>
          </w:tcPr>
          <w:p w14:paraId="19306DC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1EF540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08A1605" w14:textId="77777777" w:rsidTr="00D7567A">
        <w:trPr>
          <w:trHeight w:val="554"/>
        </w:trPr>
        <w:tc>
          <w:tcPr>
            <w:tcW w:w="694" w:type="dxa"/>
            <w:tcMar>
              <w:top w:w="0" w:type="dxa"/>
              <w:left w:w="108" w:type="dxa"/>
              <w:bottom w:w="0" w:type="dxa"/>
              <w:right w:w="108" w:type="dxa"/>
            </w:tcMar>
            <w:vAlign w:val="center"/>
          </w:tcPr>
          <w:p w14:paraId="3BC3DA6A"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39EF8C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4BA2C07"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5537E48E"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5C47F786"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4FEFA4A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30 konteinerių</w:t>
            </w:r>
          </w:p>
        </w:tc>
        <w:tc>
          <w:tcPr>
            <w:tcW w:w="1276" w:type="dxa"/>
            <w:shd w:val="clear" w:color="auto" w:fill="FFFFFF" w:themeFill="background1"/>
            <w:tcMar>
              <w:top w:w="0" w:type="dxa"/>
              <w:left w:w="108" w:type="dxa"/>
              <w:bottom w:w="0" w:type="dxa"/>
              <w:right w:w="108" w:type="dxa"/>
            </w:tcMar>
            <w:vAlign w:val="center"/>
          </w:tcPr>
          <w:p w14:paraId="378C4D6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1C81F46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345EEB9" w14:textId="77777777" w:rsidTr="00D7567A">
        <w:trPr>
          <w:trHeight w:val="934"/>
        </w:trPr>
        <w:tc>
          <w:tcPr>
            <w:tcW w:w="694" w:type="dxa"/>
            <w:shd w:val="clear" w:color="auto" w:fill="FFFFFF" w:themeFill="background1"/>
            <w:tcMar>
              <w:top w:w="0" w:type="dxa"/>
              <w:left w:w="108" w:type="dxa"/>
              <w:bottom w:w="0" w:type="dxa"/>
              <w:right w:w="108" w:type="dxa"/>
            </w:tcMar>
            <w:vAlign w:val="center"/>
          </w:tcPr>
          <w:p w14:paraId="0C7B884C"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A28943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1CADC33"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5E6E3850"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45734036"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71733EB7"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40 konteinerių</w:t>
            </w:r>
          </w:p>
        </w:tc>
        <w:tc>
          <w:tcPr>
            <w:tcW w:w="1276" w:type="dxa"/>
            <w:shd w:val="clear" w:color="auto" w:fill="FFFFFF" w:themeFill="background1"/>
            <w:tcMar>
              <w:top w:w="0" w:type="dxa"/>
              <w:left w:w="108" w:type="dxa"/>
              <w:bottom w:w="0" w:type="dxa"/>
              <w:right w:w="108" w:type="dxa"/>
            </w:tcMar>
            <w:vAlign w:val="center"/>
          </w:tcPr>
          <w:p w14:paraId="6D39F04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62C3F97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8D2AF21" w14:textId="77777777" w:rsidTr="00D7567A">
        <w:trPr>
          <w:trHeight w:val="582"/>
        </w:trPr>
        <w:tc>
          <w:tcPr>
            <w:tcW w:w="694" w:type="dxa"/>
            <w:shd w:val="clear" w:color="auto" w:fill="FFFFFF" w:themeFill="background1"/>
            <w:tcMar>
              <w:top w:w="0" w:type="dxa"/>
              <w:left w:w="108" w:type="dxa"/>
              <w:bottom w:w="0" w:type="dxa"/>
              <w:right w:w="108" w:type="dxa"/>
            </w:tcMar>
            <w:vAlign w:val="center"/>
          </w:tcPr>
          <w:p w14:paraId="7CE3F44A"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501FA6D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6.2.1</w:t>
            </w:r>
          </w:p>
        </w:tc>
        <w:tc>
          <w:tcPr>
            <w:tcW w:w="2533" w:type="dxa"/>
            <w:vMerge w:val="restart"/>
          </w:tcPr>
          <w:p w14:paraId="6950EFA8"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r w:rsidRPr="00451A59">
              <w:rPr>
                <w:rFonts w:ascii="Times New Roman" w:hAnsi="Times New Roman"/>
                <w:color w:val="000000"/>
                <w:spacing w:val="-3"/>
                <w:sz w:val="20"/>
                <w:szCs w:val="20"/>
                <w:lang w:val="lt-LT"/>
              </w:rPr>
              <w:t>Priemonė – įvykdyti projektą „Laikinoji panaudoto branduolinio kuro saugykla (B1)“ (priemonė bus įvykdyta 2021 m., saugyklos pramoninis eksploatavimas pradėtas 2017 m.)</w:t>
            </w:r>
          </w:p>
        </w:tc>
        <w:tc>
          <w:tcPr>
            <w:tcW w:w="3260" w:type="dxa"/>
            <w:vAlign w:val="center"/>
          </w:tcPr>
          <w:p w14:paraId="6106E08A" w14:textId="77777777" w:rsidR="00451A59" w:rsidRPr="00451A59" w:rsidRDefault="00451A59" w:rsidP="00451A59">
            <w:pPr>
              <w:pStyle w:val="ListParagraph"/>
              <w:numPr>
                <w:ilvl w:val="0"/>
                <w:numId w:val="28"/>
              </w:numPr>
              <w:shd w:val="clear" w:color="auto" w:fill="FFFFFF" w:themeFill="background1"/>
              <w:ind w:right="141"/>
              <w:jc w:val="both"/>
              <w:rPr>
                <w:rFonts w:ascii="Times New Roman" w:hAnsi="Times New Roman"/>
                <w:sz w:val="20"/>
                <w:szCs w:val="20"/>
              </w:rPr>
            </w:pPr>
            <w:r w:rsidRPr="00451A59">
              <w:rPr>
                <w:rFonts w:ascii="Times New Roman" w:hAnsi="Times New Roman"/>
                <w:color w:val="000000"/>
                <w:spacing w:val="-3"/>
                <w:sz w:val="20"/>
                <w:szCs w:val="20"/>
              </w:rPr>
              <w:t>Pradėtas pažeisto kuro tvarkymo įrangos montavimas 1-ajame bloke</w:t>
            </w:r>
          </w:p>
        </w:tc>
        <w:tc>
          <w:tcPr>
            <w:tcW w:w="851" w:type="dxa"/>
            <w:shd w:val="clear" w:color="auto" w:fill="FFFFFF" w:themeFill="background1"/>
            <w:vAlign w:val="center"/>
          </w:tcPr>
          <w:p w14:paraId="5FE0E62C"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51EB103B"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Aktas</w:t>
            </w:r>
          </w:p>
        </w:tc>
        <w:tc>
          <w:tcPr>
            <w:tcW w:w="1276" w:type="dxa"/>
            <w:shd w:val="clear" w:color="auto" w:fill="FFFFFF" w:themeFill="background1"/>
            <w:tcMar>
              <w:top w:w="0" w:type="dxa"/>
              <w:left w:w="108" w:type="dxa"/>
              <w:bottom w:w="0" w:type="dxa"/>
              <w:right w:w="108" w:type="dxa"/>
            </w:tcMar>
            <w:vAlign w:val="center"/>
          </w:tcPr>
          <w:p w14:paraId="41DA970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79DFC698"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259AEF47" w14:textId="77777777" w:rsidTr="00D7567A">
        <w:trPr>
          <w:trHeight w:val="689"/>
        </w:trPr>
        <w:tc>
          <w:tcPr>
            <w:tcW w:w="694" w:type="dxa"/>
            <w:shd w:val="clear" w:color="auto" w:fill="FFFFFF" w:themeFill="background1"/>
            <w:tcMar>
              <w:top w:w="0" w:type="dxa"/>
              <w:left w:w="108" w:type="dxa"/>
              <w:bottom w:w="0" w:type="dxa"/>
              <w:right w:w="108" w:type="dxa"/>
            </w:tcMar>
            <w:vAlign w:val="center"/>
          </w:tcPr>
          <w:p w14:paraId="65954CD8"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BB1DBB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1473F91"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tcPr>
          <w:p w14:paraId="055E8515" w14:textId="77777777" w:rsidR="00451A59" w:rsidRPr="00451A59" w:rsidRDefault="00451A59" w:rsidP="00451A59">
            <w:pPr>
              <w:pStyle w:val="ListParagraph"/>
              <w:numPr>
                <w:ilvl w:val="0"/>
                <w:numId w:val="28"/>
              </w:numPr>
              <w:shd w:val="clear" w:color="auto" w:fill="FFFFFF" w:themeFill="background1"/>
              <w:ind w:right="141"/>
              <w:jc w:val="both"/>
              <w:rPr>
                <w:rFonts w:ascii="Times New Roman" w:hAnsi="Times New Roman"/>
                <w:sz w:val="20"/>
                <w:szCs w:val="20"/>
              </w:rPr>
            </w:pPr>
            <w:r w:rsidRPr="00451A59">
              <w:rPr>
                <w:rFonts w:ascii="Times New Roman" w:hAnsi="Times New Roman"/>
                <w:sz w:val="20"/>
                <w:szCs w:val="20"/>
              </w:rPr>
              <w:t>Projekto uždirbtos vertės metodo rodikliai SPI ir CPI, santykiniai dydžiai</w:t>
            </w:r>
          </w:p>
        </w:tc>
        <w:tc>
          <w:tcPr>
            <w:tcW w:w="851" w:type="dxa"/>
            <w:shd w:val="clear" w:color="auto" w:fill="FFFFFF" w:themeFill="background1"/>
            <w:vAlign w:val="center"/>
          </w:tcPr>
          <w:p w14:paraId="16241D38"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0281B5BB"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452565E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46C24341"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7CC76C8B" w14:textId="77777777" w:rsidTr="00D7567A">
        <w:trPr>
          <w:trHeight w:val="698"/>
        </w:trPr>
        <w:tc>
          <w:tcPr>
            <w:tcW w:w="694" w:type="dxa"/>
            <w:shd w:val="clear" w:color="auto" w:fill="FFFFFF" w:themeFill="background1"/>
            <w:tcMar>
              <w:top w:w="0" w:type="dxa"/>
              <w:left w:w="108" w:type="dxa"/>
              <w:bottom w:w="0" w:type="dxa"/>
              <w:right w:w="108" w:type="dxa"/>
            </w:tcMar>
            <w:vAlign w:val="center"/>
          </w:tcPr>
          <w:p w14:paraId="43DA4864"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817F6C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3A61F619"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tcPr>
          <w:p w14:paraId="5B2AE875" w14:textId="77777777" w:rsidR="00451A59" w:rsidRPr="00451A59" w:rsidRDefault="00451A59" w:rsidP="00451A59">
            <w:pPr>
              <w:pStyle w:val="ListParagraph"/>
              <w:numPr>
                <w:ilvl w:val="0"/>
                <w:numId w:val="28"/>
              </w:numPr>
              <w:shd w:val="clear" w:color="auto" w:fill="FFFFFF" w:themeFill="background1"/>
              <w:ind w:right="141"/>
              <w:jc w:val="both"/>
              <w:rPr>
                <w:rFonts w:ascii="Times New Roman" w:hAnsi="Times New Roman"/>
                <w:sz w:val="20"/>
                <w:szCs w:val="20"/>
              </w:rPr>
            </w:pPr>
            <w:r w:rsidRPr="00451A59">
              <w:rPr>
                <w:rFonts w:ascii="Times New Roman" w:hAnsi="Times New Roman"/>
                <w:sz w:val="20"/>
                <w:szCs w:val="20"/>
              </w:rPr>
              <w:t>Projekto uždirbtos vertės metodo rodikliai SPI ir CPI, santykiniai dydžiai</w:t>
            </w:r>
          </w:p>
        </w:tc>
        <w:tc>
          <w:tcPr>
            <w:tcW w:w="851" w:type="dxa"/>
            <w:shd w:val="clear" w:color="auto" w:fill="FFFFFF" w:themeFill="background1"/>
            <w:vAlign w:val="center"/>
          </w:tcPr>
          <w:p w14:paraId="1824C65E"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55DAD34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46E7F71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4BFE7B27"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6DE0E3DD" w14:textId="77777777" w:rsidTr="00D7567A">
        <w:trPr>
          <w:trHeight w:val="403"/>
        </w:trPr>
        <w:tc>
          <w:tcPr>
            <w:tcW w:w="694" w:type="dxa"/>
            <w:tcMar>
              <w:top w:w="0" w:type="dxa"/>
              <w:left w:w="108" w:type="dxa"/>
              <w:bottom w:w="0" w:type="dxa"/>
              <w:right w:w="108" w:type="dxa"/>
            </w:tcMar>
            <w:vAlign w:val="center"/>
          </w:tcPr>
          <w:p w14:paraId="099C077C"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41D7E49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6.3</w:t>
            </w:r>
          </w:p>
        </w:tc>
        <w:tc>
          <w:tcPr>
            <w:tcW w:w="2533" w:type="dxa"/>
            <w:vMerge w:val="restart"/>
            <w:vAlign w:val="center"/>
          </w:tcPr>
          <w:p w14:paraId="1269EFDE"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vAlign w:val="center"/>
          </w:tcPr>
          <w:p w14:paraId="0523DE29"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b/>
                <w:bCs/>
                <w:sz w:val="20"/>
                <w:szCs w:val="20"/>
                <w:lang w:val="lt-LT"/>
              </w:rPr>
              <w:t>R11 Bendras apdorotų atliekų kiekis be pakuotės (liko 102607 m3, iš viso 131663 m3), ne mažiau</w:t>
            </w:r>
            <w:r w:rsidRPr="00451A59">
              <w:rPr>
                <w:rFonts w:ascii="Times New Roman" w:hAnsi="Times New Roman"/>
                <w:sz w:val="20"/>
                <w:szCs w:val="20"/>
                <w:lang w:val="lt-LT"/>
              </w:rPr>
              <w:t xml:space="preserve"> nei</w:t>
            </w:r>
          </w:p>
        </w:tc>
        <w:tc>
          <w:tcPr>
            <w:tcW w:w="851" w:type="dxa"/>
            <w:shd w:val="clear" w:color="auto" w:fill="FFFFFF" w:themeFill="background1"/>
            <w:vAlign w:val="center"/>
          </w:tcPr>
          <w:p w14:paraId="4C0E7B73"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shd w:val="clear" w:color="auto" w:fill="FFFFFF" w:themeFill="background1"/>
            <w:vAlign w:val="center"/>
          </w:tcPr>
          <w:p w14:paraId="62A2B93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1000 m</w:t>
            </w:r>
            <w:r w:rsidRPr="00451A59">
              <w:rPr>
                <w:rFonts w:ascii="Times New Roman" w:hAnsi="Times New Roman"/>
                <w:sz w:val="20"/>
                <w:szCs w:val="20"/>
                <w:vertAlign w:val="superscript"/>
                <w:lang w:val="lt-LT"/>
              </w:rPr>
              <w:t>3</w:t>
            </w:r>
          </w:p>
        </w:tc>
        <w:tc>
          <w:tcPr>
            <w:tcW w:w="1276" w:type="dxa"/>
            <w:shd w:val="clear" w:color="auto" w:fill="FFFFFF" w:themeFill="background1"/>
            <w:tcMar>
              <w:top w:w="0" w:type="dxa"/>
              <w:left w:w="108" w:type="dxa"/>
              <w:bottom w:w="0" w:type="dxa"/>
              <w:right w:w="108" w:type="dxa"/>
            </w:tcMar>
            <w:vAlign w:val="center"/>
          </w:tcPr>
          <w:p w14:paraId="17A8C6B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40DCB38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9BF25A3" w14:textId="77777777" w:rsidTr="00D7567A">
        <w:trPr>
          <w:trHeight w:val="424"/>
        </w:trPr>
        <w:tc>
          <w:tcPr>
            <w:tcW w:w="694" w:type="dxa"/>
            <w:tcMar>
              <w:top w:w="0" w:type="dxa"/>
              <w:left w:w="108" w:type="dxa"/>
              <w:bottom w:w="0" w:type="dxa"/>
              <w:right w:w="108" w:type="dxa"/>
            </w:tcMar>
            <w:vAlign w:val="center"/>
          </w:tcPr>
          <w:p w14:paraId="6792859A"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B1C499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73F6412"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25EECE19"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55655A77"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2C4C68B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2752 m</w:t>
            </w:r>
            <w:r w:rsidRPr="00451A59">
              <w:rPr>
                <w:rFonts w:ascii="Times New Roman" w:hAnsi="Times New Roman"/>
                <w:sz w:val="20"/>
                <w:szCs w:val="20"/>
                <w:vertAlign w:val="superscript"/>
                <w:lang w:val="lt-LT"/>
              </w:rPr>
              <w:t>3</w:t>
            </w:r>
          </w:p>
        </w:tc>
        <w:tc>
          <w:tcPr>
            <w:tcW w:w="1276" w:type="dxa"/>
            <w:shd w:val="clear" w:color="auto" w:fill="FFFFFF" w:themeFill="background1"/>
            <w:tcMar>
              <w:top w:w="0" w:type="dxa"/>
              <w:left w:w="108" w:type="dxa"/>
              <w:bottom w:w="0" w:type="dxa"/>
              <w:right w:w="108" w:type="dxa"/>
            </w:tcMar>
            <w:vAlign w:val="center"/>
          </w:tcPr>
          <w:p w14:paraId="0A59F40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37F33ED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7A4B33BF" w14:textId="77777777" w:rsidTr="00D7567A">
        <w:trPr>
          <w:trHeight w:val="363"/>
        </w:trPr>
        <w:tc>
          <w:tcPr>
            <w:tcW w:w="694" w:type="dxa"/>
            <w:tcMar>
              <w:top w:w="0" w:type="dxa"/>
              <w:left w:w="108" w:type="dxa"/>
              <w:bottom w:w="0" w:type="dxa"/>
              <w:right w:w="108" w:type="dxa"/>
            </w:tcMar>
            <w:vAlign w:val="center"/>
          </w:tcPr>
          <w:p w14:paraId="05139C09"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5C55B32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EC5B2C2"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6167980A"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5E40901F"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6DE5E2F4" w14:textId="77777777" w:rsidR="00451A59" w:rsidRPr="00451A59" w:rsidRDefault="00451A59" w:rsidP="00451A59">
            <w:pPr>
              <w:keepNext/>
              <w:shd w:val="clear" w:color="auto" w:fill="FFFFFF" w:themeFill="background1"/>
              <w:spacing w:before="80" w:after="40" w:line="228" w:lineRule="auto"/>
              <w:jc w:val="center"/>
              <w:rPr>
                <w:rFonts w:ascii="Times New Roman" w:hAnsi="Times New Roman"/>
                <w:spacing w:val="-3"/>
                <w:sz w:val="20"/>
                <w:szCs w:val="20"/>
                <w:lang w:val="lt-LT"/>
              </w:rPr>
            </w:pPr>
            <w:r w:rsidRPr="00451A59">
              <w:rPr>
                <w:rFonts w:ascii="Times New Roman" w:hAnsi="Times New Roman"/>
                <w:spacing w:val="-3"/>
                <w:sz w:val="20"/>
                <w:szCs w:val="20"/>
                <w:lang w:val="lt-LT"/>
              </w:rPr>
              <w:t>4850 m</w:t>
            </w:r>
            <w:r w:rsidRPr="00451A59">
              <w:rPr>
                <w:rFonts w:ascii="Times New Roman" w:hAnsi="Times New Roman"/>
                <w:spacing w:val="-3"/>
                <w:sz w:val="20"/>
                <w:szCs w:val="20"/>
                <w:vertAlign w:val="superscript"/>
                <w:lang w:val="lt-LT"/>
              </w:rPr>
              <w:t>3</w:t>
            </w:r>
          </w:p>
          <w:p w14:paraId="2740A7D9"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c>
          <w:tcPr>
            <w:tcW w:w="1276" w:type="dxa"/>
            <w:shd w:val="clear" w:color="auto" w:fill="FFFFFF" w:themeFill="background1"/>
            <w:tcMar>
              <w:top w:w="0" w:type="dxa"/>
              <w:left w:w="108" w:type="dxa"/>
              <w:bottom w:w="0" w:type="dxa"/>
              <w:right w:w="108" w:type="dxa"/>
            </w:tcMar>
            <w:vAlign w:val="center"/>
          </w:tcPr>
          <w:p w14:paraId="7673F76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59E67CB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2F3DF3" w14:paraId="2D221BD8" w14:textId="77777777" w:rsidTr="00D7567A">
        <w:trPr>
          <w:trHeight w:val="363"/>
        </w:trPr>
        <w:tc>
          <w:tcPr>
            <w:tcW w:w="694" w:type="dxa"/>
            <w:shd w:val="clear" w:color="auto" w:fill="FFFFFF" w:themeFill="background1"/>
            <w:tcMar>
              <w:top w:w="0" w:type="dxa"/>
              <w:left w:w="108" w:type="dxa"/>
              <w:bottom w:w="0" w:type="dxa"/>
              <w:right w:w="108" w:type="dxa"/>
            </w:tcMar>
            <w:vAlign w:val="center"/>
          </w:tcPr>
          <w:p w14:paraId="320D1A3A"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BB3F60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1F1D438"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ign w:val="center"/>
          </w:tcPr>
          <w:p w14:paraId="356716E0"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4EE56180"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50DA38FA" w14:textId="77777777" w:rsidR="00451A59" w:rsidRPr="00451A59" w:rsidDel="00977B7E" w:rsidRDefault="00451A59" w:rsidP="00451A59">
            <w:pPr>
              <w:keepNext/>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8041  m</w:t>
            </w:r>
            <w:r w:rsidRPr="00451A59">
              <w:rPr>
                <w:rFonts w:ascii="Times New Roman" w:hAnsi="Times New Roman"/>
                <w:spacing w:val="-3"/>
                <w:sz w:val="20"/>
                <w:szCs w:val="20"/>
                <w:vertAlign w:val="superscript"/>
                <w:lang w:val="lt-LT"/>
              </w:rPr>
              <w:t>3</w:t>
            </w:r>
          </w:p>
        </w:tc>
        <w:tc>
          <w:tcPr>
            <w:tcW w:w="1276" w:type="dxa"/>
            <w:shd w:val="clear" w:color="auto" w:fill="FFFFFF" w:themeFill="background1"/>
            <w:tcMar>
              <w:top w:w="0" w:type="dxa"/>
              <w:left w:w="108" w:type="dxa"/>
              <w:bottom w:w="0" w:type="dxa"/>
              <w:right w:w="108" w:type="dxa"/>
            </w:tcMar>
            <w:vAlign w:val="center"/>
          </w:tcPr>
          <w:p w14:paraId="5EC8A19D"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shd w:val="clear" w:color="auto" w:fill="FFFFFF" w:themeFill="background1"/>
            <w:tcMar>
              <w:top w:w="0" w:type="dxa"/>
              <w:left w:w="108" w:type="dxa"/>
              <w:bottom w:w="0" w:type="dxa"/>
              <w:right w:w="108" w:type="dxa"/>
            </w:tcMar>
            <w:vAlign w:val="center"/>
          </w:tcPr>
          <w:p w14:paraId="51ECF939" w14:textId="13C918DD" w:rsidR="00451A59" w:rsidRPr="00451A59" w:rsidRDefault="00832107" w:rsidP="00451A59">
            <w:pPr>
              <w:pStyle w:val="ListParagraph"/>
              <w:keepNext/>
              <w:widowControl w:val="0"/>
              <w:shd w:val="clear" w:color="auto" w:fill="FFFFFF" w:themeFill="background1"/>
              <w:autoSpaceDE w:val="0"/>
              <w:autoSpaceDN w:val="0"/>
              <w:adjustRightInd w:val="0"/>
              <w:ind w:left="40"/>
              <w:contextualSpacing w:val="0"/>
              <w:jc w:val="center"/>
              <w:rPr>
                <w:rFonts w:ascii="Times New Roman" w:hAnsi="Times New Roman"/>
                <w:iCs/>
                <w:spacing w:val="-3"/>
                <w:sz w:val="20"/>
                <w:szCs w:val="20"/>
              </w:rPr>
            </w:pPr>
            <w:r>
              <w:rPr>
                <w:rFonts w:ascii="Times New Roman" w:hAnsi="Times New Roman"/>
                <w:iCs/>
                <w:spacing w:val="-3"/>
                <w:sz w:val="20"/>
                <w:szCs w:val="20"/>
              </w:rPr>
              <w:t>Dėl rangovo įsipareigojimų nevykdymo n</w:t>
            </w:r>
            <w:r w:rsidR="00451A59" w:rsidRPr="00451A59">
              <w:rPr>
                <w:rFonts w:ascii="Times New Roman" w:hAnsi="Times New Roman"/>
                <w:iCs/>
                <w:spacing w:val="-3"/>
                <w:sz w:val="20"/>
                <w:szCs w:val="20"/>
              </w:rPr>
              <w:t>e</w:t>
            </w:r>
            <w:r>
              <w:rPr>
                <w:rFonts w:ascii="Times New Roman" w:hAnsi="Times New Roman"/>
                <w:iCs/>
                <w:spacing w:val="-3"/>
                <w:sz w:val="20"/>
                <w:szCs w:val="20"/>
              </w:rPr>
              <w:t>įsigytos</w:t>
            </w:r>
            <w:r w:rsidR="00451A59" w:rsidRPr="00451A59">
              <w:rPr>
                <w:rFonts w:ascii="Times New Roman" w:hAnsi="Times New Roman"/>
                <w:iCs/>
                <w:spacing w:val="-3"/>
                <w:sz w:val="20"/>
                <w:szCs w:val="20"/>
              </w:rPr>
              <w:t xml:space="preserve"> statinės,</w:t>
            </w:r>
            <w:r>
              <w:rPr>
                <w:rFonts w:ascii="Times New Roman" w:hAnsi="Times New Roman"/>
                <w:iCs/>
                <w:spacing w:val="-3"/>
                <w:sz w:val="20"/>
                <w:szCs w:val="20"/>
              </w:rPr>
              <w:t xml:space="preserve"> </w:t>
            </w:r>
            <w:r>
              <w:rPr>
                <w:rFonts w:ascii="Times New Roman" w:hAnsi="Times New Roman"/>
                <w:iCs/>
                <w:spacing w:val="-3"/>
                <w:sz w:val="20"/>
                <w:szCs w:val="20"/>
              </w:rPr>
              <w:lastRenderedPageBreak/>
              <w:t>reikalingos atliekų apdorojimui. Atliktas naujas pirkimas, tikrinamas statinių tinkamumas.</w:t>
            </w:r>
          </w:p>
          <w:p w14:paraId="0B21DCD9" w14:textId="3F9DA6FF" w:rsidR="00451A59" w:rsidRPr="00451A59" w:rsidRDefault="00832107" w:rsidP="00451A59">
            <w:pPr>
              <w:pStyle w:val="ListParagraph"/>
              <w:keepNext/>
              <w:widowControl w:val="0"/>
              <w:shd w:val="clear" w:color="auto" w:fill="FFFFFF" w:themeFill="background1"/>
              <w:autoSpaceDE w:val="0"/>
              <w:autoSpaceDN w:val="0"/>
              <w:adjustRightInd w:val="0"/>
              <w:ind w:left="40"/>
              <w:contextualSpacing w:val="0"/>
              <w:jc w:val="center"/>
              <w:rPr>
                <w:rFonts w:ascii="Times New Roman" w:hAnsi="Times New Roman"/>
                <w:iCs/>
                <w:color w:val="000099"/>
                <w:spacing w:val="-3"/>
                <w:sz w:val="20"/>
                <w:szCs w:val="20"/>
              </w:rPr>
            </w:pPr>
            <w:r>
              <w:rPr>
                <w:rFonts w:ascii="Times New Roman" w:hAnsi="Times New Roman"/>
                <w:iCs/>
                <w:spacing w:val="-3"/>
                <w:sz w:val="20"/>
                <w:szCs w:val="20"/>
              </w:rPr>
              <w:t xml:space="preserve">Dėl „karštųjų“ bandymų metu nustatytų trūkumų, reikėjo atlikti papildomus darbus, todėl nebuvo gautas projekto </w:t>
            </w:r>
            <w:r w:rsidR="00451A59" w:rsidRPr="00451A59">
              <w:rPr>
                <w:rFonts w:ascii="Times New Roman" w:hAnsi="Times New Roman"/>
                <w:iCs/>
                <w:spacing w:val="-3"/>
                <w:sz w:val="20"/>
                <w:szCs w:val="20"/>
              </w:rPr>
              <w:t>B2</w:t>
            </w:r>
            <w:r>
              <w:rPr>
                <w:rFonts w:ascii="Times New Roman" w:hAnsi="Times New Roman"/>
                <w:iCs/>
                <w:spacing w:val="-3"/>
                <w:sz w:val="20"/>
                <w:szCs w:val="20"/>
              </w:rPr>
              <w:t>/</w:t>
            </w:r>
            <w:r w:rsidR="00451A59" w:rsidRPr="00451A59">
              <w:rPr>
                <w:rFonts w:ascii="Times New Roman" w:hAnsi="Times New Roman"/>
                <w:iCs/>
                <w:spacing w:val="-3"/>
                <w:sz w:val="20"/>
                <w:szCs w:val="20"/>
              </w:rPr>
              <w:t>3</w:t>
            </w:r>
            <w:r>
              <w:rPr>
                <w:rFonts w:ascii="Times New Roman" w:hAnsi="Times New Roman"/>
                <w:iCs/>
                <w:spacing w:val="-3"/>
                <w:sz w:val="20"/>
                <w:szCs w:val="20"/>
              </w:rPr>
              <w:t>/</w:t>
            </w:r>
            <w:r w:rsidR="00451A59" w:rsidRPr="00451A59">
              <w:rPr>
                <w:rFonts w:ascii="Times New Roman" w:hAnsi="Times New Roman"/>
                <w:iCs/>
                <w:spacing w:val="-3"/>
                <w:sz w:val="20"/>
                <w:szCs w:val="20"/>
              </w:rPr>
              <w:t>4 pramoninės eksploatacijos</w:t>
            </w:r>
            <w:r>
              <w:rPr>
                <w:rFonts w:ascii="Times New Roman" w:hAnsi="Times New Roman"/>
                <w:iCs/>
                <w:spacing w:val="-3"/>
                <w:sz w:val="20"/>
                <w:szCs w:val="20"/>
              </w:rPr>
              <w:t xml:space="preserve"> leidimas.</w:t>
            </w:r>
          </w:p>
        </w:tc>
      </w:tr>
      <w:tr w:rsidR="00451A59" w:rsidRPr="00451A59" w14:paraId="5586DF9B" w14:textId="77777777" w:rsidTr="00D7567A">
        <w:trPr>
          <w:trHeight w:val="401"/>
        </w:trPr>
        <w:tc>
          <w:tcPr>
            <w:tcW w:w="694" w:type="dxa"/>
            <w:tcMar>
              <w:top w:w="0" w:type="dxa"/>
              <w:left w:w="108" w:type="dxa"/>
              <w:bottom w:w="0" w:type="dxa"/>
              <w:right w:w="108" w:type="dxa"/>
            </w:tcMar>
            <w:vAlign w:val="center"/>
          </w:tcPr>
          <w:p w14:paraId="1092EAFD"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6F4DA44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6.3.1</w:t>
            </w:r>
          </w:p>
        </w:tc>
        <w:tc>
          <w:tcPr>
            <w:tcW w:w="2533" w:type="dxa"/>
            <w:vMerge w:val="restart"/>
            <w:vAlign w:val="center"/>
          </w:tcPr>
          <w:p w14:paraId="10A3423C"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r w:rsidRPr="00451A59">
              <w:rPr>
                <w:rFonts w:ascii="Times New Roman" w:hAnsi="Times New Roman"/>
                <w:bCs/>
                <w:sz w:val="20"/>
                <w:szCs w:val="20"/>
                <w:lang w:val="lt-LT"/>
              </w:rPr>
              <w:t>Apdoroti</w:t>
            </w:r>
            <w:r w:rsidRPr="00451A59">
              <w:rPr>
                <w:rFonts w:ascii="Times New Roman" w:hAnsi="Times New Roman"/>
                <w:sz w:val="20"/>
                <w:szCs w:val="20"/>
                <w:lang w:val="lt-LT"/>
              </w:rPr>
              <w:t xml:space="preserve"> radioaktyviąsias atliekas</w:t>
            </w:r>
          </w:p>
        </w:tc>
        <w:tc>
          <w:tcPr>
            <w:tcW w:w="3260" w:type="dxa"/>
            <w:vMerge w:val="restart"/>
            <w:vAlign w:val="center"/>
          </w:tcPr>
          <w:p w14:paraId="6230AB92"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1.1. A klasės radioaktyviųjų atliekų 15,5% (iš viso liko apie 65201 m3, iš viso apie 73137 m3) (pabaiga – 2038 m.), ne mažiau nei</w:t>
            </w:r>
          </w:p>
        </w:tc>
        <w:tc>
          <w:tcPr>
            <w:tcW w:w="851" w:type="dxa"/>
            <w:vAlign w:val="center"/>
          </w:tcPr>
          <w:p w14:paraId="0032ED97"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vAlign w:val="center"/>
          </w:tcPr>
          <w:p w14:paraId="3CD15C6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500 m</w:t>
            </w:r>
            <w:r w:rsidRPr="00451A59">
              <w:rPr>
                <w:rFonts w:ascii="Times New Roman" w:hAnsi="Times New Roman"/>
                <w:sz w:val="20"/>
                <w:szCs w:val="20"/>
                <w:vertAlign w:val="superscript"/>
                <w:lang w:val="lt-LT"/>
              </w:rPr>
              <w:t>3</w:t>
            </w:r>
          </w:p>
        </w:tc>
        <w:tc>
          <w:tcPr>
            <w:tcW w:w="1276" w:type="dxa"/>
            <w:tcMar>
              <w:top w:w="0" w:type="dxa"/>
              <w:left w:w="108" w:type="dxa"/>
              <w:bottom w:w="0" w:type="dxa"/>
              <w:right w:w="108" w:type="dxa"/>
            </w:tcMar>
            <w:vAlign w:val="center"/>
          </w:tcPr>
          <w:p w14:paraId="46D284C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153CB8B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7127F597" w14:textId="77777777" w:rsidTr="00D7567A">
        <w:trPr>
          <w:trHeight w:val="551"/>
        </w:trPr>
        <w:tc>
          <w:tcPr>
            <w:tcW w:w="694" w:type="dxa"/>
            <w:tcMar>
              <w:top w:w="0" w:type="dxa"/>
              <w:left w:w="108" w:type="dxa"/>
              <w:bottom w:w="0" w:type="dxa"/>
              <w:right w:w="108" w:type="dxa"/>
            </w:tcMar>
            <w:vAlign w:val="center"/>
          </w:tcPr>
          <w:p w14:paraId="323D0DB5"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B43AEC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E94A97D"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ign w:val="center"/>
          </w:tcPr>
          <w:p w14:paraId="4836E5DE"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vAlign w:val="center"/>
          </w:tcPr>
          <w:p w14:paraId="7D1D5E18"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6AAFC6D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1400 m</w:t>
            </w:r>
            <w:r w:rsidRPr="00451A59">
              <w:rPr>
                <w:rFonts w:ascii="Times New Roman" w:hAnsi="Times New Roman"/>
                <w:sz w:val="20"/>
                <w:szCs w:val="20"/>
                <w:vertAlign w:val="superscript"/>
                <w:lang w:val="lt-LT"/>
              </w:rPr>
              <w:t>3</w:t>
            </w:r>
          </w:p>
        </w:tc>
        <w:tc>
          <w:tcPr>
            <w:tcW w:w="1276" w:type="dxa"/>
            <w:tcMar>
              <w:top w:w="0" w:type="dxa"/>
              <w:left w:w="108" w:type="dxa"/>
              <w:bottom w:w="0" w:type="dxa"/>
              <w:right w:w="108" w:type="dxa"/>
            </w:tcMar>
            <w:vAlign w:val="center"/>
          </w:tcPr>
          <w:p w14:paraId="746CE7C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1104687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D544CE0" w14:textId="77777777" w:rsidTr="00D7567A">
        <w:trPr>
          <w:trHeight w:val="551"/>
        </w:trPr>
        <w:tc>
          <w:tcPr>
            <w:tcW w:w="694" w:type="dxa"/>
            <w:tcMar>
              <w:top w:w="0" w:type="dxa"/>
              <w:left w:w="108" w:type="dxa"/>
              <w:bottom w:w="0" w:type="dxa"/>
              <w:right w:w="108" w:type="dxa"/>
            </w:tcMar>
            <w:vAlign w:val="center"/>
          </w:tcPr>
          <w:p w14:paraId="25059EB0"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3A5911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1BC0050"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ign w:val="center"/>
          </w:tcPr>
          <w:p w14:paraId="0464D88E"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2BD46ABF"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0F0FECD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1900 m</w:t>
            </w:r>
            <w:r w:rsidRPr="00451A59">
              <w:rPr>
                <w:rFonts w:ascii="Times New Roman" w:hAnsi="Times New Roman"/>
                <w:sz w:val="20"/>
                <w:szCs w:val="20"/>
                <w:vertAlign w:val="superscript"/>
                <w:lang w:val="lt-LT"/>
              </w:rPr>
              <w:t>3</w:t>
            </w:r>
          </w:p>
        </w:tc>
        <w:tc>
          <w:tcPr>
            <w:tcW w:w="1276" w:type="dxa"/>
            <w:shd w:val="clear" w:color="auto" w:fill="FFFFFF" w:themeFill="background1"/>
            <w:tcMar>
              <w:top w:w="0" w:type="dxa"/>
              <w:left w:w="108" w:type="dxa"/>
              <w:bottom w:w="0" w:type="dxa"/>
              <w:right w:w="108" w:type="dxa"/>
            </w:tcMar>
            <w:vAlign w:val="center"/>
          </w:tcPr>
          <w:p w14:paraId="70FDCA9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5351346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2F3DF3" w14:paraId="46F43980" w14:textId="77777777" w:rsidTr="00D7567A">
        <w:trPr>
          <w:trHeight w:val="551"/>
        </w:trPr>
        <w:tc>
          <w:tcPr>
            <w:tcW w:w="694" w:type="dxa"/>
            <w:shd w:val="clear" w:color="auto" w:fill="FFFFFF" w:themeFill="background1"/>
            <w:tcMar>
              <w:top w:w="0" w:type="dxa"/>
              <w:left w:w="108" w:type="dxa"/>
              <w:bottom w:w="0" w:type="dxa"/>
              <w:right w:w="108" w:type="dxa"/>
            </w:tcMar>
            <w:vAlign w:val="center"/>
          </w:tcPr>
          <w:p w14:paraId="56161812"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8A65D8E"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15FE376"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ign w:val="center"/>
          </w:tcPr>
          <w:p w14:paraId="26A5D54C"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42F49DA0"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 xml:space="preserve">IV </w:t>
            </w:r>
          </w:p>
        </w:tc>
        <w:tc>
          <w:tcPr>
            <w:tcW w:w="1436" w:type="dxa"/>
            <w:shd w:val="clear" w:color="auto" w:fill="FFFFFF" w:themeFill="background1"/>
            <w:vAlign w:val="center"/>
          </w:tcPr>
          <w:p w14:paraId="3D4FD4D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3405  m</w:t>
            </w:r>
            <w:r w:rsidRPr="00451A59">
              <w:rPr>
                <w:rFonts w:ascii="Times New Roman" w:hAnsi="Times New Roman"/>
                <w:sz w:val="20"/>
                <w:szCs w:val="20"/>
                <w:vertAlign w:val="superscript"/>
                <w:lang w:val="lt-LT"/>
              </w:rPr>
              <w:t>3</w:t>
            </w:r>
          </w:p>
        </w:tc>
        <w:tc>
          <w:tcPr>
            <w:tcW w:w="1276" w:type="dxa"/>
            <w:shd w:val="clear" w:color="auto" w:fill="FFFFFF" w:themeFill="background1"/>
            <w:tcMar>
              <w:top w:w="0" w:type="dxa"/>
              <w:left w:w="108" w:type="dxa"/>
              <w:bottom w:w="0" w:type="dxa"/>
              <w:right w:w="108" w:type="dxa"/>
            </w:tcMar>
            <w:vAlign w:val="center"/>
          </w:tcPr>
          <w:p w14:paraId="3AA64F5F"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178AFA93" w14:textId="77777777" w:rsidR="00832107" w:rsidRPr="002F3DF3" w:rsidRDefault="00832107" w:rsidP="00832107">
            <w:pPr>
              <w:keepNext/>
              <w:widowControl w:val="0"/>
              <w:shd w:val="clear" w:color="auto" w:fill="FFFFFF" w:themeFill="background1"/>
              <w:autoSpaceDE w:val="0"/>
              <w:autoSpaceDN w:val="0"/>
              <w:adjustRightInd w:val="0"/>
              <w:spacing w:before="80" w:after="40" w:line="228" w:lineRule="auto"/>
              <w:rPr>
                <w:rFonts w:ascii="Times New Roman" w:hAnsi="Times New Roman"/>
                <w:spacing w:val="-3"/>
                <w:sz w:val="20"/>
                <w:szCs w:val="20"/>
                <w:lang w:val="lt-LT"/>
              </w:rPr>
            </w:pPr>
            <w:r w:rsidRPr="002F3DF3">
              <w:rPr>
                <w:rFonts w:ascii="Times New Roman" w:hAnsi="Times New Roman"/>
                <w:spacing w:val="-3"/>
                <w:sz w:val="20"/>
                <w:szCs w:val="20"/>
                <w:lang w:val="lt-LT"/>
              </w:rPr>
              <w:t>Dėl rangovo įsipareigojimų nevykdymo neįsigytos statinės, reikalingos atliekų apdorojimui. Atliktas naujas pirkimas, tikrinamas statinių tinkamumas.</w:t>
            </w:r>
          </w:p>
          <w:p w14:paraId="3CC0AE87" w14:textId="49BB8C6E" w:rsidR="00451A59" w:rsidRPr="00832107" w:rsidRDefault="00832107" w:rsidP="00832107">
            <w:pPr>
              <w:shd w:val="clear" w:color="auto" w:fill="FFFFFF" w:themeFill="background1"/>
              <w:rPr>
                <w:rFonts w:ascii="Times New Roman" w:hAnsi="Times New Roman"/>
                <w:sz w:val="20"/>
                <w:szCs w:val="20"/>
                <w:lang w:val="lt-LT"/>
              </w:rPr>
            </w:pPr>
            <w:r w:rsidRPr="00832107">
              <w:rPr>
                <w:rFonts w:ascii="Times New Roman" w:hAnsi="Times New Roman"/>
                <w:spacing w:val="-3"/>
                <w:sz w:val="20"/>
                <w:szCs w:val="20"/>
                <w:lang w:val="lt-LT"/>
              </w:rPr>
              <w:t>Dėl „karštųjų“ bandymų metu nustatytų trūkumų, reikėjo atlikti papildomus darbus, todėl nebuvo gautas projekto B2/3/4 pramoninės eksploatacijos leidimas.</w:t>
            </w:r>
          </w:p>
        </w:tc>
      </w:tr>
      <w:tr w:rsidR="00451A59" w:rsidRPr="00451A59" w14:paraId="13E1C6BC" w14:textId="77777777" w:rsidTr="00D7567A">
        <w:trPr>
          <w:trHeight w:val="551"/>
        </w:trPr>
        <w:tc>
          <w:tcPr>
            <w:tcW w:w="694" w:type="dxa"/>
            <w:tcMar>
              <w:top w:w="0" w:type="dxa"/>
              <w:left w:w="108" w:type="dxa"/>
              <w:bottom w:w="0" w:type="dxa"/>
              <w:right w:w="108" w:type="dxa"/>
            </w:tcMar>
            <w:vAlign w:val="center"/>
          </w:tcPr>
          <w:p w14:paraId="224EAFC7"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FBA3BB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69092F8"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restart"/>
            <w:vAlign w:val="center"/>
          </w:tcPr>
          <w:p w14:paraId="53633199"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pacing w:val="-3"/>
                <w:sz w:val="20"/>
                <w:szCs w:val="20"/>
                <w:lang w:val="lt-LT"/>
              </w:rPr>
              <w:t>1.2. B ir C klasių radioaktyviųjų atliekų 6,2 % (iš viso apie 8407</w:t>
            </w:r>
            <w:r w:rsidRPr="00451A59">
              <w:rPr>
                <w:rFonts w:ascii="Times New Roman" w:hAnsi="Times New Roman"/>
                <w:i/>
                <w:spacing w:val="-3"/>
                <w:sz w:val="20"/>
                <w:szCs w:val="20"/>
                <w:lang w:val="lt-LT"/>
              </w:rPr>
              <w:t xml:space="preserve"> </w:t>
            </w:r>
            <w:r w:rsidRPr="00451A59">
              <w:rPr>
                <w:rFonts w:ascii="Times New Roman" w:hAnsi="Times New Roman"/>
                <w:spacing w:val="-3"/>
                <w:sz w:val="20"/>
                <w:szCs w:val="20"/>
                <w:lang w:val="lt-LT"/>
              </w:rPr>
              <w:t>m</w:t>
            </w:r>
            <w:r w:rsidRPr="00451A59">
              <w:rPr>
                <w:rFonts w:ascii="Times New Roman" w:hAnsi="Times New Roman"/>
                <w:spacing w:val="-3"/>
                <w:sz w:val="20"/>
                <w:szCs w:val="20"/>
                <w:vertAlign w:val="superscript"/>
                <w:lang w:val="lt-LT"/>
              </w:rPr>
              <w:t>3</w:t>
            </w:r>
            <w:r w:rsidRPr="00451A59">
              <w:rPr>
                <w:rFonts w:ascii="Times New Roman" w:hAnsi="Times New Roman"/>
                <w:spacing w:val="-3"/>
                <w:sz w:val="20"/>
                <w:szCs w:val="20"/>
                <w:lang w:val="lt-LT"/>
              </w:rPr>
              <w:t>) (pabaiga – 2038 m.), ne mažiau nei</w:t>
            </w:r>
          </w:p>
        </w:tc>
        <w:tc>
          <w:tcPr>
            <w:tcW w:w="851" w:type="dxa"/>
            <w:shd w:val="clear" w:color="auto" w:fill="FFFFFF" w:themeFill="background1"/>
            <w:vAlign w:val="center"/>
          </w:tcPr>
          <w:p w14:paraId="1F729DF0"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0B21D47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200 m</w:t>
            </w:r>
            <w:r w:rsidRPr="00451A59">
              <w:rPr>
                <w:rFonts w:ascii="Times New Roman" w:hAnsi="Times New Roman"/>
                <w:sz w:val="20"/>
                <w:szCs w:val="20"/>
                <w:vertAlign w:val="superscript"/>
                <w:lang w:val="lt-LT"/>
              </w:rPr>
              <w:t>3</w:t>
            </w:r>
          </w:p>
        </w:tc>
        <w:tc>
          <w:tcPr>
            <w:tcW w:w="1276" w:type="dxa"/>
            <w:shd w:val="clear" w:color="auto" w:fill="FFFFFF" w:themeFill="background1"/>
            <w:tcMar>
              <w:top w:w="0" w:type="dxa"/>
              <w:left w:w="108" w:type="dxa"/>
              <w:bottom w:w="0" w:type="dxa"/>
              <w:right w:w="108" w:type="dxa"/>
            </w:tcMar>
            <w:vAlign w:val="center"/>
          </w:tcPr>
          <w:p w14:paraId="2BE159C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6446D5">
              <w:rPr>
                <w:rFonts w:ascii="Times New Roman" w:hAnsi="Times New Roman"/>
                <w:color w:val="FF0000"/>
                <w:sz w:val="20"/>
                <w:szCs w:val="20"/>
                <w:lang w:val="lt-LT"/>
              </w:rPr>
              <w:t>neįvykdytas</w:t>
            </w:r>
          </w:p>
        </w:tc>
        <w:tc>
          <w:tcPr>
            <w:tcW w:w="3135" w:type="dxa"/>
            <w:shd w:val="clear" w:color="auto" w:fill="FFFFFF" w:themeFill="background1"/>
            <w:tcMar>
              <w:top w:w="0" w:type="dxa"/>
              <w:left w:w="108" w:type="dxa"/>
              <w:bottom w:w="0" w:type="dxa"/>
              <w:right w:w="108" w:type="dxa"/>
            </w:tcMar>
            <w:vAlign w:val="center"/>
          </w:tcPr>
          <w:p w14:paraId="7F3E4B75" w14:textId="6D3AD748" w:rsidR="00451A59" w:rsidRPr="00451A59" w:rsidRDefault="00832107" w:rsidP="00451A59">
            <w:pPr>
              <w:keepNext/>
              <w:shd w:val="clear" w:color="auto" w:fill="FFFFFF" w:themeFill="background1"/>
              <w:spacing w:before="80" w:after="40" w:line="228" w:lineRule="auto"/>
              <w:jc w:val="center"/>
              <w:rPr>
                <w:rFonts w:ascii="Times New Roman" w:hAnsi="Times New Roman"/>
                <w:spacing w:val="-3"/>
                <w:sz w:val="20"/>
                <w:szCs w:val="20"/>
                <w:lang w:val="lt-LT"/>
              </w:rPr>
            </w:pPr>
            <w:r w:rsidRPr="00832107">
              <w:rPr>
                <w:rFonts w:ascii="Times New Roman" w:hAnsi="Times New Roman"/>
                <w:sz w:val="20"/>
                <w:szCs w:val="20"/>
                <w:lang w:val="lt-LT"/>
              </w:rPr>
              <w:t>Dėl rangovo įsipareigojimų nevykdymo neįsigytos statinės, reikalingos atliekų apdorojimui. Atliktas naujas pi</w:t>
            </w:r>
            <w:r>
              <w:rPr>
                <w:rFonts w:ascii="Times New Roman" w:hAnsi="Times New Roman"/>
                <w:sz w:val="20"/>
                <w:szCs w:val="20"/>
                <w:lang w:val="lt-LT"/>
              </w:rPr>
              <w:t>r</w:t>
            </w:r>
            <w:r w:rsidRPr="00832107">
              <w:rPr>
                <w:rFonts w:ascii="Times New Roman" w:hAnsi="Times New Roman"/>
                <w:sz w:val="20"/>
                <w:szCs w:val="20"/>
                <w:lang w:val="lt-LT"/>
              </w:rPr>
              <w:t>kimas, tikrinamas statinių tinkamumas.</w:t>
            </w:r>
          </w:p>
        </w:tc>
      </w:tr>
      <w:tr w:rsidR="00451A59" w:rsidRPr="002F3DF3" w14:paraId="7A07B978" w14:textId="77777777" w:rsidTr="00D7567A">
        <w:trPr>
          <w:trHeight w:val="551"/>
        </w:trPr>
        <w:tc>
          <w:tcPr>
            <w:tcW w:w="694" w:type="dxa"/>
            <w:shd w:val="clear" w:color="auto" w:fill="FFFFFF" w:themeFill="background1"/>
            <w:tcMar>
              <w:top w:w="0" w:type="dxa"/>
              <w:left w:w="108" w:type="dxa"/>
              <w:bottom w:w="0" w:type="dxa"/>
              <w:right w:w="108" w:type="dxa"/>
            </w:tcMar>
            <w:vAlign w:val="center"/>
          </w:tcPr>
          <w:p w14:paraId="5791DE41"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2085A2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5774B47"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ign w:val="center"/>
          </w:tcPr>
          <w:p w14:paraId="2C8FDD14" w14:textId="77777777" w:rsidR="00451A59" w:rsidRPr="00451A59" w:rsidRDefault="00451A59" w:rsidP="00451A59">
            <w:pPr>
              <w:shd w:val="clear" w:color="auto" w:fill="FFFFFF" w:themeFill="background1"/>
              <w:ind w:left="107" w:right="141"/>
              <w:jc w:val="both"/>
              <w:rPr>
                <w:rFonts w:ascii="Times New Roman" w:hAnsi="Times New Roman"/>
                <w:spacing w:val="-3"/>
                <w:sz w:val="20"/>
                <w:szCs w:val="20"/>
                <w:lang w:val="lt-LT"/>
              </w:rPr>
            </w:pPr>
          </w:p>
        </w:tc>
        <w:tc>
          <w:tcPr>
            <w:tcW w:w="851" w:type="dxa"/>
            <w:shd w:val="clear" w:color="auto" w:fill="FFFFFF" w:themeFill="background1"/>
            <w:vAlign w:val="center"/>
          </w:tcPr>
          <w:p w14:paraId="26210C87"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 xml:space="preserve">IV </w:t>
            </w:r>
          </w:p>
        </w:tc>
        <w:tc>
          <w:tcPr>
            <w:tcW w:w="1436" w:type="dxa"/>
            <w:shd w:val="clear" w:color="auto" w:fill="FFFFFF" w:themeFill="background1"/>
            <w:vAlign w:val="center"/>
          </w:tcPr>
          <w:p w14:paraId="5CEA5CB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523  m</w:t>
            </w:r>
            <w:r w:rsidRPr="00451A59">
              <w:rPr>
                <w:rFonts w:ascii="Times New Roman" w:hAnsi="Times New Roman"/>
                <w:sz w:val="20"/>
                <w:szCs w:val="20"/>
                <w:vertAlign w:val="superscript"/>
                <w:lang w:val="lt-LT"/>
              </w:rPr>
              <w:t>3</w:t>
            </w:r>
          </w:p>
        </w:tc>
        <w:tc>
          <w:tcPr>
            <w:tcW w:w="1276" w:type="dxa"/>
            <w:shd w:val="clear" w:color="auto" w:fill="FFFFFF" w:themeFill="background1"/>
            <w:tcMar>
              <w:top w:w="0" w:type="dxa"/>
              <w:left w:w="108" w:type="dxa"/>
              <w:bottom w:w="0" w:type="dxa"/>
              <w:right w:w="108" w:type="dxa"/>
            </w:tcMar>
            <w:vAlign w:val="center"/>
          </w:tcPr>
          <w:p w14:paraId="25F42290"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shd w:val="clear" w:color="auto" w:fill="FFFFFF" w:themeFill="background1"/>
            <w:tcMar>
              <w:top w:w="0" w:type="dxa"/>
              <w:left w:w="108" w:type="dxa"/>
              <w:bottom w:w="0" w:type="dxa"/>
              <w:right w:w="108" w:type="dxa"/>
            </w:tcMar>
            <w:vAlign w:val="center"/>
          </w:tcPr>
          <w:p w14:paraId="21DEC3BC" w14:textId="43C9267E" w:rsidR="00451A59" w:rsidRPr="00451A59" w:rsidRDefault="00832107" w:rsidP="00451A59">
            <w:pPr>
              <w:keepNext/>
              <w:shd w:val="clear" w:color="auto" w:fill="FFFFFF" w:themeFill="background1"/>
              <w:spacing w:before="80" w:after="40" w:line="228" w:lineRule="auto"/>
              <w:jc w:val="center"/>
              <w:rPr>
                <w:rFonts w:ascii="Times New Roman" w:hAnsi="Times New Roman"/>
                <w:spacing w:val="-3"/>
                <w:sz w:val="20"/>
                <w:szCs w:val="20"/>
                <w:lang w:val="lt-LT"/>
              </w:rPr>
            </w:pPr>
            <w:r w:rsidRPr="00832107">
              <w:rPr>
                <w:rFonts w:ascii="Times New Roman" w:hAnsi="Times New Roman"/>
                <w:spacing w:val="-3"/>
                <w:sz w:val="20"/>
                <w:szCs w:val="20"/>
                <w:lang w:val="lt-LT"/>
              </w:rPr>
              <w:t>Dėl „karštųjų“ bandymų metu nustatytų trūkumų, reikėjo atlikti papildomus darbus, todėl nebuvo gautas projekto B2/3/4 pramoninės eksploatacijos leidimas.</w:t>
            </w:r>
          </w:p>
        </w:tc>
      </w:tr>
      <w:tr w:rsidR="00451A59" w:rsidRPr="002F3DF3" w14:paraId="7E77FE21" w14:textId="77777777" w:rsidTr="00D7567A">
        <w:trPr>
          <w:trHeight w:val="551"/>
        </w:trPr>
        <w:tc>
          <w:tcPr>
            <w:tcW w:w="694" w:type="dxa"/>
            <w:shd w:val="clear" w:color="auto" w:fill="FFFFFF" w:themeFill="background1"/>
            <w:tcMar>
              <w:top w:w="0" w:type="dxa"/>
              <w:left w:w="108" w:type="dxa"/>
              <w:bottom w:w="0" w:type="dxa"/>
              <w:right w:w="108" w:type="dxa"/>
            </w:tcMar>
            <w:vAlign w:val="center"/>
          </w:tcPr>
          <w:p w14:paraId="156316F3"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574208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3118483"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Align w:val="center"/>
          </w:tcPr>
          <w:p w14:paraId="72154D69" w14:textId="77777777" w:rsidR="00451A59" w:rsidRPr="00451A59" w:rsidRDefault="00451A59" w:rsidP="00451A59">
            <w:pPr>
              <w:shd w:val="clear" w:color="auto" w:fill="FFFFFF" w:themeFill="background1"/>
              <w:ind w:left="107" w:right="141"/>
              <w:jc w:val="both"/>
              <w:rPr>
                <w:rFonts w:ascii="Times New Roman" w:hAnsi="Times New Roman"/>
                <w:spacing w:val="-3"/>
                <w:sz w:val="20"/>
                <w:szCs w:val="20"/>
                <w:lang w:val="lt-LT"/>
              </w:rPr>
            </w:pPr>
            <w:r w:rsidRPr="00451A59">
              <w:rPr>
                <w:rFonts w:ascii="Times New Roman" w:hAnsi="Times New Roman"/>
                <w:spacing w:val="-3"/>
                <w:sz w:val="20"/>
                <w:szCs w:val="20"/>
                <w:lang w:val="lt-LT"/>
              </w:rPr>
              <w:t>1.3. D ir E klasių radioaktyviųjų atliekų 7,3 % (iš viso apie 1008 m3) (pabaiga – 2038 m.), ne mažiau nei</w:t>
            </w:r>
          </w:p>
        </w:tc>
        <w:tc>
          <w:tcPr>
            <w:tcW w:w="851" w:type="dxa"/>
            <w:shd w:val="clear" w:color="auto" w:fill="FFFFFF" w:themeFill="background1"/>
            <w:vAlign w:val="center"/>
          </w:tcPr>
          <w:p w14:paraId="36479B59"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741F75E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74  m</w:t>
            </w:r>
            <w:r w:rsidRPr="00451A59">
              <w:rPr>
                <w:rFonts w:ascii="Times New Roman" w:hAnsi="Times New Roman"/>
                <w:sz w:val="20"/>
                <w:szCs w:val="20"/>
                <w:vertAlign w:val="superscript"/>
                <w:lang w:val="lt-LT"/>
              </w:rPr>
              <w:t>3</w:t>
            </w:r>
          </w:p>
        </w:tc>
        <w:tc>
          <w:tcPr>
            <w:tcW w:w="1276" w:type="dxa"/>
            <w:shd w:val="clear" w:color="auto" w:fill="FFFFFF" w:themeFill="background1"/>
            <w:tcMar>
              <w:top w:w="0" w:type="dxa"/>
              <w:left w:w="108" w:type="dxa"/>
              <w:bottom w:w="0" w:type="dxa"/>
              <w:right w:w="108" w:type="dxa"/>
            </w:tcMar>
            <w:vAlign w:val="center"/>
          </w:tcPr>
          <w:p w14:paraId="75FA1CB1"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shd w:val="clear" w:color="auto" w:fill="FFFFFF" w:themeFill="background1"/>
            <w:tcMar>
              <w:top w:w="0" w:type="dxa"/>
              <w:left w:w="108" w:type="dxa"/>
              <w:bottom w:w="0" w:type="dxa"/>
              <w:right w:w="108" w:type="dxa"/>
            </w:tcMar>
            <w:vAlign w:val="center"/>
          </w:tcPr>
          <w:p w14:paraId="172B9822" w14:textId="46F58017" w:rsidR="00451A59" w:rsidRPr="00451A59" w:rsidRDefault="00832107" w:rsidP="00451A59">
            <w:pPr>
              <w:keepNext/>
              <w:shd w:val="clear" w:color="auto" w:fill="FFFFFF" w:themeFill="background1"/>
              <w:spacing w:before="80" w:after="40" w:line="228" w:lineRule="auto"/>
              <w:jc w:val="center"/>
              <w:rPr>
                <w:rFonts w:ascii="Times New Roman" w:hAnsi="Times New Roman"/>
                <w:sz w:val="20"/>
                <w:szCs w:val="20"/>
                <w:lang w:val="lt-LT"/>
              </w:rPr>
            </w:pPr>
            <w:r w:rsidRPr="00832107">
              <w:rPr>
                <w:rFonts w:ascii="Times New Roman" w:hAnsi="Times New Roman"/>
                <w:spacing w:val="-3"/>
                <w:sz w:val="20"/>
                <w:szCs w:val="20"/>
                <w:lang w:val="lt-LT"/>
              </w:rPr>
              <w:t xml:space="preserve">Dėl „karštųjų“ bandymų metu nustatytų trūkumų, reikėjo atlikti </w:t>
            </w:r>
            <w:r w:rsidRPr="00832107">
              <w:rPr>
                <w:rFonts w:ascii="Times New Roman" w:hAnsi="Times New Roman"/>
                <w:spacing w:val="-3"/>
                <w:sz w:val="20"/>
                <w:szCs w:val="20"/>
                <w:lang w:val="lt-LT"/>
              </w:rPr>
              <w:lastRenderedPageBreak/>
              <w:t>papildomus darbus, todėl nebuvo gautas projekto B2/3/4 pramoninės eksploatacijos leidimas.</w:t>
            </w:r>
          </w:p>
        </w:tc>
      </w:tr>
      <w:tr w:rsidR="00451A59" w:rsidRPr="00451A59" w14:paraId="6FC53ECB" w14:textId="77777777" w:rsidTr="00D7567A">
        <w:trPr>
          <w:trHeight w:val="551"/>
        </w:trPr>
        <w:tc>
          <w:tcPr>
            <w:tcW w:w="694" w:type="dxa"/>
            <w:tcMar>
              <w:top w:w="0" w:type="dxa"/>
              <w:left w:w="108" w:type="dxa"/>
              <w:bottom w:w="0" w:type="dxa"/>
              <w:right w:w="108" w:type="dxa"/>
            </w:tcMar>
            <w:vAlign w:val="center"/>
          </w:tcPr>
          <w:p w14:paraId="5C5D3784"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7F27A2C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w:t>
            </w:r>
          </w:p>
        </w:tc>
        <w:tc>
          <w:tcPr>
            <w:tcW w:w="2533" w:type="dxa"/>
            <w:vMerge w:val="restart"/>
            <w:vAlign w:val="center"/>
          </w:tcPr>
          <w:p w14:paraId="2E9CDF13"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restart"/>
            <w:vAlign w:val="center"/>
          </w:tcPr>
          <w:p w14:paraId="53269EAA" w14:textId="77777777" w:rsidR="00451A59" w:rsidRPr="00451A59" w:rsidRDefault="00451A59" w:rsidP="00451A59">
            <w:pPr>
              <w:shd w:val="clear" w:color="auto" w:fill="FFFFFF" w:themeFill="background1"/>
              <w:ind w:left="107" w:right="141"/>
              <w:jc w:val="both"/>
              <w:rPr>
                <w:rFonts w:ascii="Times New Roman" w:hAnsi="Times New Roman"/>
                <w:b/>
                <w:bCs/>
                <w:sz w:val="20"/>
                <w:szCs w:val="20"/>
                <w:lang w:val="lt-LT"/>
              </w:rPr>
            </w:pPr>
            <w:r w:rsidRPr="00451A59">
              <w:rPr>
                <w:rFonts w:ascii="Times New Roman" w:hAnsi="Times New Roman"/>
                <w:b/>
                <w:bCs/>
                <w:sz w:val="20"/>
                <w:szCs w:val="20"/>
                <w:lang w:val="lt-LT"/>
              </w:rPr>
              <w:t>R12 Atliekų, patalpintų į tarpines saugyklas ir atliekynus, kiekis su pakuote (liko 111898 m</w:t>
            </w:r>
            <w:r w:rsidRPr="00451A59">
              <w:rPr>
                <w:rFonts w:ascii="Times New Roman" w:hAnsi="Times New Roman"/>
                <w:b/>
                <w:bCs/>
                <w:sz w:val="20"/>
                <w:szCs w:val="20"/>
                <w:vertAlign w:val="superscript"/>
                <w:lang w:val="lt-LT"/>
              </w:rPr>
              <w:t>3</w:t>
            </w:r>
            <w:r w:rsidRPr="00451A59">
              <w:rPr>
                <w:rFonts w:ascii="Times New Roman" w:hAnsi="Times New Roman"/>
                <w:b/>
                <w:bCs/>
                <w:sz w:val="20"/>
                <w:szCs w:val="20"/>
                <w:lang w:val="lt-LT"/>
              </w:rPr>
              <w:t>, iš viso 146000 m³), ne mažiau nei</w:t>
            </w:r>
          </w:p>
        </w:tc>
        <w:tc>
          <w:tcPr>
            <w:tcW w:w="851" w:type="dxa"/>
            <w:shd w:val="clear" w:color="auto" w:fill="FFFFFF" w:themeFill="background1"/>
            <w:vAlign w:val="center"/>
          </w:tcPr>
          <w:p w14:paraId="0BA1B388"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55711EB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28,4 m</w:t>
            </w:r>
            <w:r w:rsidRPr="00451A59">
              <w:rPr>
                <w:rFonts w:ascii="Times New Roman" w:hAnsi="Times New Roman"/>
                <w:spacing w:val="-3"/>
                <w:sz w:val="20"/>
                <w:szCs w:val="20"/>
                <w:vertAlign w:val="superscript"/>
                <w:lang w:val="lt-LT"/>
              </w:rPr>
              <w:t>3</w:t>
            </w:r>
          </w:p>
        </w:tc>
        <w:tc>
          <w:tcPr>
            <w:tcW w:w="1276" w:type="dxa"/>
            <w:shd w:val="clear" w:color="auto" w:fill="FFFFFF" w:themeFill="background1"/>
            <w:tcMar>
              <w:top w:w="0" w:type="dxa"/>
              <w:left w:w="108" w:type="dxa"/>
              <w:bottom w:w="0" w:type="dxa"/>
              <w:right w:w="108" w:type="dxa"/>
            </w:tcMar>
            <w:vAlign w:val="center"/>
          </w:tcPr>
          <w:p w14:paraId="6FB4B9D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6446D5">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034B032B" w14:textId="4648A452" w:rsidR="00451A59" w:rsidRPr="00451A59" w:rsidRDefault="00832107" w:rsidP="00451A59">
            <w:pPr>
              <w:shd w:val="clear" w:color="auto" w:fill="FFFFFF" w:themeFill="background1"/>
              <w:jc w:val="center"/>
              <w:rPr>
                <w:rFonts w:ascii="Times New Roman" w:hAnsi="Times New Roman"/>
                <w:sz w:val="20"/>
                <w:szCs w:val="20"/>
                <w:lang w:val="lt-LT"/>
              </w:rPr>
            </w:pPr>
            <w:r w:rsidRPr="00832107">
              <w:rPr>
                <w:rFonts w:ascii="Times New Roman" w:hAnsi="Times New Roman"/>
                <w:spacing w:val="-3"/>
                <w:sz w:val="20"/>
                <w:szCs w:val="20"/>
                <w:lang w:val="lt-LT"/>
              </w:rPr>
              <w:t>Dėl rangovo įsipareigojimų nevykdymo neįsigytos statinės, reikalingos atliekų apdorojimui. Atliktas naujas pirkimas, tikrinamas statinių tinkamumas.</w:t>
            </w:r>
          </w:p>
        </w:tc>
      </w:tr>
      <w:tr w:rsidR="00451A59" w:rsidRPr="002F3DF3" w14:paraId="4754E640" w14:textId="77777777" w:rsidTr="00D7567A">
        <w:trPr>
          <w:trHeight w:val="551"/>
        </w:trPr>
        <w:tc>
          <w:tcPr>
            <w:tcW w:w="694" w:type="dxa"/>
            <w:shd w:val="clear" w:color="auto" w:fill="FFFFFF" w:themeFill="background1"/>
            <w:tcMar>
              <w:top w:w="0" w:type="dxa"/>
              <w:left w:w="108" w:type="dxa"/>
              <w:bottom w:w="0" w:type="dxa"/>
              <w:right w:w="108" w:type="dxa"/>
            </w:tcMar>
            <w:vAlign w:val="center"/>
          </w:tcPr>
          <w:p w14:paraId="7D06D819"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A9D2CA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AC68FA1"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Merge/>
            <w:vAlign w:val="center"/>
          </w:tcPr>
          <w:p w14:paraId="3E80FD96"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758D451F"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r w:rsidRPr="00451A59" w:rsidDel="008B6B64">
              <w:rPr>
                <w:rFonts w:ascii="Times New Roman" w:hAnsi="Times New Roman"/>
                <w:sz w:val="20"/>
                <w:szCs w:val="20"/>
                <w:lang w:val="lt-LT"/>
              </w:rPr>
              <w:t xml:space="preserve"> </w:t>
            </w:r>
          </w:p>
        </w:tc>
        <w:tc>
          <w:tcPr>
            <w:tcW w:w="1436" w:type="dxa"/>
            <w:shd w:val="clear" w:color="auto" w:fill="FFFFFF" w:themeFill="background1"/>
            <w:vAlign w:val="center"/>
          </w:tcPr>
          <w:p w14:paraId="47A1AA1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128,4 m</w:t>
            </w:r>
            <w:r w:rsidRPr="00451A59">
              <w:rPr>
                <w:rFonts w:ascii="Times New Roman" w:hAnsi="Times New Roman"/>
                <w:spacing w:val="-3"/>
                <w:sz w:val="20"/>
                <w:szCs w:val="20"/>
                <w:vertAlign w:val="superscript"/>
                <w:lang w:val="lt-LT"/>
              </w:rPr>
              <w:t>3</w:t>
            </w:r>
            <w:bookmarkStart w:id="0" w:name="_GoBack"/>
            <w:bookmarkEnd w:id="0"/>
          </w:p>
        </w:tc>
        <w:tc>
          <w:tcPr>
            <w:tcW w:w="1276" w:type="dxa"/>
            <w:shd w:val="clear" w:color="auto" w:fill="FFFFFF" w:themeFill="background1"/>
            <w:tcMar>
              <w:top w:w="0" w:type="dxa"/>
              <w:left w:w="108" w:type="dxa"/>
              <w:bottom w:w="0" w:type="dxa"/>
              <w:right w:w="108" w:type="dxa"/>
            </w:tcMar>
            <w:vAlign w:val="center"/>
          </w:tcPr>
          <w:p w14:paraId="20077A65"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shd w:val="clear" w:color="auto" w:fill="FFFFFF" w:themeFill="background1"/>
            <w:tcMar>
              <w:top w:w="0" w:type="dxa"/>
              <w:left w:w="108" w:type="dxa"/>
              <w:bottom w:w="0" w:type="dxa"/>
              <w:right w:w="108" w:type="dxa"/>
            </w:tcMar>
            <w:vAlign w:val="center"/>
          </w:tcPr>
          <w:p w14:paraId="59EF2B17" w14:textId="45EC498B" w:rsidR="00451A59" w:rsidRPr="00451A59" w:rsidRDefault="00832107" w:rsidP="00451A59">
            <w:pPr>
              <w:keepNext/>
              <w:shd w:val="clear" w:color="auto" w:fill="FFFFFF" w:themeFill="background1"/>
              <w:spacing w:line="228" w:lineRule="auto"/>
              <w:jc w:val="center"/>
              <w:rPr>
                <w:rFonts w:ascii="Times New Roman" w:hAnsi="Times New Roman"/>
                <w:spacing w:val="-3"/>
                <w:sz w:val="20"/>
                <w:szCs w:val="20"/>
                <w:lang w:val="lt-LT"/>
              </w:rPr>
            </w:pPr>
            <w:r w:rsidRPr="00832107">
              <w:rPr>
                <w:rFonts w:ascii="Times New Roman" w:hAnsi="Times New Roman"/>
                <w:spacing w:val="-3"/>
                <w:sz w:val="20"/>
                <w:szCs w:val="20"/>
                <w:lang w:val="lt-LT"/>
              </w:rPr>
              <w:t>Dėl „karštųjų“ bandymų metu nustatytų trūkumų, reikėjo atlikti papildomus darbus, todėl nebuvo gautas projekto B2/3/4 pramoninės eksploatacijos leidimas.</w:t>
            </w:r>
          </w:p>
        </w:tc>
      </w:tr>
      <w:tr w:rsidR="00451A59" w:rsidRPr="00451A59" w14:paraId="7813CA1A" w14:textId="77777777" w:rsidTr="00D7567A">
        <w:trPr>
          <w:trHeight w:val="551"/>
        </w:trPr>
        <w:tc>
          <w:tcPr>
            <w:tcW w:w="694" w:type="dxa"/>
            <w:tcMar>
              <w:top w:w="0" w:type="dxa"/>
              <w:left w:w="108" w:type="dxa"/>
              <w:bottom w:w="0" w:type="dxa"/>
              <w:right w:w="108" w:type="dxa"/>
            </w:tcMar>
            <w:vAlign w:val="center"/>
          </w:tcPr>
          <w:p w14:paraId="1F11F760"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0F4BD45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6.4.1</w:t>
            </w:r>
          </w:p>
        </w:tc>
        <w:tc>
          <w:tcPr>
            <w:tcW w:w="2533" w:type="dxa"/>
            <w:vMerge w:val="restart"/>
            <w:vAlign w:val="center"/>
          </w:tcPr>
          <w:p w14:paraId="6B1E3631" w14:textId="77777777" w:rsidR="00451A59" w:rsidRPr="00451A59" w:rsidRDefault="00451A59" w:rsidP="00451A59">
            <w:pPr>
              <w:shd w:val="clear" w:color="auto" w:fill="FFFFFF" w:themeFill="background1"/>
              <w:ind w:left="107" w:right="142"/>
              <w:jc w:val="both"/>
              <w:rPr>
                <w:rFonts w:ascii="Times New Roman" w:hAnsi="Times New Roman"/>
                <w:bCs/>
                <w:sz w:val="20"/>
                <w:szCs w:val="20"/>
                <w:lang w:val="lt-LT"/>
              </w:rPr>
            </w:pPr>
            <w:r w:rsidRPr="00451A59">
              <w:rPr>
                <w:rFonts w:ascii="Times New Roman" w:hAnsi="Times New Roman"/>
                <w:bCs/>
                <w:sz w:val="20"/>
                <w:szCs w:val="20"/>
                <w:lang w:val="lt-LT"/>
              </w:rPr>
              <w:t>Saugiai perkelti radioaktyviąsias atliekas į saugyklas ir atliekynus</w:t>
            </w:r>
          </w:p>
        </w:tc>
        <w:tc>
          <w:tcPr>
            <w:tcW w:w="3260" w:type="dxa"/>
            <w:vMerge w:val="restart"/>
            <w:vAlign w:val="center"/>
          </w:tcPr>
          <w:p w14:paraId="0111EA2B"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1.1. Patalpinta į saugyklas B ir C klasių kietųjų radioaktyviųjų atliekų 0,58 % (iš viso apie 22080 m3)</w:t>
            </w:r>
          </w:p>
        </w:tc>
        <w:tc>
          <w:tcPr>
            <w:tcW w:w="851" w:type="dxa"/>
            <w:shd w:val="clear" w:color="auto" w:fill="FFFFFF" w:themeFill="background1"/>
            <w:vAlign w:val="center"/>
          </w:tcPr>
          <w:p w14:paraId="27512A8C"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6FD9F5C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28,4 m</w:t>
            </w:r>
            <w:r w:rsidRPr="00451A59">
              <w:rPr>
                <w:rFonts w:ascii="Times New Roman" w:hAnsi="Times New Roman"/>
                <w:sz w:val="20"/>
                <w:szCs w:val="20"/>
                <w:vertAlign w:val="superscript"/>
                <w:lang w:val="lt-LT"/>
              </w:rPr>
              <w:t>3</w:t>
            </w:r>
            <w:r w:rsidRPr="00451A59">
              <w:rPr>
                <w:rFonts w:ascii="Times New Roman" w:hAnsi="Times New Roman"/>
                <w:sz w:val="20"/>
                <w:szCs w:val="20"/>
                <w:lang w:val="lt-LT"/>
              </w:rPr>
              <w:t xml:space="preserve"> </w:t>
            </w:r>
          </w:p>
        </w:tc>
        <w:tc>
          <w:tcPr>
            <w:tcW w:w="1276" w:type="dxa"/>
            <w:shd w:val="clear" w:color="auto" w:fill="FFFFFF" w:themeFill="background1"/>
            <w:tcMar>
              <w:top w:w="0" w:type="dxa"/>
              <w:left w:w="108" w:type="dxa"/>
              <w:bottom w:w="0" w:type="dxa"/>
              <w:right w:w="108" w:type="dxa"/>
            </w:tcMar>
            <w:vAlign w:val="center"/>
          </w:tcPr>
          <w:p w14:paraId="17B7C6F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2F3DF3">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00592CAE" w14:textId="41489817" w:rsidR="00451A59" w:rsidRPr="00451A59" w:rsidRDefault="00832107" w:rsidP="00451A59">
            <w:pPr>
              <w:shd w:val="clear" w:color="auto" w:fill="FFFFFF" w:themeFill="background1"/>
              <w:tabs>
                <w:tab w:val="center" w:pos="4844"/>
                <w:tab w:val="right" w:pos="9689"/>
              </w:tabs>
              <w:jc w:val="center"/>
              <w:rPr>
                <w:rFonts w:ascii="Times New Roman" w:hAnsi="Times New Roman"/>
                <w:sz w:val="20"/>
                <w:szCs w:val="20"/>
                <w:lang w:val="lt-LT"/>
              </w:rPr>
            </w:pPr>
            <w:r w:rsidRPr="00832107">
              <w:rPr>
                <w:rFonts w:ascii="Times New Roman" w:hAnsi="Times New Roman"/>
                <w:sz w:val="20"/>
                <w:szCs w:val="20"/>
                <w:lang w:val="lt-LT"/>
              </w:rPr>
              <w:t>Dėl rangovo įsipareigojimų nevykdymo neįsigytos statinės, reikalingos atliekų apdorojimui. Atliktas naujas pirkimas, tikrinamas statinių tinkamumas.</w:t>
            </w:r>
          </w:p>
        </w:tc>
      </w:tr>
      <w:tr w:rsidR="00451A59" w:rsidRPr="002F3DF3" w14:paraId="185CB610" w14:textId="77777777" w:rsidTr="00D7567A">
        <w:trPr>
          <w:trHeight w:val="400"/>
        </w:trPr>
        <w:tc>
          <w:tcPr>
            <w:tcW w:w="694" w:type="dxa"/>
            <w:shd w:val="clear" w:color="auto" w:fill="FFFFFF" w:themeFill="background1"/>
            <w:tcMar>
              <w:top w:w="0" w:type="dxa"/>
              <w:left w:w="108" w:type="dxa"/>
              <w:bottom w:w="0" w:type="dxa"/>
              <w:right w:w="108" w:type="dxa"/>
            </w:tcMar>
            <w:vAlign w:val="center"/>
          </w:tcPr>
          <w:p w14:paraId="2A3D3ECF"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A9F5AB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E675427" w14:textId="77777777" w:rsidR="00451A59" w:rsidRPr="00451A59" w:rsidRDefault="00451A59" w:rsidP="00451A59">
            <w:pPr>
              <w:shd w:val="clear" w:color="auto" w:fill="FFFFFF" w:themeFill="background1"/>
              <w:ind w:left="107" w:right="142"/>
              <w:jc w:val="both"/>
              <w:rPr>
                <w:rFonts w:ascii="Times New Roman" w:hAnsi="Times New Roman"/>
                <w:bCs/>
                <w:sz w:val="20"/>
                <w:szCs w:val="20"/>
                <w:lang w:val="lt-LT"/>
              </w:rPr>
            </w:pPr>
          </w:p>
        </w:tc>
        <w:tc>
          <w:tcPr>
            <w:tcW w:w="3260" w:type="dxa"/>
            <w:vMerge/>
            <w:vAlign w:val="center"/>
          </w:tcPr>
          <w:p w14:paraId="7D142ECF"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0A54C8D1"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71A8B91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128,4 m</w:t>
            </w:r>
            <w:r w:rsidRPr="00451A59">
              <w:rPr>
                <w:rFonts w:ascii="Times New Roman" w:hAnsi="Times New Roman"/>
                <w:spacing w:val="-3"/>
                <w:sz w:val="20"/>
                <w:szCs w:val="20"/>
                <w:vertAlign w:val="superscript"/>
                <w:lang w:val="lt-LT"/>
              </w:rPr>
              <w:t>3</w:t>
            </w:r>
          </w:p>
        </w:tc>
        <w:tc>
          <w:tcPr>
            <w:tcW w:w="1276" w:type="dxa"/>
            <w:shd w:val="clear" w:color="auto" w:fill="FFFFFF" w:themeFill="background1"/>
            <w:tcMar>
              <w:top w:w="0" w:type="dxa"/>
              <w:left w:w="108" w:type="dxa"/>
              <w:bottom w:w="0" w:type="dxa"/>
              <w:right w:w="108" w:type="dxa"/>
            </w:tcMar>
            <w:vAlign w:val="center"/>
          </w:tcPr>
          <w:p w14:paraId="70D185EA"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shd w:val="clear" w:color="auto" w:fill="FFFFFF" w:themeFill="background1"/>
            <w:tcMar>
              <w:top w:w="0" w:type="dxa"/>
              <w:left w:w="108" w:type="dxa"/>
              <w:bottom w:w="0" w:type="dxa"/>
              <w:right w:w="108" w:type="dxa"/>
            </w:tcMar>
            <w:vAlign w:val="center"/>
          </w:tcPr>
          <w:p w14:paraId="310B44D7" w14:textId="4E0F29C4" w:rsidR="00451A59" w:rsidRPr="00451A59" w:rsidRDefault="00832107" w:rsidP="00451A59">
            <w:pPr>
              <w:shd w:val="clear" w:color="auto" w:fill="FFFFFF" w:themeFill="background1"/>
              <w:jc w:val="center"/>
              <w:rPr>
                <w:rFonts w:ascii="Times New Roman" w:hAnsi="Times New Roman"/>
                <w:sz w:val="20"/>
                <w:szCs w:val="20"/>
                <w:lang w:val="lt-LT"/>
              </w:rPr>
            </w:pPr>
            <w:r w:rsidRPr="00832107">
              <w:rPr>
                <w:rFonts w:ascii="Times New Roman" w:hAnsi="Times New Roman"/>
                <w:spacing w:val="-3"/>
                <w:sz w:val="20"/>
                <w:szCs w:val="20"/>
                <w:lang w:val="lt-LT"/>
              </w:rPr>
              <w:t>Dėl „karštųjų“ bandymų metu nustatytų trūkumų, reikėjo atlikti papildomus darbus, todėl nebuvo gautas projekto B2/3/4 pramoninės eksploatacijos leidimas.</w:t>
            </w:r>
          </w:p>
        </w:tc>
      </w:tr>
      <w:tr w:rsidR="00451A59" w:rsidRPr="00451A59" w14:paraId="4FD3570D" w14:textId="77777777" w:rsidTr="00D7567A">
        <w:trPr>
          <w:trHeight w:val="551"/>
        </w:trPr>
        <w:tc>
          <w:tcPr>
            <w:tcW w:w="694" w:type="dxa"/>
            <w:tcMar>
              <w:top w:w="0" w:type="dxa"/>
              <w:left w:w="108" w:type="dxa"/>
              <w:bottom w:w="0" w:type="dxa"/>
              <w:right w:w="108" w:type="dxa"/>
            </w:tcMar>
            <w:vAlign w:val="center"/>
          </w:tcPr>
          <w:p w14:paraId="37C14201"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0C0DF11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6.4.2.1</w:t>
            </w:r>
          </w:p>
        </w:tc>
        <w:tc>
          <w:tcPr>
            <w:tcW w:w="2533" w:type="dxa"/>
            <w:vMerge w:val="restart"/>
            <w:vAlign w:val="center"/>
          </w:tcPr>
          <w:p w14:paraId="0DE5BE58" w14:textId="77777777" w:rsidR="00451A59" w:rsidRPr="00451A59" w:rsidRDefault="00451A59" w:rsidP="00451A59">
            <w:pPr>
              <w:shd w:val="clear" w:color="auto" w:fill="FFFFFF" w:themeFill="background1"/>
              <w:ind w:left="107" w:right="142"/>
              <w:jc w:val="both"/>
              <w:rPr>
                <w:rFonts w:ascii="Times New Roman" w:hAnsi="Times New Roman"/>
                <w:bCs/>
                <w:sz w:val="20"/>
                <w:szCs w:val="20"/>
                <w:lang w:val="lt-LT"/>
              </w:rPr>
            </w:pPr>
            <w:r w:rsidRPr="00451A59">
              <w:rPr>
                <w:rFonts w:ascii="Times New Roman" w:hAnsi="Times New Roman"/>
                <w:bCs/>
                <w:sz w:val="20"/>
                <w:szCs w:val="20"/>
                <w:lang w:val="lt-LT"/>
              </w:rPr>
              <w:t>Įvykdyti B19/2 projektą (Trumpaamžių labai mažo aktyvumo radioaktyviųjų atliekų atliekynas) (pirmoji atliekų patalpinimo kampanija – 2019 m., planuota 2018 m.)</w:t>
            </w:r>
          </w:p>
        </w:tc>
        <w:tc>
          <w:tcPr>
            <w:tcW w:w="3260" w:type="dxa"/>
            <w:vAlign w:val="center"/>
          </w:tcPr>
          <w:p w14:paraId="41C3ED0B"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1. Parengtas pagrindas atliekyno plokštei</w:t>
            </w:r>
          </w:p>
        </w:tc>
        <w:tc>
          <w:tcPr>
            <w:tcW w:w="851" w:type="dxa"/>
            <w:shd w:val="clear" w:color="auto" w:fill="FFFFFF" w:themeFill="background1"/>
            <w:vAlign w:val="center"/>
          </w:tcPr>
          <w:p w14:paraId="146985E2"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2F41DC2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Atliktų darbų aktas</w:t>
            </w:r>
          </w:p>
        </w:tc>
        <w:tc>
          <w:tcPr>
            <w:tcW w:w="1276" w:type="dxa"/>
            <w:shd w:val="clear" w:color="auto" w:fill="FFFFFF" w:themeFill="background1"/>
            <w:tcMar>
              <w:top w:w="0" w:type="dxa"/>
              <w:left w:w="108" w:type="dxa"/>
              <w:bottom w:w="0" w:type="dxa"/>
              <w:right w:w="108" w:type="dxa"/>
            </w:tcMar>
            <w:vAlign w:val="center"/>
          </w:tcPr>
          <w:p w14:paraId="0CA6E49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99B247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55FBBE0B" w14:textId="77777777" w:rsidTr="00D7567A">
        <w:trPr>
          <w:trHeight w:val="551"/>
        </w:trPr>
        <w:tc>
          <w:tcPr>
            <w:tcW w:w="694" w:type="dxa"/>
            <w:shd w:val="clear" w:color="auto" w:fill="FFFFFF" w:themeFill="background1"/>
            <w:tcMar>
              <w:top w:w="0" w:type="dxa"/>
              <w:left w:w="108" w:type="dxa"/>
              <w:bottom w:w="0" w:type="dxa"/>
              <w:right w:w="108" w:type="dxa"/>
            </w:tcMar>
            <w:vAlign w:val="center"/>
          </w:tcPr>
          <w:p w14:paraId="79BF7BF0"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202ADCF"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7BD2AF58" w14:textId="77777777" w:rsidR="00451A59" w:rsidRPr="00451A59" w:rsidRDefault="00451A59" w:rsidP="00451A59">
            <w:pPr>
              <w:shd w:val="clear" w:color="auto" w:fill="FFFFFF" w:themeFill="background1"/>
              <w:ind w:left="107" w:right="142"/>
              <w:jc w:val="both"/>
              <w:rPr>
                <w:rFonts w:ascii="Times New Roman" w:hAnsi="Times New Roman"/>
                <w:bCs/>
                <w:sz w:val="20"/>
                <w:szCs w:val="20"/>
                <w:lang w:val="lt-LT"/>
              </w:rPr>
            </w:pPr>
          </w:p>
        </w:tc>
        <w:tc>
          <w:tcPr>
            <w:tcW w:w="3260" w:type="dxa"/>
            <w:shd w:val="clear" w:color="auto" w:fill="FFFFFF" w:themeFill="background1"/>
            <w:vAlign w:val="center"/>
          </w:tcPr>
          <w:p w14:paraId="5C9DB84E"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2.Atliekyno betoninės plokštės įrengimas</w:t>
            </w:r>
          </w:p>
        </w:tc>
        <w:tc>
          <w:tcPr>
            <w:tcW w:w="851" w:type="dxa"/>
            <w:shd w:val="clear" w:color="auto" w:fill="FFFFFF" w:themeFill="background1"/>
            <w:vAlign w:val="center"/>
          </w:tcPr>
          <w:p w14:paraId="29B4738F"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0AC20C0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Atliktų darbų aktas</w:t>
            </w:r>
          </w:p>
        </w:tc>
        <w:tc>
          <w:tcPr>
            <w:tcW w:w="1276" w:type="dxa"/>
            <w:shd w:val="clear" w:color="auto" w:fill="FFFFFF" w:themeFill="background1"/>
            <w:tcMar>
              <w:top w:w="0" w:type="dxa"/>
              <w:left w:w="108" w:type="dxa"/>
              <w:bottom w:w="0" w:type="dxa"/>
              <w:right w:w="108" w:type="dxa"/>
            </w:tcMar>
            <w:vAlign w:val="center"/>
          </w:tcPr>
          <w:p w14:paraId="5153D1D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17A5FD8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598F70E" w14:textId="77777777" w:rsidTr="00D7567A">
        <w:trPr>
          <w:trHeight w:val="395"/>
        </w:trPr>
        <w:tc>
          <w:tcPr>
            <w:tcW w:w="694" w:type="dxa"/>
            <w:tcMar>
              <w:top w:w="0" w:type="dxa"/>
              <w:left w:w="108" w:type="dxa"/>
              <w:bottom w:w="0" w:type="dxa"/>
              <w:right w:w="108" w:type="dxa"/>
            </w:tcMar>
            <w:vAlign w:val="center"/>
          </w:tcPr>
          <w:p w14:paraId="35B686F6" w14:textId="77777777" w:rsidR="00451A59" w:rsidRPr="00451A59" w:rsidRDefault="00451A59" w:rsidP="00451A59">
            <w:pPr>
              <w:pStyle w:val="ListParagraph"/>
              <w:shd w:val="clear" w:color="auto" w:fill="FFFFFF" w:themeFill="background1"/>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664527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1BCD442" w14:textId="77777777" w:rsidR="00451A59" w:rsidRPr="00451A59" w:rsidRDefault="00451A59" w:rsidP="00451A59">
            <w:pPr>
              <w:shd w:val="clear" w:color="auto" w:fill="FFFFFF" w:themeFill="background1"/>
              <w:ind w:left="107" w:right="142"/>
              <w:jc w:val="both"/>
              <w:rPr>
                <w:rFonts w:ascii="Times New Roman" w:hAnsi="Times New Roman"/>
                <w:bCs/>
                <w:sz w:val="20"/>
                <w:szCs w:val="20"/>
                <w:lang w:val="lt-LT"/>
              </w:rPr>
            </w:pPr>
          </w:p>
        </w:tc>
        <w:tc>
          <w:tcPr>
            <w:tcW w:w="3260" w:type="dxa"/>
            <w:vMerge w:val="restart"/>
            <w:vAlign w:val="center"/>
          </w:tcPr>
          <w:p w14:paraId="0427BBD3"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3. Projekto uždirbtos vertės rodikliai SPI ir CPI, santykiniai dydžiai</w:t>
            </w:r>
          </w:p>
        </w:tc>
        <w:tc>
          <w:tcPr>
            <w:tcW w:w="851" w:type="dxa"/>
            <w:shd w:val="clear" w:color="auto" w:fill="FFFFFF" w:themeFill="background1"/>
            <w:vAlign w:val="center"/>
          </w:tcPr>
          <w:p w14:paraId="035D4AF3"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2D10EFB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7DC93C7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C2153C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5A2787B" w14:textId="77777777" w:rsidTr="00D7567A">
        <w:trPr>
          <w:trHeight w:val="415"/>
        </w:trPr>
        <w:tc>
          <w:tcPr>
            <w:tcW w:w="694" w:type="dxa"/>
            <w:shd w:val="clear" w:color="auto" w:fill="FFFFFF" w:themeFill="background1"/>
            <w:tcMar>
              <w:top w:w="0" w:type="dxa"/>
              <w:left w:w="108" w:type="dxa"/>
              <w:bottom w:w="0" w:type="dxa"/>
              <w:right w:w="108" w:type="dxa"/>
            </w:tcMar>
            <w:vAlign w:val="center"/>
          </w:tcPr>
          <w:p w14:paraId="284A992C"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50E2F29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D81813E" w14:textId="77777777" w:rsidR="00451A59" w:rsidRPr="00451A59" w:rsidRDefault="00451A59" w:rsidP="00451A59">
            <w:pPr>
              <w:shd w:val="clear" w:color="auto" w:fill="FFFFFF" w:themeFill="background1"/>
              <w:ind w:left="107" w:right="142"/>
              <w:jc w:val="both"/>
              <w:rPr>
                <w:rFonts w:ascii="Times New Roman" w:hAnsi="Times New Roman"/>
                <w:bCs/>
                <w:sz w:val="20"/>
                <w:szCs w:val="20"/>
                <w:lang w:val="lt-LT"/>
              </w:rPr>
            </w:pPr>
          </w:p>
        </w:tc>
        <w:tc>
          <w:tcPr>
            <w:tcW w:w="3260" w:type="dxa"/>
            <w:vMerge/>
            <w:vAlign w:val="center"/>
          </w:tcPr>
          <w:p w14:paraId="5C480110"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515D9EF9"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0FA8A05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531BA99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7467925"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6C9F3843" w14:textId="77777777" w:rsidTr="00D7567A">
        <w:trPr>
          <w:trHeight w:val="551"/>
        </w:trPr>
        <w:tc>
          <w:tcPr>
            <w:tcW w:w="694" w:type="dxa"/>
            <w:tcMar>
              <w:top w:w="0" w:type="dxa"/>
              <w:left w:w="108" w:type="dxa"/>
              <w:bottom w:w="0" w:type="dxa"/>
              <w:right w:w="108" w:type="dxa"/>
            </w:tcMar>
            <w:vAlign w:val="center"/>
          </w:tcPr>
          <w:p w14:paraId="14F4B9B6"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0B854959"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6.4.2.2</w:t>
            </w:r>
          </w:p>
        </w:tc>
        <w:tc>
          <w:tcPr>
            <w:tcW w:w="2533" w:type="dxa"/>
            <w:vMerge w:val="restart"/>
            <w:vAlign w:val="center"/>
          </w:tcPr>
          <w:p w14:paraId="135B80B9" w14:textId="77777777" w:rsidR="00451A59" w:rsidRPr="00451A59" w:rsidRDefault="00451A59" w:rsidP="00451A59">
            <w:pPr>
              <w:shd w:val="clear" w:color="auto" w:fill="FFFFFF" w:themeFill="background1"/>
              <w:ind w:left="107" w:right="142"/>
              <w:jc w:val="both"/>
              <w:rPr>
                <w:rFonts w:ascii="Times New Roman" w:hAnsi="Times New Roman"/>
                <w:bCs/>
                <w:sz w:val="20"/>
                <w:szCs w:val="20"/>
                <w:lang w:val="lt-LT"/>
              </w:rPr>
            </w:pPr>
            <w:r w:rsidRPr="00451A59">
              <w:rPr>
                <w:rFonts w:ascii="Times New Roman" w:hAnsi="Times New Roman"/>
                <w:bCs/>
                <w:sz w:val="20"/>
                <w:szCs w:val="20"/>
                <w:lang w:val="lt-LT"/>
              </w:rPr>
              <w:t xml:space="preserve">Įvykdyti B2 projektą (Naujas kietųjų radioaktyviųjų atliekų išėmimo kompleksas) (komplekso pramoninės </w:t>
            </w:r>
            <w:r w:rsidRPr="00451A59">
              <w:rPr>
                <w:rFonts w:ascii="Times New Roman" w:hAnsi="Times New Roman"/>
                <w:bCs/>
                <w:sz w:val="20"/>
                <w:szCs w:val="20"/>
                <w:lang w:val="lt-LT"/>
              </w:rPr>
              <w:lastRenderedPageBreak/>
              <w:t>eksploatacijos pradžia – 2019 m., planuota 2018 m)</w:t>
            </w:r>
          </w:p>
        </w:tc>
        <w:tc>
          <w:tcPr>
            <w:tcW w:w="3260" w:type="dxa"/>
            <w:vAlign w:val="center"/>
          </w:tcPr>
          <w:p w14:paraId="3866052F"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lastRenderedPageBreak/>
              <w:t>1.Suderinta su VATESI atnaujinta IM2 ir IM3 galutinė SAA (planuota 2018 m.)</w:t>
            </w:r>
          </w:p>
        </w:tc>
        <w:tc>
          <w:tcPr>
            <w:tcW w:w="851" w:type="dxa"/>
            <w:vAlign w:val="center"/>
          </w:tcPr>
          <w:p w14:paraId="3CE1BCF5"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3B1AD78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VATESI raštas</w:t>
            </w:r>
          </w:p>
        </w:tc>
        <w:tc>
          <w:tcPr>
            <w:tcW w:w="1276" w:type="dxa"/>
            <w:tcMar>
              <w:top w:w="0" w:type="dxa"/>
              <w:left w:w="108" w:type="dxa"/>
              <w:bottom w:w="0" w:type="dxa"/>
              <w:right w:w="108" w:type="dxa"/>
            </w:tcMar>
            <w:vAlign w:val="center"/>
          </w:tcPr>
          <w:p w14:paraId="0FCB0553"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7A980C3A" w14:textId="77777777"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hAnsi="Times New Roman"/>
                <w:sz w:val="20"/>
                <w:szCs w:val="20"/>
                <w:lang w:val="lt-LT"/>
              </w:rPr>
              <w:t xml:space="preserve">Tęsiasi „karštieji“ bandymai pagal išplėstinę programą. </w:t>
            </w:r>
          </w:p>
          <w:p w14:paraId="361A0D6C" w14:textId="77777777"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hAnsi="Times New Roman"/>
                <w:sz w:val="20"/>
                <w:szCs w:val="20"/>
                <w:lang w:val="lt-LT"/>
              </w:rPr>
              <w:t>Atlikti darbai, susiję su G3 atliekų srauto papildomu ekranavimu.</w:t>
            </w:r>
          </w:p>
          <w:p w14:paraId="2081C7EC" w14:textId="47C5EFC8" w:rsidR="00451A59" w:rsidRPr="00451A59" w:rsidRDefault="00832107" w:rsidP="00451A59">
            <w:pPr>
              <w:shd w:val="clear" w:color="auto" w:fill="FFFFFF" w:themeFill="background1"/>
              <w:jc w:val="both"/>
              <w:rPr>
                <w:rFonts w:ascii="Times New Roman" w:hAnsi="Times New Roman"/>
                <w:sz w:val="20"/>
                <w:szCs w:val="20"/>
                <w:lang w:val="lt-LT"/>
              </w:rPr>
            </w:pPr>
            <w:r>
              <w:rPr>
                <w:rFonts w:ascii="Times New Roman" w:hAnsi="Times New Roman"/>
                <w:sz w:val="20"/>
                <w:szCs w:val="20"/>
                <w:lang w:val="lt-LT"/>
              </w:rPr>
              <w:t>Galutinę saugos analizės ataskaitą (</w:t>
            </w:r>
            <w:r w:rsidR="00451A59" w:rsidRPr="00451A59">
              <w:rPr>
                <w:rFonts w:ascii="Times New Roman" w:hAnsi="Times New Roman"/>
                <w:sz w:val="20"/>
                <w:szCs w:val="20"/>
                <w:lang w:val="lt-LT"/>
              </w:rPr>
              <w:t>GSAA</w:t>
            </w:r>
            <w:r>
              <w:rPr>
                <w:rFonts w:ascii="Times New Roman" w:hAnsi="Times New Roman"/>
                <w:sz w:val="20"/>
                <w:szCs w:val="20"/>
                <w:lang w:val="lt-LT"/>
              </w:rPr>
              <w:t>)</w:t>
            </w:r>
            <w:r w:rsidR="00451A59" w:rsidRPr="00451A59">
              <w:rPr>
                <w:rFonts w:ascii="Times New Roman" w:hAnsi="Times New Roman"/>
                <w:sz w:val="20"/>
                <w:szCs w:val="20"/>
                <w:lang w:val="lt-LT"/>
              </w:rPr>
              <w:t xml:space="preserve"> bus galima užbaigti tik </w:t>
            </w:r>
            <w:r w:rsidR="00451A59" w:rsidRPr="00451A59">
              <w:rPr>
                <w:rFonts w:ascii="Times New Roman" w:hAnsi="Times New Roman"/>
                <w:sz w:val="20"/>
                <w:szCs w:val="20"/>
                <w:lang w:val="lt-LT"/>
              </w:rPr>
              <w:lastRenderedPageBreak/>
              <w:t>atlikus „karštuosius“ bandymus pagal išplėstinę programą.</w:t>
            </w:r>
          </w:p>
          <w:p w14:paraId="2DDF5A7D" w14:textId="77777777"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hAnsi="Times New Roman"/>
                <w:sz w:val="20"/>
                <w:szCs w:val="20"/>
                <w:lang w:val="lt-LT"/>
              </w:rPr>
              <w:t>3 grupės aukšto aktyvumo atliekų tvarkymo Saugos pagrindimas, modifikacija ir „karštųjų“ bandymų programa pateikti VATESI. Laukiamas VATESI leidimas fizinių darbų atlikimui pagal programą.</w:t>
            </w:r>
          </w:p>
        </w:tc>
      </w:tr>
      <w:tr w:rsidR="00451A59" w:rsidRPr="00451A59" w14:paraId="2D263F81" w14:textId="77777777" w:rsidTr="00D7567A">
        <w:trPr>
          <w:trHeight w:val="551"/>
        </w:trPr>
        <w:tc>
          <w:tcPr>
            <w:tcW w:w="694" w:type="dxa"/>
            <w:tcMar>
              <w:top w:w="0" w:type="dxa"/>
              <w:left w:w="108" w:type="dxa"/>
              <w:bottom w:w="0" w:type="dxa"/>
              <w:right w:w="108" w:type="dxa"/>
            </w:tcMar>
            <w:vAlign w:val="center"/>
          </w:tcPr>
          <w:p w14:paraId="333E4DCA"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83B042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B1AB70B"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Align w:val="center"/>
          </w:tcPr>
          <w:p w14:paraId="1AECCC15"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2. Gautas leidimas B2 komplekso (IM1) pramoniniam eksploatavimui (planuota 2018 m.)</w:t>
            </w:r>
          </w:p>
        </w:tc>
        <w:tc>
          <w:tcPr>
            <w:tcW w:w="851" w:type="dxa"/>
            <w:vAlign w:val="center"/>
          </w:tcPr>
          <w:p w14:paraId="095E061E"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771D611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VATESI leidimas</w:t>
            </w:r>
          </w:p>
        </w:tc>
        <w:tc>
          <w:tcPr>
            <w:tcW w:w="1276" w:type="dxa"/>
            <w:tcMar>
              <w:top w:w="0" w:type="dxa"/>
              <w:left w:w="108" w:type="dxa"/>
              <w:bottom w:w="0" w:type="dxa"/>
              <w:right w:w="108" w:type="dxa"/>
            </w:tcMar>
            <w:vAlign w:val="center"/>
          </w:tcPr>
          <w:p w14:paraId="3D23D34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26C3B2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6C3FB20" w14:textId="77777777" w:rsidTr="00D7567A">
        <w:trPr>
          <w:trHeight w:val="551"/>
        </w:trPr>
        <w:tc>
          <w:tcPr>
            <w:tcW w:w="694" w:type="dxa"/>
            <w:tcMar>
              <w:top w:w="0" w:type="dxa"/>
              <w:left w:w="108" w:type="dxa"/>
              <w:bottom w:w="0" w:type="dxa"/>
              <w:right w:w="108" w:type="dxa"/>
            </w:tcMar>
            <w:vAlign w:val="center"/>
          </w:tcPr>
          <w:p w14:paraId="2F5F06C4"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B934AF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CAEF32B"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Align w:val="center"/>
          </w:tcPr>
          <w:p w14:paraId="2EB37697"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3.Projekto uždirbtos vertės metodo rodikliai SPI ir CPI, santykiniai dydžiai</w:t>
            </w:r>
          </w:p>
        </w:tc>
        <w:tc>
          <w:tcPr>
            <w:tcW w:w="851" w:type="dxa"/>
            <w:vAlign w:val="center"/>
          </w:tcPr>
          <w:p w14:paraId="35D93AA6"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69ABCA3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7E78BC7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8E365C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2F3DF3" w14:paraId="23E27671" w14:textId="77777777" w:rsidTr="00D7567A">
        <w:trPr>
          <w:trHeight w:val="551"/>
        </w:trPr>
        <w:tc>
          <w:tcPr>
            <w:tcW w:w="694" w:type="dxa"/>
            <w:tcMar>
              <w:top w:w="0" w:type="dxa"/>
              <w:left w:w="108" w:type="dxa"/>
              <w:bottom w:w="0" w:type="dxa"/>
              <w:right w:w="108" w:type="dxa"/>
            </w:tcMar>
            <w:vAlign w:val="center"/>
          </w:tcPr>
          <w:p w14:paraId="6785DC41"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155F9D7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6.4.2.3</w:t>
            </w:r>
          </w:p>
        </w:tc>
        <w:tc>
          <w:tcPr>
            <w:tcW w:w="2533" w:type="dxa"/>
            <w:vMerge w:val="restart"/>
            <w:vAlign w:val="center"/>
          </w:tcPr>
          <w:p w14:paraId="10283DF1" w14:textId="77777777" w:rsidR="00451A59" w:rsidRPr="00451A59" w:rsidRDefault="00451A59" w:rsidP="00451A59">
            <w:pPr>
              <w:shd w:val="clear" w:color="auto" w:fill="FFFFFF" w:themeFill="background1"/>
              <w:ind w:left="107" w:right="142"/>
              <w:jc w:val="both"/>
              <w:rPr>
                <w:rFonts w:ascii="Times New Roman" w:hAnsi="Times New Roman"/>
                <w:bCs/>
                <w:sz w:val="20"/>
                <w:szCs w:val="20"/>
                <w:lang w:val="lt-LT"/>
              </w:rPr>
            </w:pPr>
            <w:r w:rsidRPr="00451A59">
              <w:rPr>
                <w:rFonts w:ascii="Times New Roman" w:hAnsi="Times New Roman"/>
                <w:bCs/>
                <w:sz w:val="20"/>
                <w:szCs w:val="20"/>
                <w:lang w:val="lt-LT"/>
              </w:rPr>
              <w:t>Įvykdyti B3/4 projektą (komplekso pramoninės eksploatacijos pradžia – 2019 m., planuota 2018 m.)</w:t>
            </w:r>
          </w:p>
        </w:tc>
        <w:tc>
          <w:tcPr>
            <w:tcW w:w="3260" w:type="dxa"/>
            <w:vAlign w:val="center"/>
          </w:tcPr>
          <w:p w14:paraId="72DCEF02"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1. Suderinta su VATESI įrangos bandymų naudojant radioaktyviąsias medžiagas ataskaita (planuota 2018 m.)</w:t>
            </w:r>
          </w:p>
        </w:tc>
        <w:tc>
          <w:tcPr>
            <w:tcW w:w="851" w:type="dxa"/>
            <w:vAlign w:val="center"/>
          </w:tcPr>
          <w:p w14:paraId="20CA233A"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05B6398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VATESI raštas</w:t>
            </w:r>
          </w:p>
        </w:tc>
        <w:tc>
          <w:tcPr>
            <w:tcW w:w="1276" w:type="dxa"/>
            <w:tcMar>
              <w:top w:w="0" w:type="dxa"/>
              <w:left w:w="108" w:type="dxa"/>
              <w:bottom w:w="0" w:type="dxa"/>
              <w:right w:w="108" w:type="dxa"/>
            </w:tcMar>
            <w:vAlign w:val="center"/>
          </w:tcPr>
          <w:p w14:paraId="3AC967CD" w14:textId="77777777" w:rsidR="00451A59" w:rsidRPr="00451A59" w:rsidRDefault="00451A59" w:rsidP="00451A59">
            <w:pPr>
              <w:shd w:val="clear" w:color="auto" w:fill="FFFFFF" w:themeFill="background1"/>
              <w:jc w:val="center"/>
              <w:rPr>
                <w:color w:val="FF000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5B9FFE0F" w14:textId="18FF7FDA" w:rsidR="00451A59" w:rsidRPr="00451A59" w:rsidRDefault="00451A59" w:rsidP="00451A59">
            <w:pPr>
              <w:shd w:val="clear" w:color="auto" w:fill="FFFFFF" w:themeFill="background1"/>
              <w:jc w:val="both"/>
              <w:rPr>
                <w:rFonts w:ascii="Times New Roman" w:hAnsi="Times New Roman"/>
                <w:sz w:val="20"/>
                <w:szCs w:val="20"/>
                <w:highlight w:val="red"/>
                <w:lang w:val="lt-LT"/>
              </w:rPr>
            </w:pPr>
            <w:r w:rsidRPr="00451A59">
              <w:rPr>
                <w:rFonts w:ascii="Times New Roman" w:hAnsi="Times New Roman"/>
                <w:sz w:val="20"/>
                <w:szCs w:val="20"/>
                <w:lang w:val="lt-LT"/>
              </w:rPr>
              <w:t>Tęsiasi „karštieji“ bandymai pagal išplėstines programas. Atlikti  programoje numatyti deginimo įrenginio darbingumo patikrinimo bandymai. Ataskaita pateikta VAT</w:t>
            </w:r>
            <w:r w:rsidR="00832107">
              <w:rPr>
                <w:rFonts w:ascii="Times New Roman" w:hAnsi="Times New Roman"/>
                <w:sz w:val="20"/>
                <w:szCs w:val="20"/>
                <w:lang w:val="lt-LT"/>
              </w:rPr>
              <w:t>E</w:t>
            </w:r>
            <w:r w:rsidRPr="00451A59">
              <w:rPr>
                <w:rFonts w:ascii="Times New Roman" w:hAnsi="Times New Roman"/>
                <w:sz w:val="20"/>
                <w:szCs w:val="20"/>
                <w:lang w:val="lt-LT"/>
              </w:rPr>
              <w:t>SI. VATESI pateikti 3 grupės aukšto aktyvumo atliekų tvarkymo Saugumo pagrindimas, modifikacija ir „karštųjų“ bandymų programa Laukiamas leidimas VATESI fizinių darbų atlikimui pagal programą.</w:t>
            </w:r>
          </w:p>
        </w:tc>
      </w:tr>
      <w:tr w:rsidR="00451A59" w:rsidRPr="00451A59" w14:paraId="2150445F" w14:textId="77777777" w:rsidTr="00D7567A">
        <w:trPr>
          <w:trHeight w:val="551"/>
        </w:trPr>
        <w:tc>
          <w:tcPr>
            <w:tcW w:w="694" w:type="dxa"/>
            <w:tcMar>
              <w:top w:w="0" w:type="dxa"/>
              <w:left w:w="108" w:type="dxa"/>
              <w:bottom w:w="0" w:type="dxa"/>
              <w:right w:w="108" w:type="dxa"/>
            </w:tcMar>
            <w:vAlign w:val="center"/>
          </w:tcPr>
          <w:p w14:paraId="41E6A398"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81ED03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125B6B3"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Align w:val="center"/>
          </w:tcPr>
          <w:p w14:paraId="7EDED521"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2. Suderinta su VATESI atnaujinta galutinė SAA (planuota 2018 m.)</w:t>
            </w:r>
          </w:p>
        </w:tc>
        <w:tc>
          <w:tcPr>
            <w:tcW w:w="851" w:type="dxa"/>
            <w:vAlign w:val="center"/>
          </w:tcPr>
          <w:p w14:paraId="45A3469A"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23D8664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VATESI raštas</w:t>
            </w:r>
          </w:p>
        </w:tc>
        <w:tc>
          <w:tcPr>
            <w:tcW w:w="1276" w:type="dxa"/>
            <w:tcMar>
              <w:top w:w="0" w:type="dxa"/>
              <w:left w:w="108" w:type="dxa"/>
              <w:bottom w:w="0" w:type="dxa"/>
              <w:right w:w="108" w:type="dxa"/>
            </w:tcMar>
            <w:vAlign w:val="center"/>
          </w:tcPr>
          <w:p w14:paraId="3FD86D96" w14:textId="77777777" w:rsidR="00451A59" w:rsidRPr="00451A59" w:rsidRDefault="00451A59" w:rsidP="00451A59">
            <w:pPr>
              <w:shd w:val="clear" w:color="auto" w:fill="FFFFFF" w:themeFill="background1"/>
              <w:jc w:val="center"/>
              <w:rPr>
                <w:color w:val="FF000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6CF0EB61" w14:textId="77777777"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hAnsi="Times New Roman"/>
                <w:sz w:val="20"/>
                <w:szCs w:val="20"/>
                <w:lang w:val="lt-LT"/>
              </w:rPr>
              <w:t xml:space="preserve">Tęsiasi „karštieji“ bandymai pagal išplėstinę programą. </w:t>
            </w:r>
          </w:p>
          <w:p w14:paraId="7182EAE9" w14:textId="77777777"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hAnsi="Times New Roman"/>
                <w:sz w:val="20"/>
                <w:szCs w:val="20"/>
                <w:lang w:val="lt-LT"/>
              </w:rPr>
              <w:t>Atlikti darbai, susiję su G3 atliekų srauto papildomu ekranavimu.</w:t>
            </w:r>
          </w:p>
          <w:p w14:paraId="467AE474" w14:textId="77777777"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hAnsi="Times New Roman"/>
                <w:sz w:val="20"/>
                <w:szCs w:val="20"/>
                <w:lang w:val="lt-LT"/>
              </w:rPr>
              <w:t>GSAA bus galima užbaigti tik atlikus „karštuosius“ bandymus.</w:t>
            </w:r>
          </w:p>
          <w:p w14:paraId="739B210F" w14:textId="77777777" w:rsidR="00451A59" w:rsidRPr="00451A59" w:rsidRDefault="00451A59" w:rsidP="00451A59">
            <w:pPr>
              <w:shd w:val="clear" w:color="auto" w:fill="FFFFFF" w:themeFill="background1"/>
              <w:jc w:val="both"/>
              <w:rPr>
                <w:rFonts w:ascii="Times New Roman" w:hAnsi="Times New Roman"/>
                <w:sz w:val="20"/>
                <w:szCs w:val="20"/>
                <w:highlight w:val="red"/>
                <w:lang w:val="lt-LT"/>
              </w:rPr>
            </w:pPr>
            <w:r w:rsidRPr="00451A59">
              <w:rPr>
                <w:rFonts w:ascii="Times New Roman" w:hAnsi="Times New Roman"/>
                <w:sz w:val="20"/>
                <w:szCs w:val="20"/>
                <w:lang w:val="lt-LT"/>
              </w:rPr>
              <w:t>3 grupės aukšto aktyvumo atliekų tvarkymo Saugos pagrindimas, modifikacija ir „karštųjų“ bandymų programa pateikti VATESI. Laukiamas VATESI leidimas fizinių darbų atlikimui pagal programą..</w:t>
            </w:r>
          </w:p>
        </w:tc>
      </w:tr>
      <w:tr w:rsidR="00451A59" w:rsidRPr="00451A59" w14:paraId="283FB953" w14:textId="77777777" w:rsidTr="00D7567A">
        <w:trPr>
          <w:trHeight w:val="551"/>
        </w:trPr>
        <w:tc>
          <w:tcPr>
            <w:tcW w:w="694" w:type="dxa"/>
            <w:tcMar>
              <w:top w:w="0" w:type="dxa"/>
              <w:left w:w="108" w:type="dxa"/>
              <w:bottom w:w="0" w:type="dxa"/>
              <w:right w:w="108" w:type="dxa"/>
            </w:tcMar>
            <w:vAlign w:val="center"/>
          </w:tcPr>
          <w:p w14:paraId="1F5BB72C"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C8ED17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E06FB88"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Align w:val="center"/>
          </w:tcPr>
          <w:p w14:paraId="5CEC4B73"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3. Gautas leidimas B3/4 komplekso pramoniniam eksploatavimui (planuota 2018 m.)</w:t>
            </w:r>
          </w:p>
        </w:tc>
        <w:tc>
          <w:tcPr>
            <w:tcW w:w="851" w:type="dxa"/>
            <w:vAlign w:val="center"/>
          </w:tcPr>
          <w:p w14:paraId="701759B5"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4AD97A4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VATESI leidimas</w:t>
            </w:r>
          </w:p>
        </w:tc>
        <w:tc>
          <w:tcPr>
            <w:tcW w:w="1276" w:type="dxa"/>
            <w:tcMar>
              <w:top w:w="0" w:type="dxa"/>
              <w:left w:w="108" w:type="dxa"/>
              <w:bottom w:w="0" w:type="dxa"/>
              <w:right w:w="108" w:type="dxa"/>
            </w:tcMar>
            <w:vAlign w:val="center"/>
          </w:tcPr>
          <w:p w14:paraId="1434C3A5" w14:textId="77777777" w:rsidR="00451A59" w:rsidRPr="00451A59" w:rsidRDefault="00451A59" w:rsidP="00451A59">
            <w:pPr>
              <w:shd w:val="clear" w:color="auto" w:fill="FFFFFF" w:themeFill="background1"/>
              <w:jc w:val="center"/>
              <w:rPr>
                <w:color w:val="FF000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47426037" w14:textId="0B8794D6"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hAnsi="Times New Roman"/>
                <w:sz w:val="20"/>
                <w:szCs w:val="20"/>
                <w:lang w:val="lt-LT"/>
              </w:rPr>
              <w:t xml:space="preserve">Rodiklis negali būti įvykdytas iki </w:t>
            </w:r>
            <w:r w:rsidR="00832107">
              <w:rPr>
                <w:rFonts w:ascii="Times New Roman" w:hAnsi="Times New Roman"/>
                <w:sz w:val="20"/>
                <w:szCs w:val="20"/>
                <w:lang w:val="lt-LT"/>
              </w:rPr>
              <w:t>1</w:t>
            </w:r>
            <w:r w:rsidRPr="00451A59">
              <w:rPr>
                <w:rFonts w:ascii="Times New Roman" w:hAnsi="Times New Roman"/>
                <w:sz w:val="20"/>
                <w:szCs w:val="20"/>
                <w:lang w:val="lt-LT"/>
              </w:rPr>
              <w:t xml:space="preserve"> ir </w:t>
            </w:r>
            <w:r w:rsidR="00832107">
              <w:rPr>
                <w:rFonts w:ascii="Times New Roman" w:hAnsi="Times New Roman"/>
                <w:sz w:val="20"/>
                <w:szCs w:val="20"/>
                <w:lang w:val="lt-LT"/>
              </w:rPr>
              <w:t>2</w:t>
            </w:r>
            <w:r w:rsidRPr="00451A59">
              <w:rPr>
                <w:rFonts w:ascii="Times New Roman" w:hAnsi="Times New Roman"/>
                <w:sz w:val="20"/>
                <w:szCs w:val="20"/>
                <w:lang w:val="lt-LT"/>
              </w:rPr>
              <w:t xml:space="preserve"> rodiklių įvykdymo. VATESI leidimo gavimas užsitęsė dėl užsitęsusių bandymų ir galutinės SAA tvirtinimo</w:t>
            </w:r>
            <w:r w:rsidR="00832107">
              <w:rPr>
                <w:rFonts w:ascii="Times New Roman" w:hAnsi="Times New Roman"/>
                <w:sz w:val="20"/>
                <w:szCs w:val="20"/>
                <w:lang w:val="lt-LT"/>
              </w:rPr>
              <w:t>.</w:t>
            </w:r>
          </w:p>
          <w:p w14:paraId="5871FE90" w14:textId="4637DC55" w:rsidR="00451A59" w:rsidRPr="00451A59" w:rsidRDefault="00451A59" w:rsidP="00451A59">
            <w:pPr>
              <w:shd w:val="clear" w:color="auto" w:fill="FFFFFF" w:themeFill="background1"/>
              <w:jc w:val="both"/>
              <w:rPr>
                <w:rFonts w:ascii="Times New Roman" w:hAnsi="Times New Roman"/>
                <w:sz w:val="20"/>
                <w:szCs w:val="20"/>
                <w:highlight w:val="red"/>
                <w:lang w:val="lt-LT"/>
              </w:rPr>
            </w:pPr>
            <w:r w:rsidRPr="00451A59">
              <w:rPr>
                <w:rFonts w:ascii="Times New Roman" w:hAnsi="Times New Roman"/>
                <w:sz w:val="20"/>
                <w:szCs w:val="20"/>
                <w:lang w:val="lt-LT"/>
              </w:rPr>
              <w:t xml:space="preserve">Rengiami dokumentai, B3/4 komplekso </w:t>
            </w:r>
            <w:r w:rsidR="00217997">
              <w:rPr>
                <w:rFonts w:ascii="Times New Roman" w:hAnsi="Times New Roman"/>
                <w:sz w:val="20"/>
                <w:szCs w:val="20"/>
                <w:lang w:val="lt-LT"/>
              </w:rPr>
              <w:t xml:space="preserve">pramoninio </w:t>
            </w:r>
            <w:r w:rsidRPr="00451A59">
              <w:rPr>
                <w:rFonts w:ascii="Times New Roman" w:hAnsi="Times New Roman"/>
                <w:sz w:val="20"/>
                <w:szCs w:val="20"/>
                <w:lang w:val="lt-LT"/>
              </w:rPr>
              <w:t>eksploatavim</w:t>
            </w:r>
            <w:r w:rsidR="00217997">
              <w:rPr>
                <w:rFonts w:ascii="Times New Roman" w:hAnsi="Times New Roman"/>
                <w:sz w:val="20"/>
                <w:szCs w:val="20"/>
                <w:lang w:val="lt-LT"/>
              </w:rPr>
              <w:t>o</w:t>
            </w:r>
            <w:r w:rsidRPr="00451A59">
              <w:rPr>
                <w:rFonts w:ascii="Times New Roman" w:hAnsi="Times New Roman"/>
                <w:sz w:val="20"/>
                <w:szCs w:val="20"/>
                <w:lang w:val="lt-LT"/>
              </w:rPr>
              <w:t xml:space="preserve"> leidimui gauti</w:t>
            </w:r>
            <w:r w:rsidR="00217997">
              <w:rPr>
                <w:rFonts w:ascii="Times New Roman" w:hAnsi="Times New Roman"/>
                <w:sz w:val="20"/>
                <w:szCs w:val="20"/>
                <w:lang w:val="lt-LT"/>
              </w:rPr>
              <w:t>.</w:t>
            </w:r>
          </w:p>
        </w:tc>
      </w:tr>
      <w:tr w:rsidR="00451A59" w:rsidRPr="00451A59" w14:paraId="5C5B9085" w14:textId="77777777" w:rsidTr="00D7567A">
        <w:trPr>
          <w:trHeight w:val="551"/>
        </w:trPr>
        <w:tc>
          <w:tcPr>
            <w:tcW w:w="694" w:type="dxa"/>
            <w:tcMar>
              <w:top w:w="0" w:type="dxa"/>
              <w:left w:w="108" w:type="dxa"/>
              <w:bottom w:w="0" w:type="dxa"/>
              <w:right w:w="108" w:type="dxa"/>
            </w:tcMar>
            <w:vAlign w:val="center"/>
          </w:tcPr>
          <w:p w14:paraId="2FB564EB"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5CED54F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7E0D65B"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p>
        </w:tc>
        <w:tc>
          <w:tcPr>
            <w:tcW w:w="3260" w:type="dxa"/>
            <w:vAlign w:val="center"/>
          </w:tcPr>
          <w:p w14:paraId="278C2000"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4.  Projekto uždirbtos vertės metodo rodikliai SPI ir CPI, santykiniai dydžiai</w:t>
            </w:r>
          </w:p>
        </w:tc>
        <w:tc>
          <w:tcPr>
            <w:tcW w:w="851" w:type="dxa"/>
            <w:vAlign w:val="center"/>
          </w:tcPr>
          <w:p w14:paraId="45B469A8"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35461AB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5D7B994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9B4E90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6446D5" w14:paraId="1C386BDB" w14:textId="77777777" w:rsidTr="00D7567A">
        <w:trPr>
          <w:trHeight w:val="551"/>
        </w:trPr>
        <w:tc>
          <w:tcPr>
            <w:tcW w:w="694" w:type="dxa"/>
            <w:tcMar>
              <w:top w:w="0" w:type="dxa"/>
              <w:left w:w="108" w:type="dxa"/>
              <w:bottom w:w="0" w:type="dxa"/>
              <w:right w:w="108" w:type="dxa"/>
            </w:tcMar>
            <w:vAlign w:val="center"/>
          </w:tcPr>
          <w:p w14:paraId="3FC43142"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64A27CE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6.4.2.4</w:t>
            </w:r>
          </w:p>
        </w:tc>
        <w:tc>
          <w:tcPr>
            <w:tcW w:w="2533" w:type="dxa"/>
            <w:vMerge w:val="restart"/>
            <w:vAlign w:val="center"/>
          </w:tcPr>
          <w:p w14:paraId="489D9DA7" w14:textId="77777777" w:rsidR="00451A59" w:rsidRPr="00451A59" w:rsidRDefault="00451A59" w:rsidP="00451A59">
            <w:pPr>
              <w:shd w:val="clear" w:color="auto" w:fill="FFFFFF" w:themeFill="background1"/>
              <w:ind w:left="107" w:right="142"/>
              <w:rPr>
                <w:rFonts w:ascii="Times New Roman" w:hAnsi="Times New Roman"/>
                <w:bCs/>
                <w:sz w:val="20"/>
                <w:szCs w:val="20"/>
                <w:lang w:val="lt-LT"/>
              </w:rPr>
            </w:pPr>
            <w:r w:rsidRPr="00451A59">
              <w:rPr>
                <w:rFonts w:ascii="Times New Roman" w:hAnsi="Times New Roman"/>
                <w:color w:val="000000"/>
                <w:spacing w:val="-3"/>
                <w:sz w:val="20"/>
                <w:szCs w:val="20"/>
                <w:lang w:val="lt-LT"/>
              </w:rPr>
              <w:t xml:space="preserve">Įvykdyti </w:t>
            </w:r>
            <w:r w:rsidRPr="00451A59">
              <w:rPr>
                <w:rFonts w:ascii="Times New Roman" w:hAnsi="Times New Roman"/>
                <w:color w:val="0000CC"/>
                <w:spacing w:val="-3"/>
                <w:sz w:val="20"/>
                <w:szCs w:val="20"/>
                <w:lang w:val="lt-LT"/>
              </w:rPr>
              <w:t>B25</w:t>
            </w:r>
            <w:r w:rsidRPr="00451A59">
              <w:rPr>
                <w:rFonts w:ascii="Times New Roman" w:hAnsi="Times New Roman"/>
                <w:color w:val="000000"/>
                <w:spacing w:val="-3"/>
                <w:sz w:val="20"/>
                <w:szCs w:val="20"/>
                <w:lang w:val="lt-LT"/>
              </w:rPr>
              <w:t xml:space="preserve"> projektą (Mažo ir vidutinio aktyvumo trumpaamžių radioaktyviųjų atliekų paviršinis atliekynas) (priemonė bus įvykdyta 2029 m. (1-as etapas))</w:t>
            </w:r>
          </w:p>
        </w:tc>
        <w:tc>
          <w:tcPr>
            <w:tcW w:w="3260" w:type="dxa"/>
            <w:vAlign w:val="center"/>
          </w:tcPr>
          <w:p w14:paraId="61B5E84E"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 xml:space="preserve">Pasirašyta 1-os ir 2-os grupių atliekyno statybos darbų vykdymo sutartis </w:t>
            </w:r>
          </w:p>
        </w:tc>
        <w:tc>
          <w:tcPr>
            <w:tcW w:w="851" w:type="dxa"/>
            <w:vAlign w:val="center"/>
          </w:tcPr>
          <w:p w14:paraId="1A9DF3F8"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vAlign w:val="center"/>
          </w:tcPr>
          <w:p w14:paraId="38A53FB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Pasirašyta sutartis</w:t>
            </w:r>
          </w:p>
        </w:tc>
        <w:tc>
          <w:tcPr>
            <w:tcW w:w="1276" w:type="dxa"/>
            <w:tcMar>
              <w:top w:w="0" w:type="dxa"/>
              <w:left w:w="108" w:type="dxa"/>
              <w:bottom w:w="0" w:type="dxa"/>
              <w:right w:w="108" w:type="dxa"/>
            </w:tcMar>
            <w:vAlign w:val="center"/>
          </w:tcPr>
          <w:p w14:paraId="368957E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6446D5">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4DFDC9ED" w14:textId="0E0001D4" w:rsidR="00451A59" w:rsidRPr="00451A59" w:rsidRDefault="006446D5" w:rsidP="006446D5">
            <w:pPr>
              <w:shd w:val="clear" w:color="auto" w:fill="FFFFFF" w:themeFill="background1"/>
              <w:rPr>
                <w:rFonts w:ascii="Times New Roman" w:hAnsi="Times New Roman"/>
                <w:sz w:val="20"/>
                <w:szCs w:val="20"/>
                <w:lang w:val="lt-LT"/>
              </w:rPr>
            </w:pPr>
            <w:r>
              <w:rPr>
                <w:rFonts w:ascii="Times New Roman" w:hAnsi="Times New Roman"/>
                <w:sz w:val="20"/>
                <w:szCs w:val="20"/>
                <w:lang w:val="lt-LT"/>
              </w:rPr>
              <w:t>Užtruko pirkimo dokumentų derinimas. Darbų pirkimo konkursas paskelbtas 2020 m. kovo mėn.</w:t>
            </w:r>
          </w:p>
        </w:tc>
      </w:tr>
      <w:tr w:rsidR="00451A59" w:rsidRPr="002F3DF3" w14:paraId="7FE1306F" w14:textId="77777777" w:rsidTr="00D7567A">
        <w:trPr>
          <w:trHeight w:val="551"/>
        </w:trPr>
        <w:tc>
          <w:tcPr>
            <w:tcW w:w="694" w:type="dxa"/>
            <w:tcMar>
              <w:top w:w="0" w:type="dxa"/>
              <w:left w:w="108" w:type="dxa"/>
              <w:bottom w:w="0" w:type="dxa"/>
              <w:right w:w="108" w:type="dxa"/>
            </w:tcMar>
            <w:vAlign w:val="center"/>
          </w:tcPr>
          <w:p w14:paraId="3B8E7378"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2F0A44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4DBF26B" w14:textId="77777777" w:rsidR="00451A59" w:rsidRPr="00451A59" w:rsidRDefault="00451A59" w:rsidP="00451A59">
            <w:pPr>
              <w:shd w:val="clear" w:color="auto" w:fill="FFFFFF" w:themeFill="background1"/>
              <w:ind w:left="107" w:right="142"/>
              <w:rPr>
                <w:color w:val="000000"/>
                <w:spacing w:val="-3"/>
                <w:sz w:val="19"/>
                <w:szCs w:val="19"/>
                <w:lang w:val="lt-LT"/>
              </w:rPr>
            </w:pPr>
          </w:p>
        </w:tc>
        <w:tc>
          <w:tcPr>
            <w:tcW w:w="3260" w:type="dxa"/>
            <w:vAlign w:val="center"/>
          </w:tcPr>
          <w:p w14:paraId="44EFC18C"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Projekto uždirbtos vertės metodo rodikliai SPI ir CPI, santykiniai dydžiai</w:t>
            </w:r>
          </w:p>
        </w:tc>
        <w:tc>
          <w:tcPr>
            <w:tcW w:w="851" w:type="dxa"/>
            <w:vAlign w:val="center"/>
          </w:tcPr>
          <w:p w14:paraId="3CE0E70F"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vAlign w:val="center"/>
          </w:tcPr>
          <w:p w14:paraId="1B0D041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5D61BCF1"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099A4F4F" w14:textId="77777777" w:rsidR="00451A59" w:rsidRPr="00451A59" w:rsidRDefault="00451A59" w:rsidP="00451A59">
            <w:pPr>
              <w:shd w:val="clear" w:color="auto" w:fill="FFFFFF" w:themeFill="background1"/>
              <w:rPr>
                <w:rFonts w:ascii="Times New Roman" w:hAnsi="Times New Roman"/>
                <w:sz w:val="20"/>
                <w:szCs w:val="20"/>
                <w:lang w:val="lt-LT"/>
              </w:rPr>
            </w:pPr>
            <w:r w:rsidRPr="00451A59">
              <w:rPr>
                <w:rFonts w:ascii="Times New Roman" w:hAnsi="Times New Roman"/>
                <w:spacing w:val="-3"/>
                <w:sz w:val="20"/>
                <w:szCs w:val="20"/>
                <w:lang w:val="lt-LT"/>
              </w:rPr>
              <w:t>SPI mažėjimo priežastis – dėl užsitęsusio TP ir SAA derinimo su VATESI ir pirkimo dokumentų derinimo su CPVA.</w:t>
            </w:r>
          </w:p>
        </w:tc>
      </w:tr>
      <w:tr w:rsidR="00451A59" w:rsidRPr="00451A59" w14:paraId="0E39E2FD" w14:textId="77777777" w:rsidTr="00D7567A">
        <w:trPr>
          <w:trHeight w:val="551"/>
        </w:trPr>
        <w:tc>
          <w:tcPr>
            <w:tcW w:w="694" w:type="dxa"/>
            <w:tcMar>
              <w:top w:w="0" w:type="dxa"/>
              <w:left w:w="108" w:type="dxa"/>
              <w:bottom w:w="0" w:type="dxa"/>
              <w:right w:w="108" w:type="dxa"/>
            </w:tcMar>
            <w:vAlign w:val="center"/>
          </w:tcPr>
          <w:p w14:paraId="7D0C0F00"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52A87CC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6.2.4.5</w:t>
            </w:r>
          </w:p>
        </w:tc>
        <w:tc>
          <w:tcPr>
            <w:tcW w:w="2533" w:type="dxa"/>
            <w:vMerge w:val="restart"/>
            <w:vAlign w:val="center"/>
          </w:tcPr>
          <w:p w14:paraId="24C85316" w14:textId="77777777" w:rsidR="00451A59" w:rsidRPr="00451A59" w:rsidRDefault="00451A59" w:rsidP="00451A59">
            <w:pPr>
              <w:shd w:val="clear" w:color="auto" w:fill="FFFFFF" w:themeFill="background1"/>
              <w:ind w:left="107" w:right="142"/>
              <w:rPr>
                <w:rFonts w:ascii="Times New Roman" w:hAnsi="Times New Roman"/>
                <w:color w:val="000000"/>
                <w:spacing w:val="-3"/>
                <w:sz w:val="20"/>
                <w:szCs w:val="20"/>
                <w:lang w:val="lt-LT"/>
              </w:rPr>
            </w:pPr>
            <w:r w:rsidRPr="00451A59">
              <w:rPr>
                <w:rFonts w:ascii="Times New Roman" w:hAnsi="Times New Roman"/>
                <w:color w:val="000000"/>
                <w:spacing w:val="-3"/>
                <w:sz w:val="20"/>
                <w:szCs w:val="20"/>
                <w:lang w:val="lt-LT"/>
              </w:rPr>
              <w:t xml:space="preserve">Įvykdyti B20 projektą (bitumuotų atliekų saugyklos modernizavimas) (priemonė bus įvykdyta </w:t>
            </w:r>
            <w:smartTag w:uri="urn:schemas-microsoft-com:office:smarttags" w:element="metricconverter">
              <w:smartTagPr>
                <w:attr w:name="ProductID" w:val="2027 m"/>
              </w:smartTagPr>
              <w:r w:rsidRPr="00451A59">
                <w:rPr>
                  <w:rFonts w:ascii="Times New Roman" w:hAnsi="Times New Roman"/>
                  <w:color w:val="000000"/>
                  <w:spacing w:val="-3"/>
                  <w:sz w:val="20"/>
                  <w:szCs w:val="20"/>
                  <w:lang w:val="lt-LT"/>
                </w:rPr>
                <w:t>2027 m</w:t>
              </w:r>
            </w:smartTag>
            <w:r w:rsidRPr="00451A59">
              <w:rPr>
                <w:rFonts w:ascii="Times New Roman" w:hAnsi="Times New Roman"/>
                <w:color w:val="000000"/>
                <w:spacing w:val="-3"/>
                <w:sz w:val="20"/>
                <w:szCs w:val="20"/>
                <w:lang w:val="lt-LT"/>
              </w:rPr>
              <w:t>.)</w:t>
            </w:r>
          </w:p>
        </w:tc>
        <w:tc>
          <w:tcPr>
            <w:tcW w:w="3260" w:type="dxa"/>
            <w:vAlign w:val="center"/>
          </w:tcPr>
          <w:p w14:paraId="34283694"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color w:val="000000"/>
                <w:spacing w:val="-3"/>
                <w:sz w:val="20"/>
                <w:szCs w:val="20"/>
                <w:lang w:val="lt-LT"/>
              </w:rPr>
              <w:t>Parengta ir pateikta VATESI bitumuotų atliekų atliekyno koncepcija, saugos pagrindimas ir aikštelės vertinimo ataskaita</w:t>
            </w:r>
          </w:p>
        </w:tc>
        <w:tc>
          <w:tcPr>
            <w:tcW w:w="851" w:type="dxa"/>
            <w:vAlign w:val="center"/>
          </w:tcPr>
          <w:p w14:paraId="05C29F77"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vAlign w:val="center"/>
          </w:tcPr>
          <w:p w14:paraId="166C479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Raštas VATESI</w:t>
            </w:r>
          </w:p>
        </w:tc>
        <w:tc>
          <w:tcPr>
            <w:tcW w:w="1276" w:type="dxa"/>
            <w:tcMar>
              <w:top w:w="0" w:type="dxa"/>
              <w:left w:w="108" w:type="dxa"/>
              <w:bottom w:w="0" w:type="dxa"/>
              <w:right w:w="108" w:type="dxa"/>
            </w:tcMar>
            <w:vAlign w:val="center"/>
          </w:tcPr>
          <w:p w14:paraId="5303178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8AADF00"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684596EB" w14:textId="77777777" w:rsidTr="00D7567A">
        <w:trPr>
          <w:trHeight w:val="551"/>
        </w:trPr>
        <w:tc>
          <w:tcPr>
            <w:tcW w:w="694" w:type="dxa"/>
            <w:tcMar>
              <w:top w:w="0" w:type="dxa"/>
              <w:left w:w="108" w:type="dxa"/>
              <w:bottom w:w="0" w:type="dxa"/>
              <w:right w:w="108" w:type="dxa"/>
            </w:tcMar>
            <w:vAlign w:val="center"/>
          </w:tcPr>
          <w:p w14:paraId="5DC5AB2C"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34497B9"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797D346C" w14:textId="77777777" w:rsidR="00451A59" w:rsidRPr="00451A59" w:rsidRDefault="00451A59" w:rsidP="00451A59">
            <w:pPr>
              <w:shd w:val="clear" w:color="auto" w:fill="FFFFFF" w:themeFill="background1"/>
              <w:ind w:left="107" w:right="142"/>
              <w:rPr>
                <w:color w:val="000000"/>
                <w:spacing w:val="-3"/>
                <w:sz w:val="19"/>
                <w:szCs w:val="19"/>
                <w:lang w:val="lt-LT"/>
              </w:rPr>
            </w:pPr>
          </w:p>
        </w:tc>
        <w:tc>
          <w:tcPr>
            <w:tcW w:w="3260" w:type="dxa"/>
            <w:vAlign w:val="center"/>
          </w:tcPr>
          <w:p w14:paraId="5351177C"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Projekto uždirbtos vertės metodo rodikliai SPI ir CPI, santykiniai dydžiai</w:t>
            </w:r>
          </w:p>
        </w:tc>
        <w:tc>
          <w:tcPr>
            <w:tcW w:w="851" w:type="dxa"/>
            <w:vAlign w:val="center"/>
          </w:tcPr>
          <w:p w14:paraId="68FED160" w14:textId="77777777" w:rsidR="00451A59" w:rsidRPr="00451A59" w:rsidRDefault="00451A59" w:rsidP="00451A59">
            <w:pPr>
              <w:shd w:val="clear" w:color="auto" w:fill="FFFFFF" w:themeFill="background1"/>
              <w:ind w:left="142" w:right="139"/>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vAlign w:val="center"/>
          </w:tcPr>
          <w:p w14:paraId="12B34E3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tcMar>
              <w:top w:w="0" w:type="dxa"/>
              <w:left w:w="108" w:type="dxa"/>
              <w:bottom w:w="0" w:type="dxa"/>
              <w:right w:w="108" w:type="dxa"/>
            </w:tcMar>
            <w:vAlign w:val="center"/>
          </w:tcPr>
          <w:p w14:paraId="03CC042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4C8D94F"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7CF9C75A" w14:textId="77777777" w:rsidTr="00D7567A">
        <w:trPr>
          <w:trHeight w:val="832"/>
        </w:trPr>
        <w:tc>
          <w:tcPr>
            <w:tcW w:w="694" w:type="dxa"/>
            <w:tcMar>
              <w:top w:w="0" w:type="dxa"/>
              <w:left w:w="108" w:type="dxa"/>
              <w:bottom w:w="0" w:type="dxa"/>
              <w:right w:w="108" w:type="dxa"/>
            </w:tcMar>
            <w:vAlign w:val="center"/>
          </w:tcPr>
          <w:p w14:paraId="50BBB2CD"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4BC73ED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6.4.2.6</w:t>
            </w:r>
          </w:p>
        </w:tc>
        <w:tc>
          <w:tcPr>
            <w:tcW w:w="2533" w:type="dxa"/>
            <w:vMerge w:val="restart"/>
            <w:vAlign w:val="center"/>
          </w:tcPr>
          <w:p w14:paraId="35C35657"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Nutraukti Maišiagalos radioaktyviųjų atliekų saugyklos eksploatavimą (priemonė turi būti įvykdyta iki 2023 m. rugsėjo mėn.)</w:t>
            </w:r>
          </w:p>
        </w:tc>
        <w:tc>
          <w:tcPr>
            <w:tcW w:w="3260" w:type="dxa"/>
            <w:vAlign w:val="center"/>
          </w:tcPr>
          <w:p w14:paraId="21D407F9"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1. Atliktas Maišiagalos saugyklos eksploatavimo nutraukimo rizikų įvertinimas</w:t>
            </w:r>
          </w:p>
        </w:tc>
        <w:tc>
          <w:tcPr>
            <w:tcW w:w="851" w:type="dxa"/>
            <w:vAlign w:val="center"/>
          </w:tcPr>
          <w:p w14:paraId="5E42900E"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w:t>
            </w:r>
          </w:p>
        </w:tc>
        <w:tc>
          <w:tcPr>
            <w:tcW w:w="1436" w:type="dxa"/>
            <w:vAlign w:val="center"/>
          </w:tcPr>
          <w:p w14:paraId="3A9D568F"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Parengtas rizikų rejestras</w:t>
            </w:r>
          </w:p>
        </w:tc>
        <w:tc>
          <w:tcPr>
            <w:tcW w:w="1276" w:type="dxa"/>
            <w:tcMar>
              <w:top w:w="0" w:type="dxa"/>
              <w:left w:w="108" w:type="dxa"/>
              <w:bottom w:w="0" w:type="dxa"/>
              <w:right w:w="108" w:type="dxa"/>
            </w:tcMar>
            <w:vAlign w:val="center"/>
          </w:tcPr>
          <w:p w14:paraId="410E6DE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19A714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7912043" w14:textId="77777777" w:rsidTr="00D7567A">
        <w:trPr>
          <w:trHeight w:val="832"/>
        </w:trPr>
        <w:tc>
          <w:tcPr>
            <w:tcW w:w="694" w:type="dxa"/>
            <w:tcMar>
              <w:top w:w="0" w:type="dxa"/>
              <w:left w:w="108" w:type="dxa"/>
              <w:bottom w:w="0" w:type="dxa"/>
              <w:right w:w="108" w:type="dxa"/>
            </w:tcMar>
            <w:vAlign w:val="center"/>
          </w:tcPr>
          <w:p w14:paraId="1561B7DE"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0D76FF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3EFA9BB"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5C4F3197" w14:textId="77777777" w:rsidR="00451A59" w:rsidRPr="00451A59" w:rsidRDefault="00451A59" w:rsidP="00451A59">
            <w:pPr>
              <w:pStyle w:val="ListParagraph"/>
              <w:numPr>
                <w:ilvl w:val="0"/>
                <w:numId w:val="19"/>
              </w:numPr>
              <w:shd w:val="clear" w:color="auto" w:fill="FFFFFF" w:themeFill="background1"/>
              <w:tabs>
                <w:tab w:val="left" w:pos="155"/>
                <w:tab w:val="left" w:pos="296"/>
              </w:tabs>
              <w:ind w:left="155" w:right="141" w:hanging="50"/>
              <w:jc w:val="both"/>
              <w:rPr>
                <w:rFonts w:ascii="Times New Roman" w:hAnsi="Times New Roman"/>
                <w:sz w:val="20"/>
                <w:szCs w:val="20"/>
              </w:rPr>
            </w:pPr>
            <w:r w:rsidRPr="00451A59">
              <w:rPr>
                <w:rFonts w:ascii="Times New Roman" w:hAnsi="Times New Roman"/>
                <w:sz w:val="20"/>
                <w:szCs w:val="20"/>
              </w:rPr>
              <w:t>Sudaryta Maišiagalos radioaktyviųjų atliekų saugyklos eksploatavimo nutraukimo projekto aprašo, griovimo projekto, saugos analizės ataskaitos, radionuklidų išmetimo į aplinką plano ir radiacinės saugos programos rengimo sutartis</w:t>
            </w:r>
          </w:p>
        </w:tc>
        <w:tc>
          <w:tcPr>
            <w:tcW w:w="851" w:type="dxa"/>
            <w:vAlign w:val="center"/>
          </w:tcPr>
          <w:p w14:paraId="652E52B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3D27D65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Pasirašyta sutartis</w:t>
            </w:r>
          </w:p>
        </w:tc>
        <w:tc>
          <w:tcPr>
            <w:tcW w:w="1276" w:type="dxa"/>
            <w:tcMar>
              <w:top w:w="0" w:type="dxa"/>
              <w:left w:w="108" w:type="dxa"/>
              <w:bottom w:w="0" w:type="dxa"/>
              <w:right w:w="108" w:type="dxa"/>
            </w:tcMar>
            <w:vAlign w:val="center"/>
          </w:tcPr>
          <w:p w14:paraId="3C560F8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C9FBFE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BE86867" w14:textId="77777777" w:rsidTr="00D7567A">
        <w:trPr>
          <w:trHeight w:val="406"/>
        </w:trPr>
        <w:tc>
          <w:tcPr>
            <w:tcW w:w="694" w:type="dxa"/>
            <w:shd w:val="clear" w:color="auto" w:fill="FFFFFF" w:themeFill="background1"/>
            <w:tcMar>
              <w:top w:w="0" w:type="dxa"/>
              <w:left w:w="108" w:type="dxa"/>
              <w:bottom w:w="0" w:type="dxa"/>
              <w:right w:w="108" w:type="dxa"/>
            </w:tcMar>
            <w:vAlign w:val="center"/>
          </w:tcPr>
          <w:p w14:paraId="058F780B" w14:textId="77777777" w:rsidR="00451A59" w:rsidRPr="00451A59" w:rsidRDefault="00451A59" w:rsidP="00451A59">
            <w:pPr>
              <w:pStyle w:val="ListParagraph"/>
              <w:numPr>
                <w:ilvl w:val="0"/>
                <w:numId w:val="30"/>
              </w:numPr>
              <w:ind w:left="584" w:hanging="357"/>
              <w:rPr>
                <w:rFonts w:ascii="Times New Roman" w:eastAsia="Calibri" w:hAnsi="Times New Roman"/>
                <w:sz w:val="18"/>
                <w:szCs w:val="18"/>
              </w:rPr>
            </w:pPr>
          </w:p>
          <w:p w14:paraId="6BFCFF55" w14:textId="77777777" w:rsidR="00451A59" w:rsidRPr="00451A59" w:rsidRDefault="00451A59" w:rsidP="00451A59">
            <w:pPr>
              <w:shd w:val="clear" w:color="auto" w:fill="FFFFFF" w:themeFill="background1"/>
              <w:spacing w:after="120" w:line="252" w:lineRule="auto"/>
              <w:ind w:left="360" w:right="11"/>
              <w:jc w:val="center"/>
              <w:rPr>
                <w:rFonts w:ascii="Times New Roman" w:eastAsia="Calibri" w:hAnsi="Times New Roman"/>
                <w:sz w:val="20"/>
                <w:szCs w:val="20"/>
                <w:lang w:val="lt-LT"/>
              </w:rPr>
            </w:pPr>
          </w:p>
        </w:tc>
        <w:tc>
          <w:tcPr>
            <w:tcW w:w="992" w:type="dxa"/>
            <w:vMerge/>
            <w:tcMar>
              <w:top w:w="0" w:type="dxa"/>
              <w:left w:w="108" w:type="dxa"/>
              <w:bottom w:w="0" w:type="dxa"/>
              <w:right w:w="108" w:type="dxa"/>
            </w:tcMar>
            <w:vAlign w:val="center"/>
          </w:tcPr>
          <w:p w14:paraId="63DC48B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4DDFFBA"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vAlign w:val="center"/>
          </w:tcPr>
          <w:p w14:paraId="23A85059" w14:textId="77777777" w:rsidR="00451A59" w:rsidRPr="00451A59" w:rsidRDefault="00451A59" w:rsidP="00451A59">
            <w:pPr>
              <w:pStyle w:val="ListParagraph"/>
              <w:numPr>
                <w:ilvl w:val="0"/>
                <w:numId w:val="19"/>
              </w:numPr>
              <w:shd w:val="clear" w:color="auto" w:fill="FFFFFF" w:themeFill="background1"/>
              <w:ind w:left="161" w:right="141" w:firstLine="0"/>
              <w:jc w:val="both"/>
              <w:rPr>
                <w:rFonts w:ascii="Times New Roman" w:hAnsi="Times New Roman"/>
                <w:sz w:val="20"/>
                <w:szCs w:val="20"/>
              </w:rPr>
            </w:pPr>
            <w:r w:rsidRPr="00451A59">
              <w:rPr>
                <w:rFonts w:ascii="Times New Roman" w:hAnsi="Times New Roman"/>
                <w:sz w:val="20"/>
                <w:szCs w:val="20"/>
              </w:rPr>
              <w:t>Parengti Maišiagalos radioaktyviųjų atliekų saugyklos eksploatavimo nutraukimo licencijai gauti reikalingi dokumentai ir pateikti VATESI derinti (pagal dokumentų pateikimo VATESI grafiką)</w:t>
            </w:r>
          </w:p>
        </w:tc>
        <w:tc>
          <w:tcPr>
            <w:tcW w:w="851" w:type="dxa"/>
            <w:shd w:val="clear" w:color="auto" w:fill="FFFFFF" w:themeFill="background1"/>
            <w:vAlign w:val="center"/>
          </w:tcPr>
          <w:p w14:paraId="0B1F2EA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464D07E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Raštas VATESI</w:t>
            </w:r>
          </w:p>
        </w:tc>
        <w:tc>
          <w:tcPr>
            <w:tcW w:w="1276" w:type="dxa"/>
            <w:shd w:val="clear" w:color="auto" w:fill="FFFFFF" w:themeFill="background1"/>
            <w:tcMar>
              <w:top w:w="0" w:type="dxa"/>
              <w:left w:w="108" w:type="dxa"/>
              <w:bottom w:w="0" w:type="dxa"/>
              <w:right w:w="108" w:type="dxa"/>
            </w:tcMar>
            <w:vAlign w:val="center"/>
          </w:tcPr>
          <w:p w14:paraId="1435A102" w14:textId="77777777" w:rsidR="00451A59" w:rsidRPr="00451A59" w:rsidRDefault="00451A59" w:rsidP="00451A59">
            <w:pPr>
              <w:shd w:val="clear" w:color="auto" w:fill="FFFFFF" w:themeFill="background1"/>
              <w:spacing w:before="80" w:after="40" w:line="228" w:lineRule="auto"/>
              <w:jc w:val="center"/>
              <w:rPr>
                <w:rFonts w:ascii="Times New Roman" w:hAnsi="Times New Roman"/>
                <w:color w:val="FF0000"/>
                <w:sz w:val="20"/>
                <w:szCs w:val="20"/>
                <w:lang w:val="lt-LT"/>
              </w:rPr>
            </w:pPr>
            <w:r w:rsidRPr="00451A59">
              <w:rPr>
                <w:rFonts w:ascii="Times New Roman" w:hAnsi="Times New Roman"/>
                <w:color w:val="FF0000"/>
                <w:spacing w:val="-3"/>
                <w:sz w:val="20"/>
                <w:szCs w:val="20"/>
                <w:lang w:val="lt-LT"/>
              </w:rPr>
              <w:t>neįvykdytas</w:t>
            </w:r>
          </w:p>
          <w:p w14:paraId="686E8D03"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p>
        </w:tc>
        <w:tc>
          <w:tcPr>
            <w:tcW w:w="3135" w:type="dxa"/>
            <w:shd w:val="clear" w:color="auto" w:fill="FFFFFF" w:themeFill="background1"/>
            <w:tcMar>
              <w:top w:w="0" w:type="dxa"/>
              <w:left w:w="108" w:type="dxa"/>
              <w:bottom w:w="0" w:type="dxa"/>
              <w:right w:w="108" w:type="dxa"/>
            </w:tcMar>
          </w:tcPr>
          <w:p w14:paraId="74248A46" w14:textId="77777777" w:rsidR="00451A59" w:rsidRPr="00451A59" w:rsidRDefault="00451A59" w:rsidP="00451A59">
            <w:pPr>
              <w:shd w:val="clear" w:color="auto" w:fill="FFFFFF" w:themeFill="background1"/>
              <w:spacing w:before="80" w:after="40" w:line="228" w:lineRule="auto"/>
              <w:rPr>
                <w:rFonts w:ascii="Times New Roman" w:hAnsi="Times New Roman"/>
                <w:iCs/>
                <w:spacing w:val="-3"/>
                <w:sz w:val="18"/>
                <w:szCs w:val="18"/>
                <w:lang w:val="lt-LT"/>
              </w:rPr>
            </w:pPr>
            <w:r w:rsidRPr="00451A59">
              <w:rPr>
                <w:rFonts w:ascii="Times New Roman" w:hAnsi="Times New Roman"/>
                <w:iCs/>
                <w:spacing w:val="-3"/>
                <w:sz w:val="18"/>
                <w:szCs w:val="18"/>
                <w:lang w:val="lt-LT"/>
              </w:rPr>
              <w:t>Pagal pirkimo-pardavimo sutartį, 2019-04-18 Nr. PSt-106(13.67), rangovo parengti licencijavimo dokumentai vis dar yra derinami, pateiktos pastabos rangovų pateiktiems licencijavimo dokumentams.</w:t>
            </w:r>
          </w:p>
          <w:p w14:paraId="38D985A2" w14:textId="57461059" w:rsidR="00451A59" w:rsidRPr="00451A59" w:rsidRDefault="00451A59" w:rsidP="00451A59">
            <w:pPr>
              <w:shd w:val="clear" w:color="auto" w:fill="FFFFFF" w:themeFill="background1"/>
              <w:spacing w:before="80" w:after="40" w:line="228" w:lineRule="auto"/>
              <w:rPr>
                <w:rFonts w:ascii="Times New Roman" w:hAnsi="Times New Roman"/>
                <w:iCs/>
                <w:sz w:val="18"/>
                <w:szCs w:val="18"/>
                <w:lang w:val="lt-LT"/>
              </w:rPr>
            </w:pPr>
            <w:r w:rsidRPr="00451A59">
              <w:rPr>
                <w:rFonts w:ascii="Times New Roman" w:hAnsi="Times New Roman"/>
                <w:iCs/>
                <w:sz w:val="18"/>
                <w:szCs w:val="18"/>
                <w:lang w:val="lt-LT"/>
              </w:rPr>
              <w:t xml:space="preserve">Radionuklidų išmetimo į aplinką planas pateiktas derinti SAM, 2019-12-17 Nr. ĮS-6724(3.4). </w:t>
            </w:r>
            <w:bookmarkStart w:id="1" w:name="_Hlk30158855"/>
            <w:r w:rsidRPr="00451A59">
              <w:rPr>
                <w:rFonts w:ascii="Times New Roman" w:hAnsi="Times New Roman"/>
                <w:iCs/>
                <w:sz w:val="18"/>
                <w:szCs w:val="18"/>
                <w:lang w:val="lt-LT"/>
              </w:rPr>
              <w:t>Pagal gaut</w:t>
            </w:r>
            <w:r w:rsidR="00325A95">
              <w:rPr>
                <w:rFonts w:ascii="Times New Roman" w:hAnsi="Times New Roman"/>
                <w:iCs/>
                <w:sz w:val="18"/>
                <w:szCs w:val="18"/>
                <w:lang w:val="lt-LT"/>
              </w:rPr>
              <w:t xml:space="preserve">ą </w:t>
            </w:r>
            <w:r w:rsidRPr="00451A59">
              <w:rPr>
                <w:rFonts w:ascii="Times New Roman" w:hAnsi="Times New Roman"/>
                <w:iCs/>
                <w:sz w:val="18"/>
                <w:szCs w:val="18"/>
                <w:lang w:val="lt-LT"/>
              </w:rPr>
              <w:t>SAM raštą, 2019-12-31 Nr. (1.1.20-9816)10-7871, įvertinimo išvada bus pateikta</w:t>
            </w:r>
            <w:bookmarkEnd w:id="1"/>
            <w:r w:rsidR="00325A95">
              <w:rPr>
                <w:rFonts w:ascii="Times New Roman" w:hAnsi="Times New Roman"/>
                <w:iCs/>
                <w:sz w:val="18"/>
                <w:szCs w:val="18"/>
                <w:lang w:val="lt-LT"/>
              </w:rPr>
              <w:t xml:space="preserve"> 2020 sausį.</w:t>
            </w:r>
          </w:p>
        </w:tc>
      </w:tr>
      <w:tr w:rsidR="00451A59" w:rsidRPr="002F3DF3" w14:paraId="392D7FAC" w14:textId="77777777" w:rsidTr="00D7567A">
        <w:trPr>
          <w:trHeight w:val="832"/>
        </w:trPr>
        <w:tc>
          <w:tcPr>
            <w:tcW w:w="694" w:type="dxa"/>
            <w:tcMar>
              <w:top w:w="0" w:type="dxa"/>
              <w:left w:w="108" w:type="dxa"/>
              <w:bottom w:w="0" w:type="dxa"/>
              <w:right w:w="108" w:type="dxa"/>
            </w:tcMar>
            <w:vAlign w:val="center"/>
          </w:tcPr>
          <w:p w14:paraId="6DF9F502" w14:textId="77777777" w:rsidR="00451A59" w:rsidRPr="00451A59" w:rsidRDefault="00451A59" w:rsidP="00451A59">
            <w:pPr>
              <w:pStyle w:val="ListParagraph"/>
              <w:numPr>
                <w:ilvl w:val="0"/>
                <w:numId w:val="30"/>
              </w:numPr>
              <w:shd w:val="clear" w:color="auto" w:fill="FFFFFF" w:themeFill="background1"/>
              <w:tabs>
                <w:tab w:val="left" w:pos="157"/>
              </w:tabs>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2939336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6.4.2.7</w:t>
            </w:r>
          </w:p>
        </w:tc>
        <w:tc>
          <w:tcPr>
            <w:tcW w:w="2533" w:type="dxa"/>
            <w:vMerge w:val="restart"/>
            <w:vAlign w:val="center"/>
          </w:tcPr>
          <w:p w14:paraId="1275E2FE"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Parengti giluminio atliekyno plėtros projekto ir kompleksinės giluminio atliekyno tyrimų programą (priemonė bus įvykdyta 2022 m.)</w:t>
            </w:r>
          </w:p>
        </w:tc>
        <w:tc>
          <w:tcPr>
            <w:tcW w:w="3260" w:type="dxa"/>
            <w:vAlign w:val="center"/>
          </w:tcPr>
          <w:p w14:paraId="4F91E551"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1. Parengtas giluminio atliekyno projekto valdymo planas</w:t>
            </w:r>
            <w:r w:rsidRPr="00451A59">
              <w:rPr>
                <w:rFonts w:ascii="Times New Roman" w:hAnsi="Times New Roman"/>
                <w:spacing w:val="-3"/>
                <w:sz w:val="20"/>
                <w:szCs w:val="20"/>
                <w:lang w:val="lt-LT"/>
              </w:rPr>
              <w:t xml:space="preserve"> ir pristatytas valdybai bei Energetikos ministerija</w:t>
            </w:r>
            <w:r w:rsidRPr="00451A59">
              <w:rPr>
                <w:spacing w:val="-3"/>
                <w:sz w:val="19"/>
                <w:szCs w:val="19"/>
                <w:lang w:val="lt-LT"/>
              </w:rPr>
              <w:t>i</w:t>
            </w:r>
          </w:p>
        </w:tc>
        <w:tc>
          <w:tcPr>
            <w:tcW w:w="851" w:type="dxa"/>
            <w:vAlign w:val="center"/>
          </w:tcPr>
          <w:p w14:paraId="2B17335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vAlign w:val="center"/>
          </w:tcPr>
          <w:p w14:paraId="341A2F9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Parengtas planas</w:t>
            </w:r>
          </w:p>
          <w:p w14:paraId="6BA034D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1276" w:type="dxa"/>
            <w:tcMar>
              <w:top w:w="0" w:type="dxa"/>
              <w:left w:w="108" w:type="dxa"/>
              <w:bottom w:w="0" w:type="dxa"/>
              <w:right w:w="108" w:type="dxa"/>
            </w:tcMar>
            <w:vAlign w:val="center"/>
          </w:tcPr>
          <w:p w14:paraId="7C1790B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 (paveluotai)</w:t>
            </w:r>
          </w:p>
        </w:tc>
        <w:tc>
          <w:tcPr>
            <w:tcW w:w="3135" w:type="dxa"/>
            <w:tcMar>
              <w:top w:w="0" w:type="dxa"/>
              <w:left w:w="108" w:type="dxa"/>
              <w:bottom w:w="0" w:type="dxa"/>
              <w:right w:w="108" w:type="dxa"/>
            </w:tcMar>
            <w:vAlign w:val="center"/>
          </w:tcPr>
          <w:p w14:paraId="2F17A54E" w14:textId="3E3FD9B6"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hAnsi="Times New Roman"/>
                <w:sz w:val="20"/>
                <w:szCs w:val="20"/>
                <w:lang w:val="lt-LT"/>
              </w:rPr>
              <w:t xml:space="preserve">PBK ir RA tvarkymo stebėsenos darbo grupės posėdžio metu VATESI pageidavimu buvo nuspręsta </w:t>
            </w:r>
            <w:r w:rsidR="00697B5D">
              <w:rPr>
                <w:rFonts w:ascii="Times New Roman" w:hAnsi="Times New Roman"/>
                <w:sz w:val="20"/>
                <w:szCs w:val="20"/>
                <w:lang w:val="lt-LT"/>
              </w:rPr>
              <w:t>Giluminio</w:t>
            </w:r>
            <w:r w:rsidRPr="00451A59">
              <w:rPr>
                <w:rFonts w:ascii="Times New Roman" w:hAnsi="Times New Roman"/>
                <w:sz w:val="20"/>
                <w:szCs w:val="20"/>
                <w:lang w:val="lt-LT"/>
              </w:rPr>
              <w:t xml:space="preserve"> </w:t>
            </w:r>
            <w:r w:rsidR="00697B5D">
              <w:rPr>
                <w:rFonts w:ascii="Times New Roman" w:hAnsi="Times New Roman"/>
                <w:sz w:val="20"/>
                <w:szCs w:val="20"/>
                <w:lang w:val="lt-LT"/>
              </w:rPr>
              <w:t xml:space="preserve">atliekyno </w:t>
            </w:r>
            <w:r w:rsidRPr="00451A59">
              <w:rPr>
                <w:rFonts w:ascii="Times New Roman" w:hAnsi="Times New Roman"/>
                <w:sz w:val="20"/>
                <w:szCs w:val="20"/>
                <w:lang w:val="lt-LT"/>
              </w:rPr>
              <w:t>projekto valdymo planą detalizuoti visiems šio projekto vykdymo etapams iki 2080 m.</w:t>
            </w:r>
          </w:p>
        </w:tc>
      </w:tr>
      <w:tr w:rsidR="00451A59" w:rsidRPr="00451A59" w14:paraId="79FA4388" w14:textId="77777777" w:rsidTr="00D7567A">
        <w:trPr>
          <w:trHeight w:val="574"/>
        </w:trPr>
        <w:tc>
          <w:tcPr>
            <w:tcW w:w="694" w:type="dxa"/>
            <w:shd w:val="clear" w:color="auto" w:fill="FFFFFF" w:themeFill="background1"/>
            <w:tcMar>
              <w:top w:w="0" w:type="dxa"/>
              <w:left w:w="108" w:type="dxa"/>
              <w:bottom w:w="0" w:type="dxa"/>
              <w:right w:w="108" w:type="dxa"/>
            </w:tcMar>
            <w:vAlign w:val="center"/>
          </w:tcPr>
          <w:p w14:paraId="2187B743"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E8E4DA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44597A5"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vAlign w:val="center"/>
          </w:tcPr>
          <w:p w14:paraId="5CD77393"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2.Parengti socialiniai ir ekonominiai atrankos kriterijai</w:t>
            </w:r>
          </w:p>
        </w:tc>
        <w:tc>
          <w:tcPr>
            <w:tcW w:w="851" w:type="dxa"/>
            <w:shd w:val="clear" w:color="auto" w:fill="FFFFFF" w:themeFill="background1"/>
            <w:vAlign w:val="center"/>
          </w:tcPr>
          <w:p w14:paraId="5079B80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6896A8E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Parengti kriterijai</w:t>
            </w:r>
          </w:p>
        </w:tc>
        <w:tc>
          <w:tcPr>
            <w:tcW w:w="1276" w:type="dxa"/>
            <w:shd w:val="clear" w:color="auto" w:fill="FFFFFF" w:themeFill="background1"/>
            <w:tcMar>
              <w:top w:w="0" w:type="dxa"/>
              <w:left w:w="108" w:type="dxa"/>
              <w:bottom w:w="0" w:type="dxa"/>
              <w:right w:w="108" w:type="dxa"/>
            </w:tcMar>
            <w:vAlign w:val="center"/>
          </w:tcPr>
          <w:p w14:paraId="76DAB27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tcPr>
          <w:p w14:paraId="3EFE0F98" w14:textId="77777777" w:rsidR="00451A59" w:rsidRPr="00451A59" w:rsidRDefault="00451A59" w:rsidP="00451A59">
            <w:pPr>
              <w:shd w:val="clear" w:color="auto" w:fill="FFFFFF" w:themeFill="background1"/>
              <w:jc w:val="center"/>
              <w:rPr>
                <w:rFonts w:ascii="Times New Roman" w:hAnsi="Times New Roman"/>
                <w:sz w:val="20"/>
                <w:szCs w:val="20"/>
                <w:lang w:val="lt-LT"/>
              </w:rPr>
            </w:pPr>
          </w:p>
          <w:p w14:paraId="33A91E4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CA6FF77" w14:textId="77777777" w:rsidTr="00D7567A">
        <w:trPr>
          <w:trHeight w:val="554"/>
        </w:trPr>
        <w:tc>
          <w:tcPr>
            <w:tcW w:w="694" w:type="dxa"/>
            <w:shd w:val="clear" w:color="auto" w:fill="FFFFFF" w:themeFill="background1"/>
            <w:tcMar>
              <w:top w:w="0" w:type="dxa"/>
              <w:left w:w="108" w:type="dxa"/>
              <w:bottom w:w="0" w:type="dxa"/>
              <w:right w:w="108" w:type="dxa"/>
            </w:tcMar>
            <w:vAlign w:val="center"/>
          </w:tcPr>
          <w:p w14:paraId="10FDA0C9"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D0DF38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B4501FF"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vAlign w:val="center"/>
          </w:tcPr>
          <w:p w14:paraId="316A800F"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3.Suformuota projekto valdymo grupė</w:t>
            </w:r>
          </w:p>
        </w:tc>
        <w:tc>
          <w:tcPr>
            <w:tcW w:w="851" w:type="dxa"/>
            <w:shd w:val="clear" w:color="auto" w:fill="FFFFFF" w:themeFill="background1"/>
            <w:vAlign w:val="center"/>
          </w:tcPr>
          <w:p w14:paraId="5DBF92E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1974288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Grupė susidedanti iš 2 darbuotojų</w:t>
            </w:r>
          </w:p>
        </w:tc>
        <w:tc>
          <w:tcPr>
            <w:tcW w:w="1276" w:type="dxa"/>
            <w:shd w:val="clear" w:color="auto" w:fill="FFFFFF" w:themeFill="background1"/>
            <w:tcMar>
              <w:top w:w="0" w:type="dxa"/>
              <w:left w:w="108" w:type="dxa"/>
              <w:bottom w:w="0" w:type="dxa"/>
              <w:right w:w="108" w:type="dxa"/>
            </w:tcMar>
            <w:vAlign w:val="center"/>
          </w:tcPr>
          <w:p w14:paraId="1844614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tcPr>
          <w:p w14:paraId="125468D0" w14:textId="77777777" w:rsidR="00451A59" w:rsidRPr="00451A59" w:rsidRDefault="00451A59" w:rsidP="00451A59">
            <w:pPr>
              <w:shd w:val="clear" w:color="auto" w:fill="FFFFFF" w:themeFill="background1"/>
              <w:jc w:val="center"/>
              <w:rPr>
                <w:rFonts w:ascii="Times New Roman" w:hAnsi="Times New Roman"/>
                <w:sz w:val="20"/>
                <w:szCs w:val="20"/>
                <w:lang w:val="lt-LT"/>
              </w:rPr>
            </w:pPr>
          </w:p>
          <w:p w14:paraId="4B45B7B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2F3DF3" w14:paraId="536DD44F" w14:textId="77777777" w:rsidTr="00D7567A">
        <w:trPr>
          <w:trHeight w:val="412"/>
        </w:trPr>
        <w:tc>
          <w:tcPr>
            <w:tcW w:w="694" w:type="dxa"/>
            <w:tcBorders>
              <w:bottom w:val="single" w:sz="4" w:space="0" w:color="auto"/>
            </w:tcBorders>
            <w:tcMar>
              <w:top w:w="0" w:type="dxa"/>
              <w:left w:w="108" w:type="dxa"/>
              <w:bottom w:w="0" w:type="dxa"/>
              <w:right w:w="108" w:type="dxa"/>
            </w:tcMar>
            <w:vAlign w:val="center"/>
          </w:tcPr>
          <w:p w14:paraId="3DA35358"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DC12C0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36C24F2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57633966" w14:textId="77777777" w:rsidR="00451A59" w:rsidRPr="00451A59" w:rsidRDefault="00451A59" w:rsidP="00451A59">
            <w:pPr>
              <w:shd w:val="clear" w:color="auto" w:fill="FFFFFF" w:themeFill="background1"/>
              <w:tabs>
                <w:tab w:val="center" w:pos="4844"/>
                <w:tab w:val="right" w:pos="9689"/>
              </w:tabs>
              <w:ind w:left="107" w:right="141"/>
              <w:jc w:val="both"/>
              <w:rPr>
                <w:rFonts w:ascii="Times New Roman" w:hAnsi="Times New Roman"/>
                <w:sz w:val="20"/>
                <w:szCs w:val="20"/>
                <w:lang w:val="lt-LT"/>
              </w:rPr>
            </w:pPr>
            <w:r w:rsidRPr="00451A59">
              <w:rPr>
                <w:rFonts w:ascii="Times New Roman" w:hAnsi="Times New Roman"/>
                <w:spacing w:val="-3"/>
                <w:sz w:val="20"/>
                <w:szCs w:val="20"/>
                <w:lang w:val="lt-LT"/>
              </w:rPr>
              <w:t>4. Suderinta su CPVA projekto paraiška</w:t>
            </w:r>
            <w:r w:rsidRPr="00451A59">
              <w:rPr>
                <w:rStyle w:val="FootnoteReference"/>
                <w:rFonts w:ascii="Times New Roman" w:hAnsi="Times New Roman"/>
                <w:spacing w:val="-3"/>
                <w:sz w:val="20"/>
                <w:szCs w:val="20"/>
                <w:lang w:val="lt-LT"/>
              </w:rPr>
              <w:footnoteReference w:id="1"/>
            </w:r>
          </w:p>
        </w:tc>
        <w:tc>
          <w:tcPr>
            <w:tcW w:w="851" w:type="dxa"/>
            <w:shd w:val="clear" w:color="auto" w:fill="FFFFFF" w:themeFill="background1"/>
            <w:vAlign w:val="center"/>
          </w:tcPr>
          <w:p w14:paraId="149DDAA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III</w:t>
            </w:r>
          </w:p>
        </w:tc>
        <w:tc>
          <w:tcPr>
            <w:tcW w:w="1436" w:type="dxa"/>
            <w:shd w:val="clear" w:color="auto" w:fill="FFFFFF" w:themeFill="background1"/>
            <w:vAlign w:val="center"/>
          </w:tcPr>
          <w:p w14:paraId="06DA9915"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c>
          <w:tcPr>
            <w:tcW w:w="1276" w:type="dxa"/>
            <w:shd w:val="clear" w:color="auto" w:fill="FFFFFF" w:themeFill="background1"/>
            <w:tcMar>
              <w:top w:w="0" w:type="dxa"/>
              <w:left w:w="108" w:type="dxa"/>
              <w:bottom w:w="0" w:type="dxa"/>
              <w:right w:w="108" w:type="dxa"/>
            </w:tcMar>
            <w:vAlign w:val="center"/>
          </w:tcPr>
          <w:p w14:paraId="0B2F6EA2"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shd w:val="clear" w:color="auto" w:fill="auto"/>
            <w:tcMar>
              <w:top w:w="0" w:type="dxa"/>
              <w:left w:w="108" w:type="dxa"/>
              <w:bottom w:w="0" w:type="dxa"/>
              <w:right w:w="108" w:type="dxa"/>
            </w:tcMar>
            <w:vAlign w:val="center"/>
          </w:tcPr>
          <w:p w14:paraId="35B3F293" w14:textId="2C3BB8A6"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hAnsi="Times New Roman"/>
                <w:sz w:val="20"/>
                <w:szCs w:val="20"/>
                <w:lang w:val="lt-LT"/>
              </w:rPr>
              <w:t>Užsitęsė E</w:t>
            </w:r>
            <w:r w:rsidR="00F83512">
              <w:rPr>
                <w:rFonts w:ascii="Times New Roman" w:hAnsi="Times New Roman"/>
                <w:sz w:val="20"/>
                <w:szCs w:val="20"/>
                <w:lang w:val="lt-LT"/>
              </w:rPr>
              <w:t>uropos ekonominės erdvės</w:t>
            </w:r>
            <w:r w:rsidR="0050515F">
              <w:rPr>
                <w:rFonts w:ascii="Times New Roman" w:hAnsi="Times New Roman"/>
                <w:sz w:val="20"/>
                <w:szCs w:val="20"/>
                <w:lang w:val="lt-LT"/>
              </w:rPr>
              <w:t xml:space="preserve"> ir Norvegijos finansinių mechanizmų</w:t>
            </w:r>
            <w:r w:rsidR="005D6FFE">
              <w:rPr>
                <w:rFonts w:ascii="Times New Roman" w:hAnsi="Times New Roman"/>
                <w:sz w:val="20"/>
                <w:szCs w:val="20"/>
                <w:lang w:val="lt-LT"/>
              </w:rPr>
              <w:t xml:space="preserve"> dotacijos gavimo</w:t>
            </w:r>
            <w:r w:rsidRPr="00451A59">
              <w:rPr>
                <w:rFonts w:ascii="Times New Roman" w:hAnsi="Times New Roman"/>
                <w:sz w:val="20"/>
                <w:szCs w:val="20"/>
                <w:lang w:val="lt-LT"/>
              </w:rPr>
              <w:t xml:space="preserve"> projekto pateikimo procesas dėl dokumentų, reikalingų </w:t>
            </w:r>
            <w:r w:rsidR="000C63D2">
              <w:rPr>
                <w:rFonts w:ascii="Times New Roman" w:hAnsi="Times New Roman"/>
                <w:sz w:val="20"/>
                <w:szCs w:val="20"/>
                <w:lang w:val="lt-LT"/>
              </w:rPr>
              <w:t>dotacijai</w:t>
            </w:r>
            <w:r w:rsidRPr="00451A59">
              <w:rPr>
                <w:rFonts w:ascii="Times New Roman" w:hAnsi="Times New Roman"/>
                <w:sz w:val="20"/>
                <w:szCs w:val="20"/>
                <w:lang w:val="lt-LT"/>
              </w:rPr>
              <w:t xml:space="preserve"> gauti, rengimo ir projekto organizavimo detalių derinimo.</w:t>
            </w:r>
          </w:p>
        </w:tc>
      </w:tr>
      <w:tr w:rsidR="00451A59" w:rsidRPr="00451A59" w14:paraId="0675077A" w14:textId="77777777" w:rsidTr="00D7567A">
        <w:trPr>
          <w:trHeight w:val="832"/>
        </w:trPr>
        <w:tc>
          <w:tcPr>
            <w:tcW w:w="694" w:type="dxa"/>
            <w:tcBorders>
              <w:top w:val="single" w:sz="4" w:space="0" w:color="auto"/>
            </w:tcBorders>
            <w:shd w:val="clear" w:color="auto" w:fill="FFFFFF" w:themeFill="background1"/>
            <w:tcMar>
              <w:top w:w="0" w:type="dxa"/>
              <w:left w:w="108" w:type="dxa"/>
              <w:bottom w:w="0" w:type="dxa"/>
              <w:right w:w="108" w:type="dxa"/>
            </w:tcMar>
            <w:vAlign w:val="center"/>
          </w:tcPr>
          <w:p w14:paraId="3776AB8C"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5E9FF35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6.4.2.8</w:t>
            </w:r>
          </w:p>
        </w:tc>
        <w:tc>
          <w:tcPr>
            <w:tcW w:w="2533" w:type="dxa"/>
            <w:vMerge w:val="restart"/>
            <w:vAlign w:val="center"/>
          </w:tcPr>
          <w:p w14:paraId="39468C59"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 xml:space="preserve">Vykdyti smulkiųjų darytojų radioaktyviųjų šaltinių,  branduolinio kuro ciklo medžiagų, paliktųjų branduolinių ir daliųjų </w:t>
            </w:r>
            <w:r w:rsidRPr="00451A59">
              <w:rPr>
                <w:rFonts w:ascii="Times New Roman" w:hAnsi="Times New Roman"/>
                <w:sz w:val="20"/>
                <w:szCs w:val="20"/>
                <w:lang w:val="lt-LT"/>
              </w:rPr>
              <w:lastRenderedPageBreak/>
              <w:t>medžiagų ir radioaktyviosiomis medžiagomis užterštų objektų tvarkymą</w:t>
            </w:r>
          </w:p>
        </w:tc>
        <w:tc>
          <w:tcPr>
            <w:tcW w:w="3260" w:type="dxa"/>
            <w:shd w:val="clear" w:color="auto" w:fill="FFFFFF" w:themeFill="background1"/>
            <w:vAlign w:val="center"/>
          </w:tcPr>
          <w:p w14:paraId="6282F9F6"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lastRenderedPageBreak/>
              <w:t>1.Identifikuoti paliktieji objektai surinkti ir transportuoti į Ignalinos AE padorojimui ir saugojimui</w:t>
            </w:r>
          </w:p>
        </w:tc>
        <w:tc>
          <w:tcPr>
            <w:tcW w:w="851" w:type="dxa"/>
            <w:shd w:val="clear" w:color="auto" w:fill="FFFFFF" w:themeFill="background1"/>
            <w:vAlign w:val="center"/>
          </w:tcPr>
          <w:p w14:paraId="55BC451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32B313F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100 % nuo nurodytų gautuose RSC pranešimuose objektų skaičius</w:t>
            </w:r>
          </w:p>
        </w:tc>
        <w:tc>
          <w:tcPr>
            <w:tcW w:w="1276" w:type="dxa"/>
            <w:shd w:val="clear" w:color="auto" w:fill="FFFFFF" w:themeFill="background1"/>
            <w:tcMar>
              <w:top w:w="0" w:type="dxa"/>
              <w:left w:w="108" w:type="dxa"/>
              <w:bottom w:w="0" w:type="dxa"/>
              <w:right w:w="108" w:type="dxa"/>
            </w:tcMar>
            <w:vAlign w:val="center"/>
          </w:tcPr>
          <w:p w14:paraId="1B12B73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380A83F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1927A06" w14:textId="77777777" w:rsidTr="00D7567A">
        <w:trPr>
          <w:trHeight w:val="832"/>
        </w:trPr>
        <w:tc>
          <w:tcPr>
            <w:tcW w:w="694" w:type="dxa"/>
            <w:tcBorders>
              <w:top w:val="single" w:sz="4" w:space="0" w:color="auto"/>
            </w:tcBorders>
            <w:shd w:val="clear" w:color="auto" w:fill="FFFFFF" w:themeFill="background1"/>
            <w:tcMar>
              <w:top w:w="0" w:type="dxa"/>
              <w:left w:w="108" w:type="dxa"/>
              <w:bottom w:w="0" w:type="dxa"/>
              <w:right w:w="108" w:type="dxa"/>
            </w:tcMar>
            <w:vAlign w:val="center"/>
          </w:tcPr>
          <w:p w14:paraId="52AC9302"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1909CB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3D86B39"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vAlign w:val="center"/>
          </w:tcPr>
          <w:p w14:paraId="00964EA4"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2.Surinktos smulkiųjų darytojų atliekos</w:t>
            </w:r>
          </w:p>
        </w:tc>
        <w:tc>
          <w:tcPr>
            <w:tcW w:w="851" w:type="dxa"/>
            <w:shd w:val="clear" w:color="auto" w:fill="FFFFFF" w:themeFill="background1"/>
            <w:vAlign w:val="center"/>
          </w:tcPr>
          <w:p w14:paraId="2153906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1DD7299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Pateikta RSC Galutinio objekto eksploatavimo nutraukimo plano įvykdymo ataskaita</w:t>
            </w:r>
          </w:p>
        </w:tc>
        <w:tc>
          <w:tcPr>
            <w:tcW w:w="1276" w:type="dxa"/>
            <w:shd w:val="clear" w:color="auto" w:fill="FFFFFF" w:themeFill="background1"/>
            <w:tcMar>
              <w:top w:w="0" w:type="dxa"/>
              <w:left w:w="108" w:type="dxa"/>
              <w:bottom w:w="0" w:type="dxa"/>
              <w:right w:w="108" w:type="dxa"/>
            </w:tcMar>
            <w:vAlign w:val="center"/>
          </w:tcPr>
          <w:p w14:paraId="626456D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3E6486C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8143F6A" w14:textId="77777777" w:rsidTr="00D7567A">
        <w:trPr>
          <w:trHeight w:val="1499"/>
        </w:trPr>
        <w:tc>
          <w:tcPr>
            <w:tcW w:w="694" w:type="dxa"/>
            <w:tcBorders>
              <w:top w:val="single" w:sz="4" w:space="0" w:color="auto"/>
            </w:tcBorders>
            <w:tcMar>
              <w:top w:w="0" w:type="dxa"/>
              <w:left w:w="108" w:type="dxa"/>
              <w:bottom w:w="0" w:type="dxa"/>
              <w:right w:w="108" w:type="dxa"/>
            </w:tcMar>
            <w:vAlign w:val="center"/>
          </w:tcPr>
          <w:p w14:paraId="5B5FFED6"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CC03C99"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5E17FCA"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76F049C9"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3. Įgyvendintas Galutinis objekto (P.Lukšio g. 5 Vilnius), kuriame buvo vykdoma veikla su radioaltyviasiais šaltiniais, eksploatavimo nutraukimo planas</w:t>
            </w:r>
          </w:p>
        </w:tc>
        <w:tc>
          <w:tcPr>
            <w:tcW w:w="851" w:type="dxa"/>
            <w:shd w:val="clear" w:color="auto" w:fill="FFFFFF" w:themeFill="background1"/>
            <w:vAlign w:val="center"/>
          </w:tcPr>
          <w:p w14:paraId="7B4BA95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II</w:t>
            </w:r>
          </w:p>
        </w:tc>
        <w:tc>
          <w:tcPr>
            <w:tcW w:w="1436" w:type="dxa"/>
            <w:shd w:val="clear" w:color="auto" w:fill="FFFFFF" w:themeFill="background1"/>
            <w:vAlign w:val="center"/>
          </w:tcPr>
          <w:p w14:paraId="20AB67A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Pateikta RSC Galutinio objekto eksploatavimo nutraukimo plano įvykdymo ataskaita</w:t>
            </w:r>
          </w:p>
        </w:tc>
        <w:tc>
          <w:tcPr>
            <w:tcW w:w="1276" w:type="dxa"/>
            <w:shd w:val="clear" w:color="auto" w:fill="FFFFFF" w:themeFill="background1"/>
            <w:tcMar>
              <w:top w:w="0" w:type="dxa"/>
              <w:left w:w="108" w:type="dxa"/>
              <w:bottom w:w="0" w:type="dxa"/>
              <w:right w:w="108" w:type="dxa"/>
            </w:tcMar>
            <w:vAlign w:val="center"/>
          </w:tcPr>
          <w:p w14:paraId="6AB4932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C7D904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B4FAE9B" w14:textId="77777777" w:rsidTr="00D7567A">
        <w:trPr>
          <w:trHeight w:val="832"/>
        </w:trPr>
        <w:tc>
          <w:tcPr>
            <w:tcW w:w="694" w:type="dxa"/>
            <w:tcBorders>
              <w:top w:val="single" w:sz="4" w:space="0" w:color="auto"/>
            </w:tcBorders>
            <w:tcMar>
              <w:top w:w="0" w:type="dxa"/>
              <w:left w:w="108" w:type="dxa"/>
              <w:bottom w:w="0" w:type="dxa"/>
              <w:right w:w="108" w:type="dxa"/>
            </w:tcMar>
            <w:vAlign w:val="center"/>
          </w:tcPr>
          <w:p w14:paraId="6BD1C6FB"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69CB869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6.4.2.9</w:t>
            </w:r>
          </w:p>
        </w:tc>
        <w:tc>
          <w:tcPr>
            <w:tcW w:w="2533" w:type="dxa"/>
            <w:vMerge w:val="restart"/>
            <w:vAlign w:val="center"/>
          </w:tcPr>
          <w:p w14:paraId="3FF72EFD" w14:textId="77777777" w:rsidR="00451A59" w:rsidRPr="00451A59" w:rsidRDefault="00451A59" w:rsidP="00451A59">
            <w:pPr>
              <w:shd w:val="clear" w:color="auto" w:fill="FFFFFF" w:themeFill="background1"/>
              <w:ind w:right="142"/>
              <w:jc w:val="both"/>
              <w:rPr>
                <w:rFonts w:ascii="Times New Roman" w:hAnsi="Times New Roman"/>
                <w:sz w:val="20"/>
                <w:szCs w:val="20"/>
                <w:lang w:val="lt-LT"/>
              </w:rPr>
            </w:pPr>
            <w:r w:rsidRPr="00451A59">
              <w:rPr>
                <w:rFonts w:ascii="Times New Roman" w:hAnsi="Times New Roman"/>
                <w:color w:val="000000"/>
                <w:spacing w:val="-3"/>
                <w:sz w:val="20"/>
                <w:szCs w:val="20"/>
                <w:lang w:val="lt-LT"/>
              </w:rPr>
              <w:t xml:space="preserve">Modifikuoti LPBKS esamą „karštąją“ kamerą trijų tipų konteinerių tvarkymui (priemonė bus įvykdyta </w:t>
            </w:r>
            <w:smartTag w:uri="urn:schemas-microsoft-com:office:smarttags" w:element="metricconverter">
              <w:smartTagPr>
                <w:attr w:name="ProductID" w:val="2022 m"/>
              </w:smartTagPr>
              <w:r w:rsidRPr="00451A59">
                <w:rPr>
                  <w:rFonts w:ascii="Times New Roman" w:hAnsi="Times New Roman"/>
                  <w:color w:val="000000"/>
                  <w:spacing w:val="-3"/>
                  <w:sz w:val="20"/>
                  <w:szCs w:val="20"/>
                  <w:lang w:val="lt-LT"/>
                </w:rPr>
                <w:t>2022 m</w:t>
              </w:r>
            </w:smartTag>
            <w:r w:rsidRPr="00451A59">
              <w:rPr>
                <w:rFonts w:ascii="Times New Roman" w:hAnsi="Times New Roman"/>
                <w:color w:val="000000"/>
                <w:spacing w:val="-3"/>
                <w:sz w:val="20"/>
                <w:szCs w:val="20"/>
                <w:lang w:val="lt-LT"/>
              </w:rPr>
              <w:t>.)</w:t>
            </w:r>
          </w:p>
        </w:tc>
        <w:tc>
          <w:tcPr>
            <w:tcW w:w="3260" w:type="dxa"/>
            <w:vAlign w:val="center"/>
          </w:tcPr>
          <w:p w14:paraId="08D27B7A"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color w:val="000000"/>
                <w:sz w:val="20"/>
                <w:szCs w:val="20"/>
                <w:lang w:val="lt-LT"/>
              </w:rPr>
              <w:t xml:space="preserve">Sudaryta </w:t>
            </w:r>
            <w:r w:rsidRPr="00451A59">
              <w:rPr>
                <w:rFonts w:ascii="Times New Roman" w:hAnsi="Times New Roman"/>
                <w:color w:val="000000"/>
                <w:spacing w:val="-3"/>
                <w:sz w:val="20"/>
                <w:szCs w:val="20"/>
                <w:lang w:val="lt-LT"/>
              </w:rPr>
              <w:t>LPBKS esamos „karštosios“ kameros trijų tipų konteinerių tvarkymui</w:t>
            </w:r>
            <w:r w:rsidRPr="00451A59">
              <w:rPr>
                <w:rFonts w:ascii="Times New Roman" w:hAnsi="Times New Roman"/>
                <w:color w:val="000000"/>
                <w:sz w:val="20"/>
                <w:szCs w:val="20"/>
                <w:lang w:val="lt-LT"/>
              </w:rPr>
              <w:t xml:space="preserve"> sutartis</w:t>
            </w:r>
          </w:p>
        </w:tc>
        <w:tc>
          <w:tcPr>
            <w:tcW w:w="851" w:type="dxa"/>
            <w:shd w:val="clear" w:color="auto" w:fill="FFFFFF" w:themeFill="background1"/>
            <w:vAlign w:val="center"/>
          </w:tcPr>
          <w:p w14:paraId="0DD7A97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IV</w:t>
            </w:r>
          </w:p>
        </w:tc>
        <w:tc>
          <w:tcPr>
            <w:tcW w:w="1436" w:type="dxa"/>
            <w:shd w:val="clear" w:color="auto" w:fill="FFFFFF" w:themeFill="background1"/>
            <w:vAlign w:val="center"/>
          </w:tcPr>
          <w:p w14:paraId="258C681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Pasirašyta sutartis</w:t>
            </w:r>
          </w:p>
        </w:tc>
        <w:tc>
          <w:tcPr>
            <w:tcW w:w="1276" w:type="dxa"/>
            <w:shd w:val="clear" w:color="auto" w:fill="FFFFFF" w:themeFill="background1"/>
            <w:tcMar>
              <w:top w:w="0" w:type="dxa"/>
              <w:left w:w="108" w:type="dxa"/>
              <w:bottom w:w="0" w:type="dxa"/>
              <w:right w:w="108" w:type="dxa"/>
            </w:tcMar>
            <w:vAlign w:val="center"/>
          </w:tcPr>
          <w:p w14:paraId="1682D10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3994DF0"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5F79593E" w14:textId="77777777" w:rsidTr="00D7567A">
        <w:trPr>
          <w:trHeight w:val="832"/>
        </w:trPr>
        <w:tc>
          <w:tcPr>
            <w:tcW w:w="694" w:type="dxa"/>
            <w:tcBorders>
              <w:top w:val="single" w:sz="4" w:space="0" w:color="auto"/>
            </w:tcBorders>
            <w:tcMar>
              <w:top w:w="0" w:type="dxa"/>
              <w:left w:w="108" w:type="dxa"/>
              <w:bottom w:w="0" w:type="dxa"/>
              <w:right w:w="108" w:type="dxa"/>
            </w:tcMar>
            <w:vAlign w:val="center"/>
          </w:tcPr>
          <w:p w14:paraId="5AEA2F8C"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52EF36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53BFB8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792D265B"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Projekto uždirbtos vertės metodo rodikliai SPI ir CPI, santykiniai dydžiai</w:t>
            </w:r>
          </w:p>
        </w:tc>
        <w:tc>
          <w:tcPr>
            <w:tcW w:w="851" w:type="dxa"/>
            <w:shd w:val="clear" w:color="auto" w:fill="FFFFFF" w:themeFill="background1"/>
            <w:vAlign w:val="center"/>
          </w:tcPr>
          <w:p w14:paraId="542579B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3CBBBA6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08EAAF21"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2E4D30D3" w14:textId="77777777" w:rsidR="00451A59" w:rsidRPr="00451A59" w:rsidRDefault="00451A59" w:rsidP="00451A59">
            <w:pPr>
              <w:shd w:val="clear" w:color="auto" w:fill="FFFFFF" w:themeFill="background1"/>
              <w:rPr>
                <w:rFonts w:ascii="Times New Roman" w:hAnsi="Times New Roman"/>
                <w:sz w:val="20"/>
                <w:szCs w:val="20"/>
                <w:lang w:val="lt-LT"/>
              </w:rPr>
            </w:pPr>
            <w:r w:rsidRPr="00451A59">
              <w:rPr>
                <w:rFonts w:ascii="Times New Roman" w:hAnsi="Times New Roman"/>
                <w:sz w:val="20"/>
                <w:szCs w:val="20"/>
                <w:lang w:val="lt-LT"/>
              </w:rPr>
              <w:t xml:space="preserve">SPI, CPI mažėjimą nulėmė: </w:t>
            </w:r>
          </w:p>
          <w:p w14:paraId="6256CC17" w14:textId="6988315E" w:rsidR="00451A59" w:rsidRPr="00451A59" w:rsidRDefault="00101814" w:rsidP="00451A59">
            <w:pPr>
              <w:shd w:val="clear" w:color="auto" w:fill="FFFFFF" w:themeFill="background1"/>
              <w:rPr>
                <w:rFonts w:ascii="Times New Roman" w:hAnsi="Times New Roman"/>
                <w:sz w:val="20"/>
                <w:szCs w:val="20"/>
                <w:lang w:val="lt-LT"/>
              </w:rPr>
            </w:pPr>
            <w:r>
              <w:rPr>
                <w:rFonts w:ascii="Times New Roman" w:hAnsi="Times New Roman"/>
                <w:sz w:val="20"/>
                <w:szCs w:val="20"/>
                <w:lang w:val="lt-LT"/>
              </w:rPr>
              <w:t xml:space="preserve">- </w:t>
            </w:r>
            <w:r w:rsidR="00451A59" w:rsidRPr="00451A59">
              <w:rPr>
                <w:rFonts w:ascii="Times New Roman" w:hAnsi="Times New Roman"/>
                <w:sz w:val="20"/>
                <w:szCs w:val="20"/>
                <w:lang w:val="lt-LT"/>
              </w:rPr>
              <w:t>sutarties pasirašymo vėlavimas</w:t>
            </w:r>
            <w:r>
              <w:rPr>
                <w:rFonts w:ascii="Times New Roman" w:hAnsi="Times New Roman"/>
                <w:sz w:val="20"/>
                <w:szCs w:val="20"/>
                <w:lang w:val="lt-LT"/>
              </w:rPr>
              <w:t>;</w:t>
            </w:r>
          </w:p>
          <w:p w14:paraId="36E08C76" w14:textId="311E113D" w:rsidR="00451A59" w:rsidRPr="00451A59" w:rsidRDefault="00101814" w:rsidP="00451A59">
            <w:pPr>
              <w:shd w:val="clear" w:color="auto" w:fill="FFFFFF" w:themeFill="background1"/>
              <w:rPr>
                <w:rFonts w:ascii="Times New Roman" w:hAnsi="Times New Roman"/>
                <w:sz w:val="20"/>
                <w:szCs w:val="20"/>
                <w:lang w:val="lt-LT"/>
              </w:rPr>
            </w:pPr>
            <w:r>
              <w:rPr>
                <w:rFonts w:ascii="Times New Roman" w:hAnsi="Times New Roman"/>
                <w:sz w:val="20"/>
                <w:szCs w:val="20"/>
                <w:lang w:val="lt-LT"/>
              </w:rPr>
              <w:t xml:space="preserve">- </w:t>
            </w:r>
            <w:r w:rsidR="00451A59" w:rsidRPr="00451A59">
              <w:rPr>
                <w:rFonts w:ascii="Times New Roman" w:hAnsi="Times New Roman"/>
                <w:sz w:val="20"/>
                <w:szCs w:val="20"/>
                <w:lang w:val="lt-LT"/>
              </w:rPr>
              <w:t>projekto etapo „projektavimas, naujo</w:t>
            </w:r>
            <w:r w:rsidR="000C63D2">
              <w:rPr>
                <w:rFonts w:ascii="Times New Roman" w:hAnsi="Times New Roman"/>
                <w:sz w:val="20"/>
                <w:szCs w:val="20"/>
                <w:lang w:val="lt-LT"/>
              </w:rPr>
              <w:t>s</w:t>
            </w:r>
            <w:r w:rsidR="00451A59" w:rsidRPr="00451A59">
              <w:rPr>
                <w:rFonts w:ascii="Times New Roman" w:hAnsi="Times New Roman"/>
                <w:sz w:val="20"/>
                <w:szCs w:val="20"/>
                <w:lang w:val="lt-LT"/>
              </w:rPr>
              <w:t xml:space="preserve"> įrangos gamyba ir tiekimas“</w:t>
            </w:r>
            <w:r>
              <w:rPr>
                <w:rFonts w:ascii="Times New Roman" w:hAnsi="Times New Roman"/>
                <w:sz w:val="20"/>
                <w:szCs w:val="20"/>
                <w:lang w:val="lt-LT"/>
              </w:rPr>
              <w:t xml:space="preserve"> įgyvendinimas.</w:t>
            </w:r>
          </w:p>
        </w:tc>
      </w:tr>
      <w:tr w:rsidR="00451A59" w:rsidRPr="00451A59" w14:paraId="1A59C452" w14:textId="77777777" w:rsidTr="00D7567A">
        <w:trPr>
          <w:trHeight w:val="832"/>
        </w:trPr>
        <w:tc>
          <w:tcPr>
            <w:tcW w:w="694" w:type="dxa"/>
            <w:tcBorders>
              <w:top w:val="single" w:sz="4" w:space="0" w:color="auto"/>
            </w:tcBorders>
            <w:tcMar>
              <w:top w:w="0" w:type="dxa"/>
              <w:left w:w="108" w:type="dxa"/>
              <w:bottom w:w="0" w:type="dxa"/>
              <w:right w:w="108" w:type="dxa"/>
            </w:tcMar>
            <w:vAlign w:val="center"/>
          </w:tcPr>
          <w:p w14:paraId="4D617936"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2F73F6B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6.4.2.10</w:t>
            </w:r>
          </w:p>
        </w:tc>
        <w:tc>
          <w:tcPr>
            <w:tcW w:w="2533" w:type="dxa"/>
            <w:vAlign w:val="center"/>
          </w:tcPr>
          <w:p w14:paraId="0ECCAC1E"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color w:val="000000"/>
                <w:spacing w:val="-3"/>
                <w:sz w:val="20"/>
                <w:szCs w:val="20"/>
                <w:lang w:val="lt-LT"/>
              </w:rPr>
              <w:t xml:space="preserve">Optimizuoti </w:t>
            </w:r>
            <w:r w:rsidRPr="00451A59">
              <w:rPr>
                <w:rFonts w:ascii="Times New Roman" w:hAnsi="Times New Roman"/>
                <w:color w:val="000000"/>
                <w:sz w:val="20"/>
                <w:szCs w:val="20"/>
                <w:lang w:val="lt-LT"/>
              </w:rPr>
              <w:t xml:space="preserve">elektros energijos tiekimo IAE vartotojams schemas (priemonė bus įvykdyta </w:t>
            </w:r>
            <w:smartTag w:uri="urn:schemas-microsoft-com:office:smarttags" w:element="metricconverter">
              <w:smartTagPr>
                <w:attr w:name="ProductID" w:val="2023 m"/>
              </w:smartTagPr>
              <w:r w:rsidRPr="00451A59">
                <w:rPr>
                  <w:rFonts w:ascii="Times New Roman" w:hAnsi="Times New Roman"/>
                  <w:color w:val="000000"/>
                  <w:sz w:val="20"/>
                  <w:szCs w:val="20"/>
                  <w:lang w:val="lt-LT"/>
                </w:rPr>
                <w:t>2023 m</w:t>
              </w:r>
            </w:smartTag>
            <w:r w:rsidRPr="00451A59">
              <w:rPr>
                <w:rFonts w:ascii="Times New Roman" w:hAnsi="Times New Roman"/>
                <w:color w:val="000000"/>
                <w:sz w:val="20"/>
                <w:szCs w:val="20"/>
                <w:lang w:val="lt-LT"/>
              </w:rPr>
              <w:t>.)</w:t>
            </w:r>
          </w:p>
        </w:tc>
        <w:tc>
          <w:tcPr>
            <w:tcW w:w="3260" w:type="dxa"/>
            <w:vAlign w:val="center"/>
          </w:tcPr>
          <w:p w14:paraId="5CF3A202"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color w:val="000000"/>
                <w:sz w:val="20"/>
                <w:szCs w:val="20"/>
                <w:lang w:val="lt-LT"/>
              </w:rPr>
              <w:t>Pr</w:t>
            </w:r>
            <w:r w:rsidRPr="00451A59">
              <w:rPr>
                <w:rFonts w:ascii="Times New Roman" w:hAnsi="Times New Roman"/>
                <w:color w:val="000000"/>
                <w:spacing w:val="-3"/>
                <w:sz w:val="20"/>
                <w:szCs w:val="20"/>
                <w:lang w:val="lt-LT"/>
              </w:rPr>
              <w:t>ojekto uždirbtos vertės metodo rodikliai SPI ir CPI, santykiniai dydžiai</w:t>
            </w:r>
          </w:p>
        </w:tc>
        <w:tc>
          <w:tcPr>
            <w:tcW w:w="851" w:type="dxa"/>
            <w:shd w:val="clear" w:color="auto" w:fill="FFFFFF" w:themeFill="background1"/>
            <w:vAlign w:val="center"/>
          </w:tcPr>
          <w:p w14:paraId="099B1FE4" w14:textId="77777777" w:rsidR="00451A59" w:rsidRPr="00451A59" w:rsidRDefault="00451A59" w:rsidP="00451A59">
            <w:pPr>
              <w:shd w:val="clear" w:color="auto" w:fill="FFFFFF" w:themeFill="background1"/>
              <w:spacing w:line="276" w:lineRule="auto"/>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1F23164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201AF20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4C37B30"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620075E2" w14:textId="77777777" w:rsidTr="00D7567A">
        <w:trPr>
          <w:trHeight w:val="414"/>
        </w:trPr>
        <w:tc>
          <w:tcPr>
            <w:tcW w:w="694" w:type="dxa"/>
            <w:tcBorders>
              <w:top w:val="single" w:sz="4" w:space="0" w:color="auto"/>
            </w:tcBorders>
            <w:tcMar>
              <w:top w:w="0" w:type="dxa"/>
              <w:left w:w="108" w:type="dxa"/>
              <w:bottom w:w="0" w:type="dxa"/>
              <w:right w:w="108" w:type="dxa"/>
            </w:tcMar>
            <w:vAlign w:val="center"/>
          </w:tcPr>
          <w:p w14:paraId="00CD3624"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5BA2A6F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6.4.2.11</w:t>
            </w:r>
          </w:p>
        </w:tc>
        <w:tc>
          <w:tcPr>
            <w:tcW w:w="2533" w:type="dxa"/>
            <w:vMerge w:val="restart"/>
            <w:vAlign w:val="center"/>
          </w:tcPr>
          <w:p w14:paraId="09EC522A" w14:textId="77777777" w:rsidR="00451A59" w:rsidRPr="00451A59" w:rsidRDefault="00451A59" w:rsidP="00451A59">
            <w:pPr>
              <w:shd w:val="clear" w:color="auto" w:fill="FFFFFF" w:themeFill="background1"/>
              <w:ind w:right="142"/>
              <w:jc w:val="both"/>
              <w:rPr>
                <w:rFonts w:ascii="Times New Roman" w:hAnsi="Times New Roman"/>
                <w:color w:val="000000"/>
                <w:spacing w:val="-3"/>
                <w:sz w:val="20"/>
                <w:szCs w:val="20"/>
                <w:lang w:val="lt-LT"/>
              </w:rPr>
            </w:pPr>
            <w:r w:rsidRPr="00451A59">
              <w:rPr>
                <w:rFonts w:ascii="Times New Roman" w:hAnsi="Times New Roman"/>
                <w:color w:val="000000"/>
                <w:spacing w:val="-3"/>
                <w:sz w:val="20"/>
                <w:szCs w:val="20"/>
                <w:lang w:val="lt-LT"/>
              </w:rPr>
              <w:t xml:space="preserve">Įrengti </w:t>
            </w:r>
            <w:r w:rsidRPr="00451A59">
              <w:rPr>
                <w:rFonts w:ascii="Times New Roman" w:hAnsi="Times New Roman"/>
                <w:color w:val="000000"/>
                <w:sz w:val="20"/>
                <w:szCs w:val="20"/>
                <w:lang w:val="lt-LT"/>
              </w:rPr>
              <w:t>130/2 pastate radioaktyviųjų metalo atliekų pirminio apdorojimo kompleksą (priemonė bus įvykdyta 2019 m.)</w:t>
            </w:r>
          </w:p>
        </w:tc>
        <w:tc>
          <w:tcPr>
            <w:tcW w:w="3260" w:type="dxa"/>
          </w:tcPr>
          <w:p w14:paraId="4A18BA92" w14:textId="77777777" w:rsidR="00451A59" w:rsidRPr="00451A59" w:rsidRDefault="00451A59" w:rsidP="00451A59">
            <w:pPr>
              <w:shd w:val="clear" w:color="auto" w:fill="FFFFFF" w:themeFill="background1"/>
              <w:ind w:left="107" w:right="141"/>
              <w:jc w:val="both"/>
              <w:rPr>
                <w:rFonts w:ascii="Times New Roman" w:hAnsi="Times New Roman"/>
                <w:color w:val="000000"/>
                <w:sz w:val="20"/>
                <w:szCs w:val="20"/>
                <w:lang w:val="lt-LT"/>
              </w:rPr>
            </w:pPr>
            <w:r w:rsidRPr="00451A59">
              <w:rPr>
                <w:rFonts w:ascii="Times New Roman" w:hAnsi="Times New Roman"/>
                <w:color w:val="000000"/>
                <w:spacing w:val="-3"/>
                <w:sz w:val="20"/>
                <w:szCs w:val="20"/>
                <w:lang w:val="lt-LT"/>
              </w:rPr>
              <w:t>Patvirtinta 130/2 pastato modifikavimo ataskaita</w:t>
            </w:r>
          </w:p>
        </w:tc>
        <w:tc>
          <w:tcPr>
            <w:tcW w:w="851" w:type="dxa"/>
            <w:shd w:val="clear" w:color="auto" w:fill="FFFFFF" w:themeFill="background1"/>
          </w:tcPr>
          <w:p w14:paraId="31BA5E6A" w14:textId="77777777" w:rsidR="00451A59" w:rsidRPr="00451A59" w:rsidRDefault="00451A59" w:rsidP="00451A59">
            <w:pPr>
              <w:shd w:val="clear" w:color="auto" w:fill="FFFFFF" w:themeFill="background1"/>
              <w:spacing w:line="276" w:lineRule="auto"/>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55C4C72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Ataskaita</w:t>
            </w:r>
          </w:p>
        </w:tc>
        <w:tc>
          <w:tcPr>
            <w:tcW w:w="1276" w:type="dxa"/>
            <w:shd w:val="clear" w:color="auto" w:fill="FFFFFF" w:themeFill="background1"/>
            <w:tcMar>
              <w:top w:w="0" w:type="dxa"/>
              <w:left w:w="108" w:type="dxa"/>
              <w:bottom w:w="0" w:type="dxa"/>
              <w:right w:w="108" w:type="dxa"/>
            </w:tcMar>
            <w:vAlign w:val="center"/>
          </w:tcPr>
          <w:p w14:paraId="7918D0F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814D371"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6B86A6ED" w14:textId="77777777" w:rsidTr="00D7567A">
        <w:trPr>
          <w:trHeight w:val="832"/>
        </w:trPr>
        <w:tc>
          <w:tcPr>
            <w:tcW w:w="694" w:type="dxa"/>
            <w:tcBorders>
              <w:top w:val="single" w:sz="4" w:space="0" w:color="auto"/>
            </w:tcBorders>
            <w:tcMar>
              <w:top w:w="0" w:type="dxa"/>
              <w:left w:w="108" w:type="dxa"/>
              <w:bottom w:w="0" w:type="dxa"/>
              <w:right w:w="108" w:type="dxa"/>
            </w:tcMar>
            <w:vAlign w:val="center"/>
          </w:tcPr>
          <w:p w14:paraId="46B74527"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FE4D22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85E9B47" w14:textId="77777777" w:rsidR="00451A59" w:rsidRPr="00451A59" w:rsidRDefault="00451A59" w:rsidP="00451A59">
            <w:pPr>
              <w:shd w:val="clear" w:color="auto" w:fill="FFFFFF" w:themeFill="background1"/>
              <w:ind w:left="107" w:right="142"/>
              <w:jc w:val="both"/>
              <w:rPr>
                <w:rFonts w:ascii="Times New Roman" w:hAnsi="Times New Roman"/>
                <w:color w:val="000000"/>
                <w:spacing w:val="-3"/>
                <w:sz w:val="20"/>
                <w:szCs w:val="20"/>
                <w:lang w:val="lt-LT"/>
              </w:rPr>
            </w:pPr>
          </w:p>
        </w:tc>
        <w:tc>
          <w:tcPr>
            <w:tcW w:w="3260" w:type="dxa"/>
            <w:vAlign w:val="center"/>
          </w:tcPr>
          <w:p w14:paraId="3077B15C" w14:textId="77777777" w:rsidR="00451A59" w:rsidRPr="00451A59" w:rsidRDefault="00451A59" w:rsidP="00451A59">
            <w:pPr>
              <w:shd w:val="clear" w:color="auto" w:fill="FFFFFF" w:themeFill="background1"/>
              <w:ind w:left="107" w:right="141"/>
              <w:jc w:val="both"/>
              <w:rPr>
                <w:rFonts w:ascii="Times New Roman" w:hAnsi="Times New Roman"/>
                <w:color w:val="000000"/>
                <w:sz w:val="20"/>
                <w:szCs w:val="20"/>
                <w:lang w:val="lt-LT"/>
              </w:rPr>
            </w:pPr>
            <w:r w:rsidRPr="00451A59">
              <w:rPr>
                <w:rFonts w:ascii="Times New Roman" w:hAnsi="Times New Roman"/>
                <w:color w:val="000000"/>
                <w:sz w:val="20"/>
                <w:szCs w:val="20"/>
                <w:lang w:val="lt-LT"/>
              </w:rPr>
              <w:t>Pr</w:t>
            </w:r>
            <w:r w:rsidRPr="00451A59">
              <w:rPr>
                <w:rFonts w:ascii="Times New Roman" w:hAnsi="Times New Roman"/>
                <w:color w:val="000000"/>
                <w:spacing w:val="-3"/>
                <w:sz w:val="20"/>
                <w:szCs w:val="20"/>
                <w:lang w:val="lt-LT"/>
              </w:rPr>
              <w:t>ojekto uždirbtos vertės metodo rodikliai SPI ir CPI, santykiniai dydžiai</w:t>
            </w:r>
          </w:p>
        </w:tc>
        <w:tc>
          <w:tcPr>
            <w:tcW w:w="851" w:type="dxa"/>
            <w:shd w:val="clear" w:color="auto" w:fill="FFFFFF" w:themeFill="background1"/>
            <w:vAlign w:val="center"/>
          </w:tcPr>
          <w:p w14:paraId="7ADBE398" w14:textId="77777777" w:rsidR="00451A59" w:rsidRPr="00451A59" w:rsidRDefault="00451A59" w:rsidP="00451A59">
            <w:pPr>
              <w:shd w:val="clear" w:color="auto" w:fill="FFFFFF" w:themeFill="background1"/>
              <w:spacing w:line="276" w:lineRule="auto"/>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60B741D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7166C10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E083284"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309BBED1" w14:textId="77777777" w:rsidTr="00D7567A">
        <w:trPr>
          <w:trHeight w:val="270"/>
        </w:trPr>
        <w:tc>
          <w:tcPr>
            <w:tcW w:w="694" w:type="dxa"/>
            <w:tcBorders>
              <w:top w:val="single" w:sz="4" w:space="0" w:color="auto"/>
            </w:tcBorders>
            <w:tcMar>
              <w:top w:w="0" w:type="dxa"/>
              <w:left w:w="108" w:type="dxa"/>
              <w:bottom w:w="0" w:type="dxa"/>
              <w:right w:w="108" w:type="dxa"/>
            </w:tcMar>
            <w:vAlign w:val="center"/>
          </w:tcPr>
          <w:p w14:paraId="27BEBC0C"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5B40EC3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6.4.2.12</w:t>
            </w:r>
          </w:p>
        </w:tc>
        <w:tc>
          <w:tcPr>
            <w:tcW w:w="2533" w:type="dxa"/>
            <w:vMerge w:val="restart"/>
            <w:vAlign w:val="center"/>
          </w:tcPr>
          <w:p w14:paraId="64B26A8B" w14:textId="77777777" w:rsidR="00451A59" w:rsidRPr="00451A59" w:rsidRDefault="00451A59" w:rsidP="00451A59">
            <w:pPr>
              <w:shd w:val="clear" w:color="auto" w:fill="FFFFFF" w:themeFill="background1"/>
              <w:ind w:left="107" w:right="142"/>
              <w:jc w:val="both"/>
              <w:rPr>
                <w:rFonts w:ascii="Times New Roman" w:hAnsi="Times New Roman"/>
                <w:color w:val="000000"/>
                <w:spacing w:val="-3"/>
                <w:sz w:val="20"/>
                <w:szCs w:val="20"/>
                <w:lang w:val="lt-LT"/>
              </w:rPr>
            </w:pPr>
            <w:r w:rsidRPr="00451A59">
              <w:rPr>
                <w:rFonts w:ascii="Times New Roman" w:hAnsi="Times New Roman"/>
                <w:color w:val="000000"/>
                <w:spacing w:val="-3"/>
                <w:sz w:val="20"/>
                <w:szCs w:val="20"/>
                <w:lang w:val="lt-LT"/>
              </w:rPr>
              <w:t xml:space="preserve">Pastatyti </w:t>
            </w:r>
            <w:r w:rsidRPr="00451A59">
              <w:rPr>
                <w:rFonts w:ascii="Times New Roman" w:hAnsi="Times New Roman"/>
                <w:color w:val="000000"/>
                <w:sz w:val="20"/>
                <w:szCs w:val="20"/>
                <w:lang w:val="lt-LT"/>
              </w:rPr>
              <w:t>naują informacinio centro pastatą (priemonė bus įvykdyta 2021 m.)</w:t>
            </w:r>
          </w:p>
        </w:tc>
        <w:tc>
          <w:tcPr>
            <w:tcW w:w="3260" w:type="dxa"/>
          </w:tcPr>
          <w:p w14:paraId="2BAE46AA" w14:textId="77777777" w:rsidR="00451A59" w:rsidRPr="00451A59" w:rsidRDefault="00451A59" w:rsidP="00451A59">
            <w:pPr>
              <w:shd w:val="clear" w:color="auto" w:fill="FFFFFF" w:themeFill="background1"/>
              <w:ind w:left="107" w:right="141"/>
              <w:jc w:val="both"/>
              <w:rPr>
                <w:rFonts w:ascii="Times New Roman" w:hAnsi="Times New Roman"/>
                <w:color w:val="000000"/>
                <w:sz w:val="20"/>
                <w:szCs w:val="20"/>
                <w:lang w:val="lt-LT"/>
              </w:rPr>
            </w:pPr>
            <w:r w:rsidRPr="00451A59">
              <w:rPr>
                <w:rFonts w:ascii="Times New Roman" w:hAnsi="Times New Roman"/>
                <w:color w:val="000000"/>
                <w:spacing w:val="-3"/>
                <w:sz w:val="20"/>
                <w:szCs w:val="20"/>
                <w:lang w:val="lt-LT"/>
              </w:rPr>
              <w:t>Parengti projektiniai pasiūlymai</w:t>
            </w:r>
          </w:p>
        </w:tc>
        <w:tc>
          <w:tcPr>
            <w:tcW w:w="851" w:type="dxa"/>
            <w:shd w:val="clear" w:color="auto" w:fill="FFFFFF" w:themeFill="background1"/>
          </w:tcPr>
          <w:p w14:paraId="57D9BE60" w14:textId="77777777" w:rsidR="00451A59" w:rsidRPr="00451A59" w:rsidRDefault="00451A59" w:rsidP="00451A59">
            <w:pPr>
              <w:shd w:val="clear" w:color="auto" w:fill="FFFFFF" w:themeFill="background1"/>
              <w:spacing w:line="276" w:lineRule="auto"/>
              <w:jc w:val="center"/>
              <w:rPr>
                <w:rFonts w:ascii="Times New Roman" w:hAnsi="Times New Roman"/>
                <w:sz w:val="20"/>
                <w:szCs w:val="20"/>
                <w:lang w:val="lt-LT"/>
              </w:rPr>
            </w:pPr>
            <w:r w:rsidRPr="00451A59">
              <w:rPr>
                <w:rFonts w:ascii="Times New Roman" w:hAnsi="Times New Roman"/>
                <w:spacing w:val="-3"/>
                <w:sz w:val="20"/>
                <w:szCs w:val="20"/>
                <w:lang w:val="lt-LT"/>
              </w:rPr>
              <w:t>III ketv.</w:t>
            </w:r>
          </w:p>
        </w:tc>
        <w:tc>
          <w:tcPr>
            <w:tcW w:w="1436" w:type="dxa"/>
            <w:shd w:val="clear" w:color="auto" w:fill="FFFFFF" w:themeFill="background1"/>
            <w:vAlign w:val="center"/>
          </w:tcPr>
          <w:p w14:paraId="576941D0"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c>
          <w:tcPr>
            <w:tcW w:w="1276" w:type="dxa"/>
            <w:shd w:val="clear" w:color="auto" w:fill="FFFFFF" w:themeFill="background1"/>
            <w:tcMar>
              <w:top w:w="0" w:type="dxa"/>
              <w:left w:w="108" w:type="dxa"/>
              <w:bottom w:w="0" w:type="dxa"/>
              <w:right w:w="108" w:type="dxa"/>
            </w:tcMar>
            <w:vAlign w:val="center"/>
          </w:tcPr>
          <w:p w14:paraId="7C0EB9B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5BF712DE"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1B923491" w14:textId="77777777" w:rsidTr="00D7567A">
        <w:trPr>
          <w:trHeight w:val="730"/>
        </w:trPr>
        <w:tc>
          <w:tcPr>
            <w:tcW w:w="694" w:type="dxa"/>
            <w:tcBorders>
              <w:top w:val="single" w:sz="4" w:space="0" w:color="auto"/>
            </w:tcBorders>
            <w:tcMar>
              <w:top w:w="0" w:type="dxa"/>
              <w:left w:w="108" w:type="dxa"/>
              <w:bottom w:w="0" w:type="dxa"/>
              <w:right w:w="108" w:type="dxa"/>
            </w:tcMar>
            <w:vAlign w:val="center"/>
          </w:tcPr>
          <w:p w14:paraId="61F42E8B" w14:textId="77777777" w:rsidR="00451A59" w:rsidRPr="00451A59" w:rsidRDefault="00451A59" w:rsidP="00451A59">
            <w:pPr>
              <w:pStyle w:val="ListParagraph"/>
              <w:numPr>
                <w:ilvl w:val="0"/>
                <w:numId w:val="30"/>
              </w:numPr>
              <w:shd w:val="clear" w:color="auto" w:fill="FFFFFF" w:themeFill="background1"/>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FAA636F"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76B58A77" w14:textId="77777777" w:rsidR="00451A59" w:rsidRPr="00451A59" w:rsidRDefault="00451A59" w:rsidP="00451A59">
            <w:pPr>
              <w:shd w:val="clear" w:color="auto" w:fill="FFFFFF" w:themeFill="background1"/>
              <w:ind w:left="107" w:right="142"/>
              <w:jc w:val="both"/>
              <w:rPr>
                <w:rFonts w:ascii="Times New Roman" w:hAnsi="Times New Roman"/>
                <w:color w:val="000000"/>
                <w:spacing w:val="-3"/>
                <w:sz w:val="20"/>
                <w:szCs w:val="20"/>
                <w:lang w:val="lt-LT"/>
              </w:rPr>
            </w:pPr>
          </w:p>
        </w:tc>
        <w:tc>
          <w:tcPr>
            <w:tcW w:w="3260" w:type="dxa"/>
            <w:vAlign w:val="center"/>
          </w:tcPr>
          <w:p w14:paraId="2D8DDBDC" w14:textId="77777777" w:rsidR="00451A59" w:rsidRPr="00451A59" w:rsidRDefault="00451A59" w:rsidP="00451A59">
            <w:pPr>
              <w:shd w:val="clear" w:color="auto" w:fill="FFFFFF" w:themeFill="background1"/>
              <w:ind w:left="107" w:right="141"/>
              <w:jc w:val="both"/>
              <w:rPr>
                <w:rFonts w:ascii="Times New Roman" w:hAnsi="Times New Roman"/>
                <w:color w:val="000000"/>
                <w:sz w:val="20"/>
                <w:szCs w:val="20"/>
                <w:lang w:val="lt-LT"/>
              </w:rPr>
            </w:pPr>
            <w:r w:rsidRPr="00451A59">
              <w:rPr>
                <w:rFonts w:ascii="Times New Roman" w:hAnsi="Times New Roman"/>
                <w:color w:val="000000"/>
                <w:sz w:val="20"/>
                <w:szCs w:val="20"/>
                <w:lang w:val="lt-LT"/>
              </w:rPr>
              <w:t>Pr</w:t>
            </w:r>
            <w:r w:rsidRPr="00451A59">
              <w:rPr>
                <w:rFonts w:ascii="Times New Roman" w:hAnsi="Times New Roman"/>
                <w:color w:val="000000"/>
                <w:spacing w:val="-3"/>
                <w:sz w:val="20"/>
                <w:szCs w:val="20"/>
                <w:lang w:val="lt-LT"/>
              </w:rPr>
              <w:t>ojekto uždirbtos vertės metodo rodikliai SPI ir CPI, santykiniai dydžiai</w:t>
            </w:r>
          </w:p>
        </w:tc>
        <w:tc>
          <w:tcPr>
            <w:tcW w:w="851" w:type="dxa"/>
            <w:shd w:val="clear" w:color="auto" w:fill="FFFFFF" w:themeFill="background1"/>
            <w:vAlign w:val="center"/>
          </w:tcPr>
          <w:p w14:paraId="36385EAA" w14:textId="77777777" w:rsidR="00451A59" w:rsidRPr="00451A59" w:rsidRDefault="00451A59" w:rsidP="00451A59">
            <w:pPr>
              <w:shd w:val="clear" w:color="auto" w:fill="FFFFFF" w:themeFill="background1"/>
              <w:spacing w:line="276" w:lineRule="auto"/>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2B946E2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0,8</w:t>
            </w:r>
          </w:p>
        </w:tc>
        <w:tc>
          <w:tcPr>
            <w:tcW w:w="1276" w:type="dxa"/>
            <w:shd w:val="clear" w:color="auto" w:fill="FFFFFF" w:themeFill="background1"/>
            <w:tcMar>
              <w:top w:w="0" w:type="dxa"/>
              <w:left w:w="108" w:type="dxa"/>
              <w:bottom w:w="0" w:type="dxa"/>
              <w:right w:w="108" w:type="dxa"/>
            </w:tcMar>
            <w:vAlign w:val="center"/>
          </w:tcPr>
          <w:p w14:paraId="7851E80A"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vAlign w:val="center"/>
          </w:tcPr>
          <w:p w14:paraId="793FB1BA" w14:textId="0A79C4FA" w:rsidR="00451A59" w:rsidRPr="00451A59" w:rsidRDefault="00451A59" w:rsidP="00451A59">
            <w:pPr>
              <w:shd w:val="clear" w:color="auto" w:fill="FFFFFF" w:themeFill="background1"/>
              <w:rPr>
                <w:rFonts w:ascii="Times New Roman" w:hAnsi="Times New Roman"/>
                <w:sz w:val="20"/>
                <w:szCs w:val="20"/>
                <w:lang w:val="lt-LT"/>
              </w:rPr>
            </w:pPr>
            <w:r w:rsidRPr="00451A59">
              <w:rPr>
                <w:rFonts w:ascii="Times New Roman" w:hAnsi="Times New Roman"/>
                <w:sz w:val="20"/>
                <w:szCs w:val="20"/>
                <w:lang w:val="lt-LT" w:eastAsia="lt-LT"/>
              </w:rPr>
              <w:t>SPI mažėjimo priežastis –</w:t>
            </w:r>
            <w:r w:rsidR="00600CA2">
              <w:rPr>
                <w:rFonts w:ascii="Times New Roman" w:hAnsi="Times New Roman"/>
                <w:sz w:val="20"/>
                <w:szCs w:val="20"/>
                <w:lang w:val="lt-LT" w:eastAsia="lt-LT"/>
              </w:rPr>
              <w:t xml:space="preserve"> </w:t>
            </w:r>
            <w:r w:rsidRPr="00451A59">
              <w:rPr>
                <w:rFonts w:ascii="Times New Roman" w:hAnsi="Times New Roman"/>
                <w:sz w:val="20"/>
                <w:szCs w:val="20"/>
                <w:lang w:val="lt-LT" w:eastAsia="lt-LT"/>
              </w:rPr>
              <w:t>pirkimo vykdymo (ir projektinių pasiūlymų nagrinėjimo) vėlavimas</w:t>
            </w:r>
            <w:r w:rsidR="00BE2D3F">
              <w:rPr>
                <w:rFonts w:ascii="Times New Roman" w:hAnsi="Times New Roman"/>
                <w:sz w:val="20"/>
                <w:szCs w:val="20"/>
                <w:lang w:val="lt-LT" w:eastAsia="lt-LT"/>
              </w:rPr>
              <w:t xml:space="preserve">. Išnagrinėjus projektinius pasiūlymus 2019 m. gale nuspręsta </w:t>
            </w:r>
            <w:r w:rsidR="00BE2D3F">
              <w:rPr>
                <w:rFonts w:ascii="Times New Roman" w:hAnsi="Times New Roman"/>
                <w:sz w:val="20"/>
                <w:szCs w:val="20"/>
                <w:lang w:val="lt-LT" w:eastAsia="lt-LT"/>
              </w:rPr>
              <w:lastRenderedPageBreak/>
              <w:t xml:space="preserve">informacinio </w:t>
            </w:r>
            <w:r w:rsidR="00662081">
              <w:rPr>
                <w:rFonts w:ascii="Times New Roman" w:hAnsi="Times New Roman"/>
                <w:sz w:val="20"/>
                <w:szCs w:val="20"/>
                <w:lang w:val="lt-LT" w:eastAsia="lt-LT"/>
              </w:rPr>
              <w:t xml:space="preserve">centro </w:t>
            </w:r>
            <w:r w:rsidR="00BE2D3F">
              <w:rPr>
                <w:rFonts w:ascii="Times New Roman" w:hAnsi="Times New Roman"/>
                <w:sz w:val="20"/>
                <w:szCs w:val="20"/>
                <w:lang w:val="lt-LT" w:eastAsia="lt-LT"/>
              </w:rPr>
              <w:t xml:space="preserve">pastato nebestatyti, o  </w:t>
            </w:r>
            <w:r w:rsidR="00662081">
              <w:rPr>
                <w:rFonts w:ascii="Times New Roman" w:hAnsi="Times New Roman"/>
                <w:sz w:val="20"/>
                <w:szCs w:val="20"/>
                <w:lang w:val="lt-LT" w:eastAsia="lt-LT"/>
              </w:rPr>
              <w:t>jį įrengti B25 projekto administraciniame pastate.</w:t>
            </w:r>
          </w:p>
        </w:tc>
      </w:tr>
      <w:tr w:rsidR="00451A59" w:rsidRPr="00451A59" w14:paraId="7823FB80" w14:textId="77777777" w:rsidTr="00D7567A">
        <w:trPr>
          <w:trHeight w:val="404"/>
        </w:trPr>
        <w:tc>
          <w:tcPr>
            <w:tcW w:w="694" w:type="dxa"/>
            <w:tcMar>
              <w:top w:w="0" w:type="dxa"/>
              <w:left w:w="108" w:type="dxa"/>
              <w:bottom w:w="0" w:type="dxa"/>
              <w:right w:w="108" w:type="dxa"/>
            </w:tcMar>
            <w:vAlign w:val="center"/>
          </w:tcPr>
          <w:p w14:paraId="52F76C3A" w14:textId="77777777" w:rsidR="00451A59" w:rsidRPr="00451A59" w:rsidRDefault="00451A59" w:rsidP="00451A59">
            <w:pPr>
              <w:pStyle w:val="ListParagraph"/>
              <w:shd w:val="clear" w:color="auto" w:fill="FFFFFF" w:themeFill="background1"/>
              <w:tabs>
                <w:tab w:val="left" w:pos="142"/>
              </w:tabs>
              <w:spacing w:after="120" w:line="252" w:lineRule="auto"/>
              <w:ind w:left="584"/>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78FFC6D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7.1</w:t>
            </w:r>
          </w:p>
        </w:tc>
        <w:tc>
          <w:tcPr>
            <w:tcW w:w="2533" w:type="dxa"/>
            <w:vMerge w:val="restart"/>
            <w:vAlign w:val="center"/>
          </w:tcPr>
          <w:p w14:paraId="077BCA73"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val="restart"/>
            <w:shd w:val="clear" w:color="auto" w:fill="FFFFFF" w:themeFill="background1"/>
            <w:vAlign w:val="center"/>
          </w:tcPr>
          <w:p w14:paraId="33125500" w14:textId="77777777" w:rsidR="00451A59" w:rsidRPr="00451A59" w:rsidRDefault="00451A59" w:rsidP="00451A59">
            <w:pPr>
              <w:shd w:val="clear" w:color="auto" w:fill="FFFFFF" w:themeFill="background1"/>
              <w:ind w:left="107" w:right="141"/>
              <w:jc w:val="both"/>
              <w:rPr>
                <w:rFonts w:ascii="Times New Roman" w:hAnsi="Times New Roman"/>
                <w:b/>
                <w:bCs/>
                <w:sz w:val="20"/>
                <w:szCs w:val="20"/>
                <w:lang w:val="lt-LT"/>
              </w:rPr>
            </w:pPr>
            <w:r w:rsidRPr="00451A59">
              <w:rPr>
                <w:rFonts w:ascii="Times New Roman" w:hAnsi="Times New Roman"/>
                <w:b/>
                <w:bCs/>
                <w:sz w:val="20"/>
                <w:szCs w:val="20"/>
                <w:lang w:val="lt-LT"/>
              </w:rPr>
              <w:t>R13 Įmonės rizikingumo lygio rodiklis, mažiau kaip</w:t>
            </w:r>
          </w:p>
        </w:tc>
        <w:tc>
          <w:tcPr>
            <w:tcW w:w="851" w:type="dxa"/>
            <w:shd w:val="clear" w:color="auto" w:fill="FFFFFF" w:themeFill="background1"/>
            <w:vAlign w:val="center"/>
          </w:tcPr>
          <w:p w14:paraId="6153B5D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shd w:val="clear" w:color="auto" w:fill="FFFFFF" w:themeFill="background1"/>
            <w:vAlign w:val="center"/>
          </w:tcPr>
          <w:p w14:paraId="6373047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10 %</w:t>
            </w:r>
          </w:p>
        </w:tc>
        <w:tc>
          <w:tcPr>
            <w:tcW w:w="1276" w:type="dxa"/>
            <w:shd w:val="clear" w:color="auto" w:fill="FFFFFF" w:themeFill="background1"/>
            <w:tcMar>
              <w:top w:w="0" w:type="dxa"/>
              <w:left w:w="108" w:type="dxa"/>
              <w:bottom w:w="0" w:type="dxa"/>
              <w:right w:w="108" w:type="dxa"/>
            </w:tcMar>
            <w:vAlign w:val="center"/>
          </w:tcPr>
          <w:p w14:paraId="4E7E440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5D03DC3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240E65E" w14:textId="77777777" w:rsidTr="00D7567A">
        <w:trPr>
          <w:trHeight w:val="404"/>
        </w:trPr>
        <w:tc>
          <w:tcPr>
            <w:tcW w:w="694" w:type="dxa"/>
            <w:tcMar>
              <w:top w:w="0" w:type="dxa"/>
              <w:left w:w="108" w:type="dxa"/>
              <w:bottom w:w="0" w:type="dxa"/>
              <w:right w:w="108" w:type="dxa"/>
            </w:tcMar>
            <w:vAlign w:val="center"/>
          </w:tcPr>
          <w:p w14:paraId="17744F52" w14:textId="77777777" w:rsidR="00451A59" w:rsidRPr="00451A59" w:rsidRDefault="00451A59" w:rsidP="00451A59">
            <w:pPr>
              <w:pStyle w:val="ListParagraph"/>
              <w:shd w:val="clear" w:color="auto" w:fill="FFFFFF" w:themeFill="background1"/>
              <w:tabs>
                <w:tab w:val="left" w:pos="142"/>
              </w:tabs>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413ACF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1DF7810"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shd w:val="clear" w:color="auto" w:fill="FFFFFF" w:themeFill="background1"/>
            <w:vAlign w:val="center"/>
          </w:tcPr>
          <w:p w14:paraId="550DF313"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1333040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272D8DF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10 %</w:t>
            </w:r>
          </w:p>
        </w:tc>
        <w:tc>
          <w:tcPr>
            <w:tcW w:w="1276" w:type="dxa"/>
            <w:shd w:val="clear" w:color="auto" w:fill="FFFFFF" w:themeFill="background1"/>
            <w:tcMar>
              <w:top w:w="0" w:type="dxa"/>
              <w:left w:w="108" w:type="dxa"/>
              <w:bottom w:w="0" w:type="dxa"/>
              <w:right w:w="108" w:type="dxa"/>
            </w:tcMar>
            <w:vAlign w:val="center"/>
          </w:tcPr>
          <w:p w14:paraId="19AC941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0CB9781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7D3DDDDB" w14:textId="77777777" w:rsidTr="00D7567A">
        <w:trPr>
          <w:trHeight w:val="404"/>
        </w:trPr>
        <w:tc>
          <w:tcPr>
            <w:tcW w:w="694" w:type="dxa"/>
            <w:tcBorders>
              <w:bottom w:val="single" w:sz="4" w:space="0" w:color="auto"/>
            </w:tcBorders>
            <w:tcMar>
              <w:top w:w="0" w:type="dxa"/>
              <w:left w:w="108" w:type="dxa"/>
              <w:bottom w:w="0" w:type="dxa"/>
              <w:right w:w="108" w:type="dxa"/>
            </w:tcMar>
            <w:vAlign w:val="center"/>
          </w:tcPr>
          <w:p w14:paraId="4ED28016" w14:textId="77777777" w:rsidR="00451A59" w:rsidRPr="00451A59" w:rsidRDefault="00451A59" w:rsidP="00451A59">
            <w:pPr>
              <w:pStyle w:val="ListParagraph"/>
              <w:shd w:val="clear" w:color="auto" w:fill="FFFFFF" w:themeFill="background1"/>
              <w:tabs>
                <w:tab w:val="left" w:pos="142"/>
              </w:tabs>
              <w:spacing w:after="120" w:line="252" w:lineRule="auto"/>
              <w:ind w:left="584"/>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C88A0F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093D676"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shd w:val="clear" w:color="auto" w:fill="FFFFFF" w:themeFill="background1"/>
            <w:vAlign w:val="center"/>
          </w:tcPr>
          <w:p w14:paraId="62971F4B"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5A98637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shd w:val="clear" w:color="auto" w:fill="FFFFFF" w:themeFill="background1"/>
            <w:vAlign w:val="center"/>
          </w:tcPr>
          <w:p w14:paraId="232C1F8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10 %</w:t>
            </w:r>
          </w:p>
        </w:tc>
        <w:tc>
          <w:tcPr>
            <w:tcW w:w="1276" w:type="dxa"/>
            <w:shd w:val="clear" w:color="auto" w:fill="FFFFFF" w:themeFill="background1"/>
            <w:tcMar>
              <w:top w:w="0" w:type="dxa"/>
              <w:left w:w="108" w:type="dxa"/>
              <w:bottom w:w="0" w:type="dxa"/>
              <w:right w:w="108" w:type="dxa"/>
            </w:tcMar>
            <w:vAlign w:val="center"/>
          </w:tcPr>
          <w:p w14:paraId="6EC13A7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05ED576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5911B742" w14:textId="77777777" w:rsidTr="00D7567A">
        <w:trPr>
          <w:trHeight w:val="404"/>
        </w:trPr>
        <w:tc>
          <w:tcPr>
            <w:tcW w:w="694" w:type="dxa"/>
            <w:tcBorders>
              <w:bottom w:val="single" w:sz="4" w:space="0" w:color="auto"/>
            </w:tcBorders>
            <w:shd w:val="clear" w:color="auto" w:fill="FFFFFF" w:themeFill="background1"/>
            <w:tcMar>
              <w:top w:w="0" w:type="dxa"/>
              <w:left w:w="108" w:type="dxa"/>
              <w:bottom w:w="0" w:type="dxa"/>
              <w:right w:w="108" w:type="dxa"/>
            </w:tcMar>
            <w:vAlign w:val="center"/>
          </w:tcPr>
          <w:p w14:paraId="49750E8C"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ABBF198"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7301ACE"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p>
        </w:tc>
        <w:tc>
          <w:tcPr>
            <w:tcW w:w="3260" w:type="dxa"/>
            <w:vMerge/>
            <w:shd w:val="clear" w:color="auto" w:fill="FFFFFF" w:themeFill="background1"/>
            <w:vAlign w:val="center"/>
          </w:tcPr>
          <w:p w14:paraId="5B81085B"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p>
        </w:tc>
        <w:tc>
          <w:tcPr>
            <w:tcW w:w="851" w:type="dxa"/>
            <w:shd w:val="clear" w:color="auto" w:fill="FFFFFF" w:themeFill="background1"/>
            <w:vAlign w:val="center"/>
          </w:tcPr>
          <w:p w14:paraId="002A7BC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78DA55C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10 %</w:t>
            </w:r>
          </w:p>
        </w:tc>
        <w:tc>
          <w:tcPr>
            <w:tcW w:w="1276" w:type="dxa"/>
            <w:shd w:val="clear" w:color="auto" w:fill="FFFFFF" w:themeFill="background1"/>
            <w:tcMar>
              <w:top w:w="0" w:type="dxa"/>
              <w:left w:w="108" w:type="dxa"/>
              <w:bottom w:w="0" w:type="dxa"/>
              <w:right w:w="108" w:type="dxa"/>
            </w:tcMar>
            <w:vAlign w:val="center"/>
          </w:tcPr>
          <w:p w14:paraId="6B19BC1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5552805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5FCA609B" w14:textId="77777777" w:rsidTr="00D7567A">
        <w:trPr>
          <w:trHeight w:val="404"/>
        </w:trPr>
        <w:tc>
          <w:tcPr>
            <w:tcW w:w="694" w:type="dxa"/>
            <w:tcBorders>
              <w:top w:val="single" w:sz="4" w:space="0" w:color="auto"/>
              <w:bottom w:val="single" w:sz="4" w:space="0" w:color="auto"/>
            </w:tcBorders>
            <w:shd w:val="clear" w:color="auto" w:fill="FFFFFF" w:themeFill="background1"/>
            <w:tcMar>
              <w:top w:w="0" w:type="dxa"/>
              <w:left w:w="108" w:type="dxa"/>
              <w:bottom w:w="0" w:type="dxa"/>
              <w:right w:w="108" w:type="dxa"/>
            </w:tcMar>
            <w:vAlign w:val="center"/>
          </w:tcPr>
          <w:p w14:paraId="17B04748"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60AB42A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7.1.1</w:t>
            </w:r>
          </w:p>
        </w:tc>
        <w:tc>
          <w:tcPr>
            <w:tcW w:w="2533" w:type="dxa"/>
            <w:vMerge w:val="restart"/>
            <w:vAlign w:val="center"/>
          </w:tcPr>
          <w:p w14:paraId="25284ADF"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Vykdyti prevencines rizikų mažinimo priemones</w:t>
            </w:r>
          </w:p>
        </w:tc>
        <w:tc>
          <w:tcPr>
            <w:tcW w:w="3260" w:type="dxa"/>
            <w:shd w:val="clear" w:color="auto" w:fill="FFFFFF" w:themeFill="background1"/>
            <w:vAlign w:val="center"/>
          </w:tcPr>
          <w:p w14:paraId="15CD16D2"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 xml:space="preserve">1.Bendrasis rizikos skvarbos rodiklis, parodantis kokia dalis projektų turi rizikų valdymo rejestrus, daugiau nei </w:t>
            </w:r>
          </w:p>
        </w:tc>
        <w:tc>
          <w:tcPr>
            <w:tcW w:w="851" w:type="dxa"/>
            <w:shd w:val="clear" w:color="auto" w:fill="FFFFFF" w:themeFill="background1"/>
            <w:vAlign w:val="center"/>
          </w:tcPr>
          <w:p w14:paraId="77F1268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79607B6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55 %</w:t>
            </w:r>
          </w:p>
        </w:tc>
        <w:tc>
          <w:tcPr>
            <w:tcW w:w="1276" w:type="dxa"/>
            <w:shd w:val="clear" w:color="auto" w:fill="FFFFFF" w:themeFill="background1"/>
            <w:tcMar>
              <w:top w:w="0" w:type="dxa"/>
              <w:left w:w="108" w:type="dxa"/>
              <w:bottom w:w="0" w:type="dxa"/>
              <w:right w:w="108" w:type="dxa"/>
            </w:tcMar>
            <w:vAlign w:val="center"/>
          </w:tcPr>
          <w:p w14:paraId="056C428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254193A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10F0291" w14:textId="77777777" w:rsidTr="00D7567A">
        <w:trPr>
          <w:trHeight w:val="404"/>
        </w:trPr>
        <w:tc>
          <w:tcPr>
            <w:tcW w:w="694" w:type="dxa"/>
            <w:tcBorders>
              <w:top w:val="single" w:sz="4" w:space="0" w:color="auto"/>
              <w:bottom w:val="single" w:sz="4" w:space="0" w:color="auto"/>
            </w:tcBorders>
            <w:shd w:val="clear" w:color="auto" w:fill="FFFFFF" w:themeFill="background1"/>
            <w:tcMar>
              <w:top w:w="0" w:type="dxa"/>
              <w:left w:w="108" w:type="dxa"/>
              <w:bottom w:w="0" w:type="dxa"/>
              <w:right w:w="108" w:type="dxa"/>
            </w:tcMar>
            <w:vAlign w:val="center"/>
          </w:tcPr>
          <w:p w14:paraId="71E90C92"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4943D5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6012512"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vAlign w:val="center"/>
          </w:tcPr>
          <w:p w14:paraId="44F7D272"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2.Kiekybinio vertinimo skvarbos rodiklis, parodantis kokia dalis projektų rizikų įvertinta naudojant pažangius kiekybinius vertinimo metodus, daugiau nei</w:t>
            </w:r>
          </w:p>
        </w:tc>
        <w:tc>
          <w:tcPr>
            <w:tcW w:w="851" w:type="dxa"/>
            <w:shd w:val="clear" w:color="auto" w:fill="FFFFFF" w:themeFill="background1"/>
            <w:vAlign w:val="center"/>
          </w:tcPr>
          <w:p w14:paraId="72512E0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2F5F17A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30 %</w:t>
            </w:r>
          </w:p>
        </w:tc>
        <w:tc>
          <w:tcPr>
            <w:tcW w:w="1276" w:type="dxa"/>
            <w:shd w:val="clear" w:color="auto" w:fill="FFFFFF" w:themeFill="background1"/>
            <w:tcMar>
              <w:top w:w="0" w:type="dxa"/>
              <w:left w:w="108" w:type="dxa"/>
              <w:bottom w:w="0" w:type="dxa"/>
              <w:right w:w="108" w:type="dxa"/>
            </w:tcMar>
            <w:vAlign w:val="center"/>
          </w:tcPr>
          <w:p w14:paraId="6E1C724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545A237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654F241E" w14:textId="77777777" w:rsidTr="00D7567A">
        <w:trPr>
          <w:trHeight w:val="946"/>
        </w:trPr>
        <w:tc>
          <w:tcPr>
            <w:tcW w:w="694" w:type="dxa"/>
            <w:tcBorders>
              <w:top w:val="single" w:sz="4" w:space="0" w:color="auto"/>
              <w:bottom w:val="single" w:sz="4" w:space="0" w:color="auto"/>
            </w:tcBorders>
            <w:tcMar>
              <w:top w:w="0" w:type="dxa"/>
              <w:left w:w="108" w:type="dxa"/>
              <w:bottom w:w="0" w:type="dxa"/>
              <w:right w:w="108" w:type="dxa"/>
            </w:tcMar>
            <w:vAlign w:val="center"/>
          </w:tcPr>
          <w:p w14:paraId="57E23DF4"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D6FAC3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02E3CAD"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68DAA75D"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3. Parengtas ir su įmonės valdyba suderintas pagrindinių įmonės rizikų mažinimo planas</w:t>
            </w:r>
          </w:p>
        </w:tc>
        <w:tc>
          <w:tcPr>
            <w:tcW w:w="851" w:type="dxa"/>
            <w:shd w:val="clear" w:color="auto" w:fill="FFFFFF" w:themeFill="background1"/>
            <w:vAlign w:val="center"/>
          </w:tcPr>
          <w:p w14:paraId="275397E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4CF7D2E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Parengtas ir suderintas planas</w:t>
            </w:r>
          </w:p>
        </w:tc>
        <w:tc>
          <w:tcPr>
            <w:tcW w:w="1276" w:type="dxa"/>
            <w:shd w:val="clear" w:color="auto" w:fill="FFFFFF" w:themeFill="background1"/>
            <w:tcMar>
              <w:top w:w="0" w:type="dxa"/>
              <w:left w:w="108" w:type="dxa"/>
              <w:bottom w:w="0" w:type="dxa"/>
              <w:right w:w="108" w:type="dxa"/>
            </w:tcMar>
            <w:vAlign w:val="center"/>
          </w:tcPr>
          <w:p w14:paraId="5A62110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F33123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FEDD28D" w14:textId="77777777" w:rsidTr="00D7567A">
        <w:trPr>
          <w:trHeight w:val="946"/>
        </w:trPr>
        <w:tc>
          <w:tcPr>
            <w:tcW w:w="694" w:type="dxa"/>
            <w:tcBorders>
              <w:top w:val="single" w:sz="4" w:space="0" w:color="auto"/>
              <w:bottom w:val="single" w:sz="4" w:space="0" w:color="auto"/>
            </w:tcBorders>
            <w:tcMar>
              <w:top w:w="0" w:type="dxa"/>
              <w:left w:w="108" w:type="dxa"/>
              <w:bottom w:w="0" w:type="dxa"/>
              <w:right w:w="108" w:type="dxa"/>
            </w:tcMar>
            <w:vAlign w:val="center"/>
          </w:tcPr>
          <w:p w14:paraId="28298637"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tcMar>
              <w:top w:w="0" w:type="dxa"/>
              <w:left w:w="108" w:type="dxa"/>
              <w:bottom w:w="0" w:type="dxa"/>
              <w:right w:w="108" w:type="dxa"/>
            </w:tcMar>
            <w:vAlign w:val="center"/>
          </w:tcPr>
          <w:p w14:paraId="5C0EB45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7.1.2</w:t>
            </w:r>
          </w:p>
        </w:tc>
        <w:tc>
          <w:tcPr>
            <w:tcW w:w="2533" w:type="dxa"/>
            <w:vAlign w:val="center"/>
          </w:tcPr>
          <w:p w14:paraId="3B2A1918"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Automatizuoti rizikos vertės paskaičiavimo procesą</w:t>
            </w:r>
          </w:p>
        </w:tc>
        <w:tc>
          <w:tcPr>
            <w:tcW w:w="3260" w:type="dxa"/>
            <w:vAlign w:val="center"/>
          </w:tcPr>
          <w:p w14:paraId="5911883B"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Įdegta rizikos modeliavimo programinė įranga</w:t>
            </w:r>
          </w:p>
        </w:tc>
        <w:tc>
          <w:tcPr>
            <w:tcW w:w="851" w:type="dxa"/>
            <w:shd w:val="clear" w:color="auto" w:fill="FFFFFF" w:themeFill="background1"/>
            <w:vAlign w:val="center"/>
          </w:tcPr>
          <w:p w14:paraId="10A4297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04D7482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Įdegimo aktas</w:t>
            </w:r>
          </w:p>
        </w:tc>
        <w:tc>
          <w:tcPr>
            <w:tcW w:w="1276" w:type="dxa"/>
            <w:shd w:val="clear" w:color="auto" w:fill="FFFFFF" w:themeFill="background1"/>
            <w:tcMar>
              <w:top w:w="0" w:type="dxa"/>
              <w:left w:w="108" w:type="dxa"/>
              <w:bottom w:w="0" w:type="dxa"/>
              <w:right w:w="108" w:type="dxa"/>
            </w:tcMar>
            <w:vAlign w:val="center"/>
          </w:tcPr>
          <w:p w14:paraId="51F86B3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23615C4"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26957482" w14:textId="77777777" w:rsidTr="00D7567A">
        <w:trPr>
          <w:trHeight w:val="946"/>
        </w:trPr>
        <w:tc>
          <w:tcPr>
            <w:tcW w:w="694" w:type="dxa"/>
            <w:tcBorders>
              <w:top w:val="single" w:sz="4" w:space="0" w:color="auto"/>
              <w:bottom w:val="single" w:sz="4" w:space="0" w:color="auto"/>
            </w:tcBorders>
            <w:tcMar>
              <w:top w:w="0" w:type="dxa"/>
              <w:left w:w="108" w:type="dxa"/>
              <w:bottom w:w="0" w:type="dxa"/>
              <w:right w:w="108" w:type="dxa"/>
            </w:tcMar>
            <w:vAlign w:val="center"/>
          </w:tcPr>
          <w:p w14:paraId="51B3369A"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tcMar>
              <w:top w:w="0" w:type="dxa"/>
              <w:left w:w="108" w:type="dxa"/>
              <w:bottom w:w="0" w:type="dxa"/>
              <w:right w:w="108" w:type="dxa"/>
            </w:tcMar>
            <w:vAlign w:val="center"/>
          </w:tcPr>
          <w:p w14:paraId="6342817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8.1</w:t>
            </w:r>
          </w:p>
        </w:tc>
        <w:tc>
          <w:tcPr>
            <w:tcW w:w="2533" w:type="dxa"/>
            <w:vAlign w:val="center"/>
          </w:tcPr>
          <w:p w14:paraId="096CC18B"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2C499DC8"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b/>
                <w:i/>
                <w:color w:val="000000"/>
                <w:spacing w:val="-3"/>
                <w:sz w:val="20"/>
                <w:szCs w:val="20"/>
                <w:lang w:val="lt-LT"/>
              </w:rPr>
              <w:t>Rodiklis (R14)</w:t>
            </w:r>
            <w:r w:rsidRPr="00451A59">
              <w:rPr>
                <w:rFonts w:ascii="Times New Roman" w:hAnsi="Times New Roman"/>
                <w:i/>
                <w:color w:val="000000"/>
                <w:spacing w:val="-3"/>
                <w:sz w:val="20"/>
                <w:szCs w:val="20"/>
                <w:lang w:val="lt-LT"/>
              </w:rPr>
              <w:t xml:space="preserve"> – </w:t>
            </w:r>
            <w:r w:rsidRPr="00451A59">
              <w:rPr>
                <w:rFonts w:ascii="Times New Roman" w:hAnsi="Times New Roman"/>
                <w:color w:val="000000"/>
                <w:spacing w:val="-3"/>
                <w:sz w:val="20"/>
                <w:szCs w:val="20"/>
                <w:lang w:val="lt-LT"/>
              </w:rPr>
              <w:t>veiklos sąnaudų (susijusių su darbo užmokesčiu) taupymo rodiklis, ne daugiau nei</w:t>
            </w:r>
          </w:p>
        </w:tc>
        <w:tc>
          <w:tcPr>
            <w:tcW w:w="851" w:type="dxa"/>
            <w:shd w:val="clear" w:color="auto" w:fill="FFFFFF" w:themeFill="background1"/>
            <w:vAlign w:val="center"/>
          </w:tcPr>
          <w:p w14:paraId="1F36C28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12D233E1"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c>
          <w:tcPr>
            <w:tcW w:w="1276" w:type="dxa"/>
            <w:shd w:val="clear" w:color="auto" w:fill="FFFFFF" w:themeFill="background1"/>
            <w:tcMar>
              <w:top w:w="0" w:type="dxa"/>
              <w:left w:w="108" w:type="dxa"/>
              <w:bottom w:w="0" w:type="dxa"/>
              <w:right w:w="108" w:type="dxa"/>
            </w:tcMar>
            <w:vAlign w:val="center"/>
          </w:tcPr>
          <w:p w14:paraId="251CE90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123698F"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31AFEB2F" w14:textId="77777777" w:rsidTr="00D7567A">
        <w:trPr>
          <w:trHeight w:val="946"/>
        </w:trPr>
        <w:tc>
          <w:tcPr>
            <w:tcW w:w="694" w:type="dxa"/>
            <w:tcBorders>
              <w:top w:val="single" w:sz="4" w:space="0" w:color="auto"/>
              <w:bottom w:val="single" w:sz="4" w:space="0" w:color="auto"/>
            </w:tcBorders>
            <w:tcMar>
              <w:top w:w="0" w:type="dxa"/>
              <w:left w:w="108" w:type="dxa"/>
              <w:bottom w:w="0" w:type="dxa"/>
              <w:right w:w="108" w:type="dxa"/>
            </w:tcMar>
            <w:vAlign w:val="center"/>
          </w:tcPr>
          <w:p w14:paraId="4EA365BC"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tcMar>
              <w:top w:w="0" w:type="dxa"/>
              <w:left w:w="108" w:type="dxa"/>
              <w:bottom w:w="0" w:type="dxa"/>
              <w:right w:w="108" w:type="dxa"/>
            </w:tcMar>
            <w:vAlign w:val="center"/>
          </w:tcPr>
          <w:p w14:paraId="6D82B43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8.1.1</w:t>
            </w:r>
          </w:p>
        </w:tc>
        <w:tc>
          <w:tcPr>
            <w:tcW w:w="2533" w:type="dxa"/>
            <w:vAlign w:val="center"/>
          </w:tcPr>
          <w:p w14:paraId="4A48706E"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color w:val="000000"/>
                <w:sz w:val="20"/>
                <w:szCs w:val="20"/>
                <w:lang w:val="lt-LT"/>
              </w:rPr>
              <w:t>Mažinti Ignalinos programos lėšomis finansuojamo įmonės darbo užmokesčio fondą lyginant su GENP numatytu darbo užmokesčio fondu</w:t>
            </w:r>
          </w:p>
        </w:tc>
        <w:tc>
          <w:tcPr>
            <w:tcW w:w="3260" w:type="dxa"/>
            <w:vAlign w:val="center"/>
          </w:tcPr>
          <w:p w14:paraId="580E0CB1" w14:textId="77777777" w:rsidR="00451A59" w:rsidRPr="00451A59" w:rsidRDefault="00451A59" w:rsidP="00451A59">
            <w:pPr>
              <w:shd w:val="clear" w:color="auto" w:fill="FFFFFF" w:themeFill="background1"/>
              <w:ind w:left="107" w:right="141"/>
              <w:jc w:val="both"/>
              <w:rPr>
                <w:rFonts w:ascii="Times New Roman" w:hAnsi="Times New Roman"/>
                <w:b/>
                <w:i/>
                <w:color w:val="000000"/>
                <w:spacing w:val="-3"/>
                <w:sz w:val="20"/>
                <w:szCs w:val="20"/>
                <w:lang w:val="lt-LT"/>
              </w:rPr>
            </w:pPr>
            <w:r w:rsidRPr="00451A59">
              <w:rPr>
                <w:rFonts w:ascii="Times New Roman" w:hAnsi="Times New Roman"/>
                <w:color w:val="000000"/>
                <w:spacing w:val="-3"/>
                <w:sz w:val="20"/>
                <w:szCs w:val="20"/>
                <w:lang w:val="lt-LT"/>
              </w:rPr>
              <w:t>Veiklos sąnaudų taupymo rodiklis, ne daugiau nei</w:t>
            </w:r>
          </w:p>
        </w:tc>
        <w:tc>
          <w:tcPr>
            <w:tcW w:w="851" w:type="dxa"/>
            <w:shd w:val="clear" w:color="auto" w:fill="FFFFFF" w:themeFill="background1"/>
            <w:vAlign w:val="center"/>
          </w:tcPr>
          <w:p w14:paraId="2E09CF3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496081C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80%</w:t>
            </w:r>
          </w:p>
        </w:tc>
        <w:tc>
          <w:tcPr>
            <w:tcW w:w="1276" w:type="dxa"/>
            <w:shd w:val="clear" w:color="auto" w:fill="FFFFFF" w:themeFill="background1"/>
            <w:tcMar>
              <w:top w:w="0" w:type="dxa"/>
              <w:left w:w="108" w:type="dxa"/>
              <w:bottom w:w="0" w:type="dxa"/>
              <w:right w:w="108" w:type="dxa"/>
            </w:tcMar>
            <w:vAlign w:val="center"/>
          </w:tcPr>
          <w:p w14:paraId="165F534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209EC02"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6D40C818" w14:textId="77777777" w:rsidTr="00D7567A">
        <w:trPr>
          <w:trHeight w:val="946"/>
        </w:trPr>
        <w:tc>
          <w:tcPr>
            <w:tcW w:w="694" w:type="dxa"/>
            <w:tcBorders>
              <w:top w:val="single" w:sz="4" w:space="0" w:color="auto"/>
              <w:bottom w:val="single" w:sz="4" w:space="0" w:color="auto"/>
            </w:tcBorders>
            <w:tcMar>
              <w:top w:w="0" w:type="dxa"/>
              <w:left w:w="108" w:type="dxa"/>
              <w:bottom w:w="0" w:type="dxa"/>
              <w:right w:w="108" w:type="dxa"/>
            </w:tcMar>
            <w:vAlign w:val="center"/>
          </w:tcPr>
          <w:p w14:paraId="44DE377A"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tcMar>
              <w:top w:w="0" w:type="dxa"/>
              <w:left w:w="108" w:type="dxa"/>
              <w:bottom w:w="0" w:type="dxa"/>
              <w:right w:w="108" w:type="dxa"/>
            </w:tcMar>
            <w:vAlign w:val="center"/>
          </w:tcPr>
          <w:p w14:paraId="1C030F2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8.1.2</w:t>
            </w:r>
          </w:p>
        </w:tc>
        <w:tc>
          <w:tcPr>
            <w:tcW w:w="2533" w:type="dxa"/>
            <w:vAlign w:val="center"/>
          </w:tcPr>
          <w:p w14:paraId="3C68F7C0" w14:textId="77777777" w:rsidR="00451A59" w:rsidRPr="00451A59" w:rsidRDefault="00451A59" w:rsidP="00451A59">
            <w:pPr>
              <w:shd w:val="clear" w:color="auto" w:fill="FFFFFF" w:themeFill="background1"/>
              <w:ind w:left="107" w:right="142"/>
              <w:jc w:val="both"/>
              <w:rPr>
                <w:rFonts w:ascii="Times New Roman" w:hAnsi="Times New Roman"/>
                <w:color w:val="000000"/>
                <w:sz w:val="20"/>
                <w:szCs w:val="20"/>
                <w:lang w:val="lt-LT"/>
              </w:rPr>
            </w:pPr>
            <w:r w:rsidRPr="00451A59">
              <w:rPr>
                <w:rFonts w:ascii="Times New Roman" w:hAnsi="Times New Roman"/>
                <w:color w:val="000000"/>
                <w:sz w:val="20"/>
                <w:szCs w:val="20"/>
                <w:lang w:val="lt-LT"/>
              </w:rPr>
              <w:t xml:space="preserve">Mažinti sąnaudos </w:t>
            </w:r>
          </w:p>
        </w:tc>
        <w:tc>
          <w:tcPr>
            <w:tcW w:w="3260" w:type="dxa"/>
            <w:vAlign w:val="center"/>
          </w:tcPr>
          <w:p w14:paraId="21F55D83" w14:textId="77777777" w:rsidR="00451A59" w:rsidRPr="00451A59" w:rsidRDefault="00451A59" w:rsidP="00451A59">
            <w:pPr>
              <w:shd w:val="clear" w:color="auto" w:fill="FFFFFF" w:themeFill="background1"/>
              <w:ind w:left="107" w:right="141"/>
              <w:jc w:val="both"/>
              <w:rPr>
                <w:rFonts w:ascii="Times New Roman" w:hAnsi="Times New Roman"/>
                <w:color w:val="000000"/>
                <w:spacing w:val="-3"/>
                <w:sz w:val="20"/>
                <w:szCs w:val="20"/>
                <w:lang w:val="lt-LT"/>
              </w:rPr>
            </w:pPr>
            <w:r w:rsidRPr="00451A59">
              <w:rPr>
                <w:rFonts w:ascii="Times New Roman" w:hAnsi="Times New Roman"/>
                <w:color w:val="000000"/>
                <w:spacing w:val="-3"/>
                <w:sz w:val="20"/>
                <w:szCs w:val="20"/>
                <w:lang w:val="lt-LT"/>
              </w:rPr>
              <w:t>Pabaigta veiklų, pateiktų 2017-08-30 ataskaitoje Nr. At-2911(2.64) „Daryti ar pirkti“ analizė ir priimti sprendimai</w:t>
            </w:r>
          </w:p>
        </w:tc>
        <w:tc>
          <w:tcPr>
            <w:tcW w:w="851" w:type="dxa"/>
            <w:shd w:val="clear" w:color="auto" w:fill="FFFFFF" w:themeFill="background1"/>
            <w:vAlign w:val="center"/>
          </w:tcPr>
          <w:p w14:paraId="5D113F7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79BD4A2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29 veikloms</w:t>
            </w:r>
          </w:p>
        </w:tc>
        <w:tc>
          <w:tcPr>
            <w:tcW w:w="1276" w:type="dxa"/>
            <w:shd w:val="clear" w:color="auto" w:fill="FFFFFF" w:themeFill="background1"/>
            <w:tcMar>
              <w:top w:w="0" w:type="dxa"/>
              <w:left w:w="108" w:type="dxa"/>
              <w:bottom w:w="0" w:type="dxa"/>
              <w:right w:w="108" w:type="dxa"/>
            </w:tcMar>
            <w:vAlign w:val="center"/>
          </w:tcPr>
          <w:p w14:paraId="6DD3307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59F6D471"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5C61FB6C" w14:textId="77777777" w:rsidTr="00D7567A">
        <w:trPr>
          <w:trHeight w:val="695"/>
        </w:trPr>
        <w:tc>
          <w:tcPr>
            <w:tcW w:w="694" w:type="dxa"/>
            <w:tcBorders>
              <w:top w:val="single" w:sz="4" w:space="0" w:color="auto"/>
              <w:bottom w:val="single" w:sz="4" w:space="0" w:color="auto"/>
            </w:tcBorders>
            <w:tcMar>
              <w:top w:w="0" w:type="dxa"/>
              <w:left w:w="108" w:type="dxa"/>
              <w:bottom w:w="0" w:type="dxa"/>
              <w:right w:w="108" w:type="dxa"/>
            </w:tcMar>
            <w:vAlign w:val="center"/>
          </w:tcPr>
          <w:p w14:paraId="694920C6"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tcMar>
              <w:top w:w="0" w:type="dxa"/>
              <w:left w:w="108" w:type="dxa"/>
              <w:bottom w:w="0" w:type="dxa"/>
              <w:right w:w="108" w:type="dxa"/>
            </w:tcMar>
            <w:vAlign w:val="center"/>
          </w:tcPr>
          <w:p w14:paraId="357B470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8.2</w:t>
            </w:r>
          </w:p>
        </w:tc>
        <w:tc>
          <w:tcPr>
            <w:tcW w:w="2533" w:type="dxa"/>
            <w:vAlign w:val="center"/>
          </w:tcPr>
          <w:p w14:paraId="55610ED1" w14:textId="77777777" w:rsidR="00451A59" w:rsidRPr="00451A59" w:rsidRDefault="00451A59" w:rsidP="00451A59">
            <w:pPr>
              <w:shd w:val="clear" w:color="auto" w:fill="FFFFFF" w:themeFill="background1"/>
              <w:ind w:left="107" w:right="142"/>
              <w:jc w:val="both"/>
              <w:rPr>
                <w:rFonts w:ascii="Times New Roman" w:hAnsi="Times New Roman"/>
                <w:color w:val="000000"/>
                <w:sz w:val="20"/>
                <w:szCs w:val="20"/>
                <w:lang w:val="lt-LT"/>
              </w:rPr>
            </w:pPr>
          </w:p>
        </w:tc>
        <w:tc>
          <w:tcPr>
            <w:tcW w:w="3260" w:type="dxa"/>
          </w:tcPr>
          <w:p w14:paraId="07824D02" w14:textId="77777777" w:rsidR="00451A59" w:rsidRPr="00451A59" w:rsidRDefault="00451A59" w:rsidP="00451A59">
            <w:pPr>
              <w:shd w:val="clear" w:color="auto" w:fill="FFFFFF" w:themeFill="background1"/>
              <w:ind w:left="107" w:right="141"/>
              <w:jc w:val="both"/>
              <w:rPr>
                <w:rFonts w:ascii="Times New Roman" w:hAnsi="Times New Roman"/>
                <w:color w:val="000000"/>
                <w:spacing w:val="-3"/>
                <w:sz w:val="20"/>
                <w:szCs w:val="20"/>
                <w:lang w:val="lt-LT"/>
              </w:rPr>
            </w:pPr>
            <w:r w:rsidRPr="00451A59">
              <w:rPr>
                <w:rFonts w:ascii="Times New Roman" w:hAnsi="Times New Roman"/>
                <w:b/>
                <w:i/>
                <w:color w:val="000000"/>
                <w:spacing w:val="-3"/>
                <w:sz w:val="20"/>
                <w:szCs w:val="20"/>
                <w:lang w:val="lt-LT"/>
              </w:rPr>
              <w:t>Rodiklis (R15)</w:t>
            </w:r>
            <w:r w:rsidRPr="00451A59">
              <w:rPr>
                <w:rFonts w:ascii="Times New Roman" w:hAnsi="Times New Roman"/>
                <w:i/>
                <w:color w:val="000000"/>
                <w:spacing w:val="-3"/>
                <w:sz w:val="20"/>
                <w:szCs w:val="20"/>
                <w:lang w:val="lt-LT"/>
              </w:rPr>
              <w:t xml:space="preserve"> – </w:t>
            </w:r>
            <w:r w:rsidRPr="00451A59">
              <w:rPr>
                <w:rFonts w:ascii="Times New Roman" w:hAnsi="Times New Roman"/>
                <w:color w:val="000000"/>
                <w:sz w:val="20"/>
                <w:szCs w:val="20"/>
                <w:lang w:val="lt-LT"/>
              </w:rPr>
              <w:t xml:space="preserve">energetinių resursų taupymo rodiklis (palyginant su 2016 metais), </w:t>
            </w:r>
            <w:r w:rsidRPr="00451A59">
              <w:rPr>
                <w:rFonts w:ascii="Times New Roman" w:hAnsi="Times New Roman"/>
                <w:color w:val="000000"/>
                <w:spacing w:val="-3"/>
                <w:sz w:val="20"/>
                <w:szCs w:val="20"/>
                <w:lang w:val="lt-LT"/>
              </w:rPr>
              <w:t>ne daugiau nei</w:t>
            </w:r>
          </w:p>
        </w:tc>
        <w:tc>
          <w:tcPr>
            <w:tcW w:w="851" w:type="dxa"/>
            <w:shd w:val="clear" w:color="auto" w:fill="FFFFFF" w:themeFill="background1"/>
          </w:tcPr>
          <w:p w14:paraId="2CD0FA7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6825EF5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85,3 %</w:t>
            </w:r>
          </w:p>
        </w:tc>
        <w:tc>
          <w:tcPr>
            <w:tcW w:w="1276" w:type="dxa"/>
            <w:shd w:val="clear" w:color="auto" w:fill="FFFFFF" w:themeFill="background1"/>
            <w:tcMar>
              <w:top w:w="0" w:type="dxa"/>
              <w:left w:w="108" w:type="dxa"/>
              <w:bottom w:w="0" w:type="dxa"/>
              <w:right w:w="108" w:type="dxa"/>
            </w:tcMar>
            <w:vAlign w:val="center"/>
          </w:tcPr>
          <w:p w14:paraId="125CA2D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6E00D11"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521CDE49" w14:textId="77777777" w:rsidTr="00D7567A">
        <w:trPr>
          <w:trHeight w:val="535"/>
        </w:trPr>
        <w:tc>
          <w:tcPr>
            <w:tcW w:w="694" w:type="dxa"/>
            <w:tcBorders>
              <w:top w:val="single" w:sz="4" w:space="0" w:color="auto"/>
              <w:bottom w:val="single" w:sz="4" w:space="0" w:color="auto"/>
            </w:tcBorders>
            <w:tcMar>
              <w:top w:w="0" w:type="dxa"/>
              <w:left w:w="108" w:type="dxa"/>
              <w:bottom w:w="0" w:type="dxa"/>
              <w:right w:w="108" w:type="dxa"/>
            </w:tcMar>
            <w:vAlign w:val="center"/>
          </w:tcPr>
          <w:p w14:paraId="35F74B8E"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6B1A60F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8.2.1</w:t>
            </w:r>
          </w:p>
        </w:tc>
        <w:tc>
          <w:tcPr>
            <w:tcW w:w="2533" w:type="dxa"/>
            <w:vMerge w:val="restart"/>
            <w:vAlign w:val="center"/>
          </w:tcPr>
          <w:p w14:paraId="6E06265D" w14:textId="77777777" w:rsidR="00451A59" w:rsidRPr="00451A59" w:rsidRDefault="00451A59" w:rsidP="00451A59">
            <w:pPr>
              <w:shd w:val="clear" w:color="auto" w:fill="FFFFFF" w:themeFill="background1"/>
              <w:ind w:left="107" w:right="142"/>
              <w:jc w:val="both"/>
              <w:rPr>
                <w:rFonts w:ascii="Times New Roman" w:hAnsi="Times New Roman"/>
                <w:color w:val="000000"/>
                <w:sz w:val="20"/>
                <w:szCs w:val="20"/>
                <w:lang w:val="lt-LT"/>
              </w:rPr>
            </w:pPr>
            <w:r w:rsidRPr="00451A59">
              <w:rPr>
                <w:rFonts w:ascii="Times New Roman" w:hAnsi="Times New Roman"/>
                <w:color w:val="000000"/>
                <w:sz w:val="20"/>
                <w:szCs w:val="20"/>
                <w:lang w:val="lt-LT"/>
              </w:rPr>
              <w:t>Mažinti energijos išteklių (elektros ir šilumos) kiekio sunaudojimą, palyginant su 2016 metais</w:t>
            </w:r>
          </w:p>
        </w:tc>
        <w:tc>
          <w:tcPr>
            <w:tcW w:w="3260" w:type="dxa"/>
          </w:tcPr>
          <w:p w14:paraId="7CFAA0C3" w14:textId="77777777" w:rsidR="00451A59" w:rsidRPr="00451A59" w:rsidRDefault="00451A59" w:rsidP="00451A59">
            <w:pPr>
              <w:shd w:val="clear" w:color="auto" w:fill="FFFFFF" w:themeFill="background1"/>
              <w:ind w:left="107" w:right="141"/>
              <w:jc w:val="both"/>
              <w:rPr>
                <w:rFonts w:ascii="Times New Roman" w:hAnsi="Times New Roman"/>
                <w:b/>
                <w:i/>
                <w:color w:val="000000"/>
                <w:spacing w:val="-3"/>
                <w:sz w:val="20"/>
                <w:szCs w:val="20"/>
                <w:lang w:val="lt-LT"/>
              </w:rPr>
            </w:pPr>
            <w:r w:rsidRPr="00451A59">
              <w:rPr>
                <w:rFonts w:ascii="Times New Roman" w:hAnsi="Times New Roman"/>
                <w:color w:val="000000"/>
                <w:spacing w:val="-3"/>
                <w:sz w:val="20"/>
                <w:szCs w:val="20"/>
                <w:lang w:val="lt-LT"/>
              </w:rPr>
              <w:t>1. Elektros energijos sunaudojimas, ne daugiau nei</w:t>
            </w:r>
          </w:p>
        </w:tc>
        <w:tc>
          <w:tcPr>
            <w:tcW w:w="851" w:type="dxa"/>
            <w:shd w:val="clear" w:color="auto" w:fill="FFFFFF" w:themeFill="background1"/>
          </w:tcPr>
          <w:p w14:paraId="35F65718"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4678101B"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72424 MWh</w:t>
            </w:r>
          </w:p>
        </w:tc>
        <w:tc>
          <w:tcPr>
            <w:tcW w:w="1276" w:type="dxa"/>
            <w:shd w:val="clear" w:color="auto" w:fill="FFFFFF" w:themeFill="background1"/>
            <w:tcMar>
              <w:top w:w="0" w:type="dxa"/>
              <w:left w:w="108" w:type="dxa"/>
              <w:bottom w:w="0" w:type="dxa"/>
              <w:right w:w="108" w:type="dxa"/>
            </w:tcMar>
            <w:vAlign w:val="center"/>
          </w:tcPr>
          <w:p w14:paraId="070EB43A"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5A24D56F"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24279BF8" w14:textId="77777777" w:rsidTr="00D7567A">
        <w:trPr>
          <w:trHeight w:val="695"/>
        </w:trPr>
        <w:tc>
          <w:tcPr>
            <w:tcW w:w="694" w:type="dxa"/>
            <w:tcBorders>
              <w:top w:val="single" w:sz="4" w:space="0" w:color="auto"/>
              <w:bottom w:val="single" w:sz="4" w:space="0" w:color="auto"/>
            </w:tcBorders>
            <w:tcMar>
              <w:top w:w="0" w:type="dxa"/>
              <w:left w:w="108" w:type="dxa"/>
              <w:bottom w:w="0" w:type="dxa"/>
              <w:right w:w="108" w:type="dxa"/>
            </w:tcMar>
            <w:vAlign w:val="center"/>
          </w:tcPr>
          <w:p w14:paraId="388883FE"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83C693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709D1076" w14:textId="77777777" w:rsidR="00451A59" w:rsidRPr="00451A59" w:rsidRDefault="00451A59" w:rsidP="00451A59">
            <w:pPr>
              <w:shd w:val="clear" w:color="auto" w:fill="FFFFFF" w:themeFill="background1"/>
              <w:ind w:left="107" w:right="142"/>
              <w:jc w:val="both"/>
              <w:rPr>
                <w:rFonts w:ascii="Times New Roman" w:hAnsi="Times New Roman"/>
                <w:color w:val="000000"/>
                <w:sz w:val="20"/>
                <w:szCs w:val="20"/>
                <w:lang w:val="lt-LT"/>
              </w:rPr>
            </w:pPr>
          </w:p>
        </w:tc>
        <w:tc>
          <w:tcPr>
            <w:tcW w:w="3260" w:type="dxa"/>
          </w:tcPr>
          <w:p w14:paraId="548D6285" w14:textId="77777777" w:rsidR="00451A59" w:rsidRPr="00451A59" w:rsidRDefault="00451A59" w:rsidP="00451A59">
            <w:pPr>
              <w:shd w:val="clear" w:color="auto" w:fill="FFFFFF" w:themeFill="background1"/>
              <w:spacing w:before="80" w:after="40" w:line="228" w:lineRule="auto"/>
              <w:rPr>
                <w:rFonts w:ascii="Times New Roman" w:hAnsi="Times New Roman"/>
                <w:color w:val="000000"/>
                <w:spacing w:val="-3"/>
                <w:sz w:val="20"/>
                <w:szCs w:val="20"/>
                <w:lang w:val="lt-LT"/>
              </w:rPr>
            </w:pPr>
            <w:r w:rsidRPr="00451A59">
              <w:rPr>
                <w:rFonts w:ascii="Times New Roman" w:hAnsi="Times New Roman"/>
                <w:color w:val="000000"/>
                <w:spacing w:val="-3"/>
                <w:sz w:val="20"/>
                <w:szCs w:val="20"/>
                <w:lang w:val="lt-LT"/>
              </w:rPr>
              <w:t>2. Šilumos energijos (suvartojimas planuojamas, esant aplinkos vidutinei temperatūrai šildymo sezono metu -0,4°C) sunaudojimas, ne daugiau nei</w:t>
            </w:r>
          </w:p>
          <w:p w14:paraId="4F0978A2" w14:textId="77777777" w:rsidR="00451A59" w:rsidRPr="00451A59" w:rsidRDefault="00451A59" w:rsidP="00451A59">
            <w:pPr>
              <w:shd w:val="clear" w:color="auto" w:fill="FFFFFF" w:themeFill="background1"/>
              <w:ind w:left="107" w:right="141"/>
              <w:jc w:val="both"/>
              <w:rPr>
                <w:rFonts w:ascii="Times New Roman" w:hAnsi="Times New Roman"/>
                <w:b/>
                <w:i/>
                <w:color w:val="000000"/>
                <w:spacing w:val="-3"/>
                <w:sz w:val="20"/>
                <w:szCs w:val="20"/>
                <w:lang w:val="lt-LT"/>
              </w:rPr>
            </w:pPr>
            <w:r w:rsidRPr="00451A59">
              <w:rPr>
                <w:rFonts w:ascii="Times New Roman" w:hAnsi="Times New Roman"/>
                <w:i/>
                <w:color w:val="000000"/>
                <w:spacing w:val="-3"/>
                <w:sz w:val="20"/>
                <w:szCs w:val="20"/>
                <w:u w:val="single"/>
                <w:lang w:val="lt-LT"/>
              </w:rPr>
              <w:t>Pastaba.</w:t>
            </w:r>
            <w:r w:rsidRPr="00451A59">
              <w:rPr>
                <w:rFonts w:ascii="Times New Roman" w:hAnsi="Times New Roman"/>
                <w:i/>
                <w:color w:val="000000"/>
                <w:spacing w:val="-3"/>
                <w:sz w:val="20"/>
                <w:szCs w:val="20"/>
                <w:lang w:val="lt-LT"/>
              </w:rPr>
              <w:t xml:space="preserve"> Šilumos energijos suvartojimas 2012 m. buvo 125884 MWh, 2013 m. – 112447MWh, 2014 m. – 92702 MWh, 2015 m. – 77362 MWh, 2016 m. – 77982 MWh, 2017 m. – 76941 MWh, 2018 m. –76380 MWh</w:t>
            </w:r>
          </w:p>
        </w:tc>
        <w:tc>
          <w:tcPr>
            <w:tcW w:w="851" w:type="dxa"/>
            <w:shd w:val="clear" w:color="auto" w:fill="FFFFFF" w:themeFill="background1"/>
          </w:tcPr>
          <w:p w14:paraId="3965C368"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10063D7B"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79450 MWh</w:t>
            </w:r>
          </w:p>
        </w:tc>
        <w:tc>
          <w:tcPr>
            <w:tcW w:w="1276" w:type="dxa"/>
            <w:shd w:val="clear" w:color="auto" w:fill="FFFFFF" w:themeFill="background1"/>
            <w:tcMar>
              <w:top w:w="0" w:type="dxa"/>
              <w:left w:w="108" w:type="dxa"/>
              <w:bottom w:w="0" w:type="dxa"/>
              <w:right w:w="108" w:type="dxa"/>
            </w:tcMar>
            <w:vAlign w:val="center"/>
          </w:tcPr>
          <w:p w14:paraId="5A71633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AF7EC0D"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7011621E" w14:textId="77777777" w:rsidTr="00D7567A">
        <w:trPr>
          <w:trHeight w:val="695"/>
        </w:trPr>
        <w:tc>
          <w:tcPr>
            <w:tcW w:w="694" w:type="dxa"/>
            <w:tcBorders>
              <w:top w:val="single" w:sz="4" w:space="0" w:color="auto"/>
              <w:bottom w:val="single" w:sz="4" w:space="0" w:color="auto"/>
            </w:tcBorders>
            <w:tcMar>
              <w:top w:w="0" w:type="dxa"/>
              <w:left w:w="108" w:type="dxa"/>
              <w:bottom w:w="0" w:type="dxa"/>
              <w:right w:w="108" w:type="dxa"/>
            </w:tcMar>
            <w:vAlign w:val="center"/>
          </w:tcPr>
          <w:p w14:paraId="1E974C7E"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2D5E379F"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2888AEF" w14:textId="77777777" w:rsidR="00451A59" w:rsidRPr="00451A59" w:rsidRDefault="00451A59" w:rsidP="00451A59">
            <w:pPr>
              <w:shd w:val="clear" w:color="auto" w:fill="FFFFFF" w:themeFill="background1"/>
              <w:ind w:left="107" w:right="142"/>
              <w:jc w:val="both"/>
              <w:rPr>
                <w:rFonts w:ascii="Times New Roman" w:hAnsi="Times New Roman"/>
                <w:color w:val="000000"/>
                <w:sz w:val="20"/>
                <w:szCs w:val="20"/>
                <w:lang w:val="lt-LT"/>
              </w:rPr>
            </w:pPr>
          </w:p>
        </w:tc>
        <w:tc>
          <w:tcPr>
            <w:tcW w:w="3260" w:type="dxa"/>
          </w:tcPr>
          <w:p w14:paraId="1B46A0D5" w14:textId="77777777" w:rsidR="00451A59" w:rsidRPr="00451A59" w:rsidRDefault="00451A59" w:rsidP="00451A59">
            <w:pPr>
              <w:shd w:val="clear" w:color="auto" w:fill="FFFFFF" w:themeFill="background1"/>
              <w:ind w:left="107" w:right="141"/>
              <w:jc w:val="both"/>
              <w:rPr>
                <w:rFonts w:ascii="Times New Roman" w:hAnsi="Times New Roman"/>
                <w:b/>
                <w:i/>
                <w:color w:val="000000"/>
                <w:spacing w:val="-3"/>
                <w:sz w:val="20"/>
                <w:szCs w:val="20"/>
                <w:lang w:val="lt-LT"/>
              </w:rPr>
            </w:pPr>
            <w:r w:rsidRPr="00451A59">
              <w:rPr>
                <w:rFonts w:ascii="Times New Roman" w:hAnsi="Times New Roman"/>
                <w:color w:val="000000"/>
                <w:spacing w:val="-3"/>
                <w:sz w:val="20"/>
                <w:szCs w:val="20"/>
                <w:lang w:val="lt-LT"/>
              </w:rPr>
              <w:t>3.1. atlikti ventiliatorių ir tiekiamosios ventiliacijos montavimo darbai (planuota 2018 m.)</w:t>
            </w:r>
          </w:p>
        </w:tc>
        <w:tc>
          <w:tcPr>
            <w:tcW w:w="851" w:type="dxa"/>
            <w:shd w:val="clear" w:color="auto" w:fill="FFFFFF" w:themeFill="background1"/>
          </w:tcPr>
          <w:p w14:paraId="7F94D315"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0B72C651"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Montavimo darbų aktas</w:t>
            </w:r>
          </w:p>
        </w:tc>
        <w:tc>
          <w:tcPr>
            <w:tcW w:w="1276" w:type="dxa"/>
            <w:shd w:val="clear" w:color="auto" w:fill="FFFFFF" w:themeFill="background1"/>
            <w:tcMar>
              <w:top w:w="0" w:type="dxa"/>
              <w:left w:w="108" w:type="dxa"/>
              <w:bottom w:w="0" w:type="dxa"/>
              <w:right w:w="108" w:type="dxa"/>
            </w:tcMar>
            <w:vAlign w:val="center"/>
          </w:tcPr>
          <w:p w14:paraId="4D2EC44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162DA4A1"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5009F903" w14:textId="77777777" w:rsidTr="00D7567A">
        <w:trPr>
          <w:trHeight w:val="412"/>
        </w:trPr>
        <w:tc>
          <w:tcPr>
            <w:tcW w:w="694" w:type="dxa"/>
            <w:tcBorders>
              <w:top w:val="single" w:sz="4" w:space="0" w:color="auto"/>
              <w:bottom w:val="single" w:sz="4" w:space="0" w:color="auto"/>
            </w:tcBorders>
            <w:tcMar>
              <w:top w:w="0" w:type="dxa"/>
              <w:left w:w="108" w:type="dxa"/>
              <w:bottom w:w="0" w:type="dxa"/>
              <w:right w:w="108" w:type="dxa"/>
            </w:tcMar>
            <w:vAlign w:val="center"/>
          </w:tcPr>
          <w:p w14:paraId="65EE0A7D"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815455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311CB9B" w14:textId="77777777" w:rsidR="00451A59" w:rsidRPr="00451A59" w:rsidRDefault="00451A59" w:rsidP="00451A59">
            <w:pPr>
              <w:shd w:val="clear" w:color="auto" w:fill="FFFFFF" w:themeFill="background1"/>
              <w:ind w:left="107" w:right="142"/>
              <w:jc w:val="both"/>
              <w:rPr>
                <w:rFonts w:ascii="Times New Roman" w:hAnsi="Times New Roman"/>
                <w:color w:val="000000"/>
                <w:sz w:val="20"/>
                <w:szCs w:val="20"/>
                <w:lang w:val="lt-LT"/>
              </w:rPr>
            </w:pPr>
          </w:p>
        </w:tc>
        <w:tc>
          <w:tcPr>
            <w:tcW w:w="3260" w:type="dxa"/>
          </w:tcPr>
          <w:p w14:paraId="3CBCF1B8" w14:textId="77777777" w:rsidR="00451A59" w:rsidRPr="00451A59" w:rsidRDefault="00451A59" w:rsidP="00451A59">
            <w:pPr>
              <w:shd w:val="clear" w:color="auto" w:fill="FFFFFF" w:themeFill="background1"/>
              <w:ind w:left="107" w:right="141"/>
              <w:jc w:val="both"/>
              <w:rPr>
                <w:rFonts w:ascii="Times New Roman" w:hAnsi="Times New Roman"/>
                <w:b/>
                <w:i/>
                <w:color w:val="000000"/>
                <w:spacing w:val="-3"/>
                <w:sz w:val="20"/>
                <w:szCs w:val="20"/>
                <w:lang w:val="lt-LT"/>
              </w:rPr>
            </w:pPr>
            <w:r w:rsidRPr="00451A59">
              <w:rPr>
                <w:rFonts w:ascii="Times New Roman" w:hAnsi="Times New Roman"/>
                <w:color w:val="000000"/>
                <w:spacing w:val="-3"/>
                <w:sz w:val="20"/>
                <w:szCs w:val="20"/>
                <w:lang w:val="lt-LT"/>
              </w:rPr>
              <w:t>4. Optimizuotos 7 ventiliacijos sistemos 101/1,2 pastatuose</w:t>
            </w:r>
          </w:p>
        </w:tc>
        <w:tc>
          <w:tcPr>
            <w:tcW w:w="851" w:type="dxa"/>
            <w:shd w:val="clear" w:color="auto" w:fill="FFFFFF" w:themeFill="background1"/>
          </w:tcPr>
          <w:p w14:paraId="3791F5B6"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758C2719"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Darbų atlikimo aktas</w:t>
            </w:r>
          </w:p>
        </w:tc>
        <w:tc>
          <w:tcPr>
            <w:tcW w:w="1276" w:type="dxa"/>
            <w:shd w:val="clear" w:color="auto" w:fill="FFFFFF" w:themeFill="background1"/>
            <w:tcMar>
              <w:top w:w="0" w:type="dxa"/>
              <w:left w:w="108" w:type="dxa"/>
              <w:bottom w:w="0" w:type="dxa"/>
              <w:right w:w="108" w:type="dxa"/>
            </w:tcMar>
            <w:vAlign w:val="center"/>
          </w:tcPr>
          <w:p w14:paraId="1CC4DE1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7883945"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2F3DF3" w14:paraId="29940C0A" w14:textId="77777777" w:rsidTr="00D7567A">
        <w:trPr>
          <w:trHeight w:val="695"/>
        </w:trPr>
        <w:tc>
          <w:tcPr>
            <w:tcW w:w="694" w:type="dxa"/>
            <w:tcBorders>
              <w:top w:val="single" w:sz="4" w:space="0" w:color="auto"/>
              <w:bottom w:val="single" w:sz="4" w:space="0" w:color="auto"/>
            </w:tcBorders>
            <w:tcMar>
              <w:top w:w="0" w:type="dxa"/>
              <w:left w:w="108" w:type="dxa"/>
              <w:bottom w:w="0" w:type="dxa"/>
              <w:right w:w="108" w:type="dxa"/>
            </w:tcMar>
            <w:vAlign w:val="center"/>
          </w:tcPr>
          <w:p w14:paraId="29A2C5FA"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491D22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4937DCD6" w14:textId="77777777" w:rsidR="00451A59" w:rsidRPr="00451A59" w:rsidRDefault="00451A59" w:rsidP="00451A59">
            <w:pPr>
              <w:shd w:val="clear" w:color="auto" w:fill="FFFFFF" w:themeFill="background1"/>
              <w:ind w:left="107" w:right="142"/>
              <w:jc w:val="both"/>
              <w:rPr>
                <w:rFonts w:ascii="Times New Roman" w:hAnsi="Times New Roman"/>
                <w:color w:val="000000"/>
                <w:sz w:val="20"/>
                <w:szCs w:val="20"/>
                <w:lang w:val="lt-LT"/>
              </w:rPr>
            </w:pPr>
          </w:p>
        </w:tc>
        <w:tc>
          <w:tcPr>
            <w:tcW w:w="3260" w:type="dxa"/>
          </w:tcPr>
          <w:p w14:paraId="7F1FE032" w14:textId="77777777" w:rsidR="00451A59" w:rsidRPr="00451A59" w:rsidRDefault="00451A59" w:rsidP="00451A59">
            <w:pPr>
              <w:shd w:val="clear" w:color="auto" w:fill="FFFFFF" w:themeFill="background1"/>
              <w:ind w:left="107" w:right="141"/>
              <w:jc w:val="both"/>
              <w:rPr>
                <w:rFonts w:ascii="Times New Roman" w:hAnsi="Times New Roman"/>
                <w:b/>
                <w:i/>
                <w:color w:val="000000"/>
                <w:spacing w:val="-3"/>
                <w:sz w:val="20"/>
                <w:szCs w:val="20"/>
                <w:lang w:val="lt-LT"/>
              </w:rPr>
            </w:pPr>
            <w:r w:rsidRPr="00451A59">
              <w:rPr>
                <w:rFonts w:ascii="Times New Roman" w:hAnsi="Times New Roman"/>
                <w:color w:val="000000"/>
                <w:spacing w:val="-3"/>
                <w:sz w:val="20"/>
                <w:szCs w:val="20"/>
                <w:lang w:val="lt-LT"/>
              </w:rPr>
              <w:t>5. Nutrauktas dyzelinio generatoriaus Nr. 9 eksploatavimas (dyzelinio generatoriaus bokse energijos tiekimas atjungtas) (planuota 2018 m.)</w:t>
            </w:r>
          </w:p>
        </w:tc>
        <w:tc>
          <w:tcPr>
            <w:tcW w:w="851" w:type="dxa"/>
            <w:shd w:val="clear" w:color="auto" w:fill="FFFFFF" w:themeFill="background1"/>
          </w:tcPr>
          <w:p w14:paraId="04E8D1EF"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72CA635C"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Darbų atlikimo aktas</w:t>
            </w:r>
          </w:p>
        </w:tc>
        <w:tc>
          <w:tcPr>
            <w:tcW w:w="1276" w:type="dxa"/>
            <w:shd w:val="clear" w:color="auto" w:fill="FFFFFF" w:themeFill="background1"/>
            <w:tcMar>
              <w:top w:w="0" w:type="dxa"/>
              <w:left w:w="108" w:type="dxa"/>
              <w:bottom w:w="0" w:type="dxa"/>
              <w:right w:w="108" w:type="dxa"/>
            </w:tcMar>
            <w:vAlign w:val="center"/>
          </w:tcPr>
          <w:p w14:paraId="5952C0B3"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tcPr>
          <w:p w14:paraId="4304C8B1" w14:textId="76B2700A" w:rsidR="00451A59" w:rsidRPr="00451A59" w:rsidRDefault="00451A59" w:rsidP="00451A59">
            <w:pPr>
              <w:shd w:val="clear" w:color="auto" w:fill="FFFFFF" w:themeFill="background1"/>
              <w:rPr>
                <w:rFonts w:ascii="Times New Roman" w:hAnsi="Times New Roman"/>
                <w:sz w:val="20"/>
                <w:szCs w:val="20"/>
                <w:lang w:val="lt-LT"/>
              </w:rPr>
            </w:pPr>
            <w:r w:rsidRPr="00451A59">
              <w:rPr>
                <w:rFonts w:ascii="Times New Roman" w:hAnsi="Times New Roman"/>
                <w:spacing w:val="-3"/>
                <w:sz w:val="20"/>
                <w:szCs w:val="20"/>
                <w:lang w:val="lt-LT"/>
              </w:rPr>
              <w:t>Atsižvelgiant į 2019-10-31 VATESI gautas pastabas raštu Nr. ĮG-5968, modifikacijai įvykdyti reikalaujama atlikti pakeitimus ir suderinti I</w:t>
            </w:r>
            <w:r w:rsidR="00FF2A34">
              <w:rPr>
                <w:rFonts w:ascii="Times New Roman" w:hAnsi="Times New Roman"/>
                <w:spacing w:val="-3"/>
                <w:sz w:val="20"/>
                <w:szCs w:val="20"/>
                <w:lang w:val="lt-LT"/>
              </w:rPr>
              <w:t xml:space="preserve">gnalinos </w:t>
            </w:r>
            <w:r w:rsidRPr="00451A59">
              <w:rPr>
                <w:rFonts w:ascii="Times New Roman" w:hAnsi="Times New Roman"/>
                <w:spacing w:val="-3"/>
                <w:sz w:val="20"/>
                <w:szCs w:val="20"/>
                <w:lang w:val="lt-LT"/>
              </w:rPr>
              <w:t>AE 1-jo ir 2-jo blokų eksploatacijos nutraukimo projekto galutinio sustabdymo ir kuro iškrovimo fazei U1DP0 ir U2DP0 dokumentus bei I</w:t>
            </w:r>
            <w:r w:rsidR="00B8626C">
              <w:rPr>
                <w:rFonts w:ascii="Times New Roman" w:hAnsi="Times New Roman"/>
                <w:spacing w:val="-3"/>
                <w:sz w:val="20"/>
                <w:szCs w:val="20"/>
                <w:lang w:val="lt-LT"/>
              </w:rPr>
              <w:t xml:space="preserve">gnalinos </w:t>
            </w:r>
            <w:r w:rsidRPr="00451A59">
              <w:rPr>
                <w:rFonts w:ascii="Times New Roman" w:hAnsi="Times New Roman"/>
                <w:spacing w:val="-3"/>
                <w:sz w:val="20"/>
                <w:szCs w:val="20"/>
                <w:lang w:val="lt-LT"/>
              </w:rPr>
              <w:t xml:space="preserve">AE 1-jo ir 2-jo blokų eksploatacijos nutraukimo saugos analizės ataskaitas. Įvertinus dokumentų rengimo bei modifikacijos įgyvendinimo </w:t>
            </w:r>
            <w:r w:rsidRPr="00451A59">
              <w:rPr>
                <w:rFonts w:ascii="Times New Roman" w:hAnsi="Times New Roman"/>
                <w:spacing w:val="-3"/>
                <w:sz w:val="20"/>
                <w:szCs w:val="20"/>
                <w:lang w:val="lt-LT"/>
              </w:rPr>
              <w:lastRenderedPageBreak/>
              <w:t>laikotarpį, taip pat ženkliai sumažėjus planuotam modifikacijos efektyvumui, Eksploatavimo nutraukimo pasitarime buvo priimtas sprendimas anuliuoti modifikaciją</w:t>
            </w:r>
            <w:r w:rsidR="00B8626C">
              <w:rPr>
                <w:rFonts w:ascii="Times New Roman" w:hAnsi="Times New Roman"/>
                <w:spacing w:val="-3"/>
                <w:sz w:val="20"/>
                <w:szCs w:val="20"/>
                <w:lang w:val="lt-LT"/>
              </w:rPr>
              <w:t>.</w:t>
            </w:r>
          </w:p>
        </w:tc>
      </w:tr>
      <w:tr w:rsidR="00451A59" w:rsidRPr="002F3DF3" w14:paraId="718DD806" w14:textId="77777777" w:rsidTr="00D7567A">
        <w:trPr>
          <w:trHeight w:val="404"/>
        </w:trPr>
        <w:tc>
          <w:tcPr>
            <w:tcW w:w="694" w:type="dxa"/>
            <w:tcBorders>
              <w:top w:val="single" w:sz="4" w:space="0" w:color="auto"/>
            </w:tcBorders>
            <w:shd w:val="clear" w:color="auto" w:fill="FFFFFF" w:themeFill="background1"/>
            <w:tcMar>
              <w:top w:w="0" w:type="dxa"/>
              <w:left w:w="108" w:type="dxa"/>
              <w:bottom w:w="0" w:type="dxa"/>
              <w:right w:w="108" w:type="dxa"/>
            </w:tcMar>
            <w:vAlign w:val="center"/>
          </w:tcPr>
          <w:p w14:paraId="2F9EAF08"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75AD7FBF"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8.3</w:t>
            </w:r>
          </w:p>
        </w:tc>
        <w:tc>
          <w:tcPr>
            <w:tcW w:w="2533" w:type="dxa"/>
            <w:vMerge w:val="restart"/>
            <w:vAlign w:val="center"/>
          </w:tcPr>
          <w:p w14:paraId="1C0ACB49" w14:textId="77777777" w:rsidR="00451A59" w:rsidRPr="00451A59" w:rsidRDefault="00451A59" w:rsidP="00451A59">
            <w:pPr>
              <w:shd w:val="clear" w:color="auto" w:fill="FFFFFF" w:themeFill="background1"/>
              <w:ind w:left="107" w:right="142"/>
              <w:rPr>
                <w:rFonts w:ascii="Times New Roman" w:hAnsi="Times New Roman"/>
                <w:sz w:val="20"/>
                <w:szCs w:val="20"/>
                <w:lang w:val="lt-LT"/>
              </w:rPr>
            </w:pPr>
            <w:r w:rsidRPr="00451A59">
              <w:rPr>
                <w:rFonts w:ascii="Times New Roman" w:hAnsi="Times New Roman"/>
                <w:sz w:val="20"/>
                <w:szCs w:val="20"/>
                <w:lang w:val="lt-LT"/>
              </w:rPr>
              <w:t>Diegti inovatyvias technologijas</w:t>
            </w:r>
          </w:p>
        </w:tc>
        <w:tc>
          <w:tcPr>
            <w:tcW w:w="3260" w:type="dxa"/>
            <w:shd w:val="clear" w:color="auto" w:fill="FFFFFF" w:themeFill="background1"/>
            <w:vAlign w:val="center"/>
          </w:tcPr>
          <w:p w14:paraId="65255D99" w14:textId="77777777" w:rsidR="00451A59" w:rsidRPr="00451A59" w:rsidRDefault="00451A59" w:rsidP="00451A59">
            <w:pPr>
              <w:pStyle w:val="ListParagraph"/>
              <w:numPr>
                <w:ilvl w:val="0"/>
                <w:numId w:val="20"/>
              </w:numPr>
              <w:shd w:val="clear" w:color="auto" w:fill="FFFFFF" w:themeFill="background1"/>
              <w:tabs>
                <w:tab w:val="left" w:pos="296"/>
              </w:tabs>
              <w:ind w:left="155" w:right="141" w:hanging="48"/>
              <w:jc w:val="both"/>
              <w:rPr>
                <w:rFonts w:ascii="Times New Roman" w:hAnsi="Times New Roman"/>
                <w:sz w:val="20"/>
                <w:szCs w:val="20"/>
              </w:rPr>
            </w:pPr>
            <w:r w:rsidRPr="00451A59">
              <w:rPr>
                <w:rFonts w:ascii="Times New Roman" w:hAnsi="Times New Roman"/>
                <w:sz w:val="20"/>
                <w:szCs w:val="20"/>
              </w:rPr>
              <w:t>Parengti techninę specifikaciją ir projektinę dokumentaciją dviejų aparatinių siurblių dažnio keitiklių įrengimui</w:t>
            </w:r>
            <w:r w:rsidRPr="00451A59">
              <w:rPr>
                <w:rStyle w:val="FootnoteReference"/>
                <w:rFonts w:ascii="Times New Roman" w:hAnsi="Times New Roman"/>
                <w:sz w:val="20"/>
                <w:szCs w:val="20"/>
              </w:rPr>
              <w:footnoteReference w:id="2"/>
            </w:r>
          </w:p>
        </w:tc>
        <w:tc>
          <w:tcPr>
            <w:tcW w:w="851" w:type="dxa"/>
            <w:shd w:val="clear" w:color="auto" w:fill="FFFFFF" w:themeFill="background1"/>
            <w:vAlign w:val="center"/>
          </w:tcPr>
          <w:p w14:paraId="6584AB9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2DB8C1F6"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c>
          <w:tcPr>
            <w:tcW w:w="1276" w:type="dxa"/>
            <w:shd w:val="clear" w:color="auto" w:fill="FFFFFF" w:themeFill="background1"/>
            <w:tcMar>
              <w:top w:w="0" w:type="dxa"/>
              <w:left w:w="108" w:type="dxa"/>
              <w:bottom w:w="0" w:type="dxa"/>
              <w:right w:w="108" w:type="dxa"/>
            </w:tcMar>
            <w:vAlign w:val="center"/>
          </w:tcPr>
          <w:p w14:paraId="23F5D3FC" w14:textId="77777777" w:rsidR="00451A59" w:rsidRPr="00451A59" w:rsidRDefault="00451A59" w:rsidP="00451A59">
            <w:pPr>
              <w:shd w:val="clear" w:color="auto" w:fill="FFFFFF" w:themeFill="background1"/>
              <w:jc w:val="center"/>
              <w:rPr>
                <w:rFonts w:ascii="Times New Roman" w:hAnsi="Times New Roman"/>
                <w:color w:val="FF0000"/>
                <w:sz w:val="20"/>
                <w:szCs w:val="20"/>
                <w:lang w:val="lt-LT"/>
              </w:rPr>
            </w:pPr>
            <w:r w:rsidRPr="00451A59">
              <w:rPr>
                <w:rFonts w:ascii="Times New Roman" w:hAnsi="Times New Roman"/>
                <w:color w:val="FF0000"/>
                <w:sz w:val="20"/>
                <w:szCs w:val="20"/>
                <w:lang w:val="lt-LT"/>
              </w:rPr>
              <w:t>neįvykdytas</w:t>
            </w:r>
          </w:p>
        </w:tc>
        <w:tc>
          <w:tcPr>
            <w:tcW w:w="3135" w:type="dxa"/>
            <w:shd w:val="clear" w:color="auto" w:fill="FFFFFF" w:themeFill="background1"/>
            <w:tcMar>
              <w:top w:w="0" w:type="dxa"/>
              <w:left w:w="108" w:type="dxa"/>
              <w:bottom w:w="0" w:type="dxa"/>
              <w:right w:w="108" w:type="dxa"/>
            </w:tcMar>
            <w:vAlign w:val="center"/>
          </w:tcPr>
          <w:p w14:paraId="28D22751" w14:textId="77777777" w:rsidR="00451A59" w:rsidRPr="00451A59" w:rsidRDefault="00451A59" w:rsidP="00451A59">
            <w:pPr>
              <w:keepNext/>
              <w:shd w:val="clear" w:color="auto" w:fill="FFFFFF" w:themeFill="background1"/>
              <w:spacing w:before="80" w:after="40" w:line="228" w:lineRule="auto"/>
              <w:jc w:val="both"/>
              <w:rPr>
                <w:rFonts w:ascii="Times New Roman" w:hAnsi="Times New Roman"/>
                <w:spacing w:val="-3"/>
                <w:sz w:val="18"/>
                <w:szCs w:val="18"/>
                <w:lang w:val="lt-LT"/>
              </w:rPr>
            </w:pPr>
            <w:r w:rsidRPr="00451A59">
              <w:rPr>
                <w:rFonts w:ascii="Times New Roman" w:hAnsi="Times New Roman"/>
                <w:spacing w:val="-3"/>
                <w:sz w:val="18"/>
                <w:szCs w:val="18"/>
                <w:lang w:val="lt-LT"/>
              </w:rPr>
              <w:t xml:space="preserve">Techninė specifikacija parengta ir suderinta su Pirkimo ir sutarčių skyriumi. </w:t>
            </w:r>
          </w:p>
          <w:p w14:paraId="213B0DD1" w14:textId="77777777"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hAnsi="Times New Roman"/>
                <w:spacing w:val="-3"/>
                <w:sz w:val="18"/>
                <w:szCs w:val="18"/>
                <w:lang w:val="lt-LT"/>
              </w:rPr>
              <w:t>Atsižvelgiant į tai, kad pirkimas bus finansuojamas ne iš Nacionalinio fondo ar VĮ IAE lėšų kaip buvo planuojama, o iš Ignalinos programos fondo, techninė specifikacija, prieš ją registruojant, turi būti suderinta su CPVA.</w:t>
            </w:r>
          </w:p>
        </w:tc>
      </w:tr>
      <w:tr w:rsidR="00451A59" w:rsidRPr="00451A59" w14:paraId="225276EE" w14:textId="77777777" w:rsidTr="00D7567A">
        <w:trPr>
          <w:trHeight w:val="404"/>
        </w:trPr>
        <w:tc>
          <w:tcPr>
            <w:tcW w:w="694" w:type="dxa"/>
            <w:tcBorders>
              <w:top w:val="single" w:sz="4" w:space="0" w:color="auto"/>
            </w:tcBorders>
            <w:tcMar>
              <w:top w:w="0" w:type="dxa"/>
              <w:left w:w="108" w:type="dxa"/>
              <w:bottom w:w="0" w:type="dxa"/>
              <w:right w:w="108" w:type="dxa"/>
            </w:tcMar>
            <w:vAlign w:val="center"/>
          </w:tcPr>
          <w:p w14:paraId="69A55ADC"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79B8D5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758A90F4"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5FE7E9FC"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 Atlikti saulės elektrinės įrengimo ekonominį įvertinimą</w:t>
            </w:r>
          </w:p>
        </w:tc>
        <w:tc>
          <w:tcPr>
            <w:tcW w:w="851" w:type="dxa"/>
            <w:shd w:val="clear" w:color="auto" w:fill="FFFFFF" w:themeFill="background1"/>
            <w:vAlign w:val="center"/>
          </w:tcPr>
          <w:p w14:paraId="5F08407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5A9CE4F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Atliktas įvertinimas</w:t>
            </w:r>
          </w:p>
        </w:tc>
        <w:tc>
          <w:tcPr>
            <w:tcW w:w="1276" w:type="dxa"/>
            <w:shd w:val="clear" w:color="auto" w:fill="FFFFFF" w:themeFill="background1"/>
            <w:tcMar>
              <w:top w:w="0" w:type="dxa"/>
              <w:left w:w="108" w:type="dxa"/>
              <w:bottom w:w="0" w:type="dxa"/>
              <w:right w:w="108" w:type="dxa"/>
            </w:tcMar>
            <w:vAlign w:val="center"/>
          </w:tcPr>
          <w:p w14:paraId="500A027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2B0CBA4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19D55E4" w14:textId="77777777" w:rsidTr="00D7567A">
        <w:trPr>
          <w:trHeight w:val="404"/>
        </w:trPr>
        <w:tc>
          <w:tcPr>
            <w:tcW w:w="694" w:type="dxa"/>
            <w:tcBorders>
              <w:top w:val="single" w:sz="4" w:space="0" w:color="auto"/>
            </w:tcBorders>
            <w:tcMar>
              <w:top w:w="0" w:type="dxa"/>
              <w:left w:w="108" w:type="dxa"/>
              <w:bottom w:w="0" w:type="dxa"/>
              <w:right w:w="108" w:type="dxa"/>
            </w:tcMar>
            <w:vAlign w:val="center"/>
          </w:tcPr>
          <w:p w14:paraId="50A95317"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tcMar>
              <w:top w:w="0" w:type="dxa"/>
              <w:left w:w="108" w:type="dxa"/>
              <w:bottom w:w="0" w:type="dxa"/>
              <w:right w:w="108" w:type="dxa"/>
            </w:tcMar>
            <w:vAlign w:val="center"/>
          </w:tcPr>
          <w:p w14:paraId="0AE56FE7"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9.</w:t>
            </w:r>
          </w:p>
        </w:tc>
        <w:tc>
          <w:tcPr>
            <w:tcW w:w="2533" w:type="dxa"/>
            <w:vAlign w:val="center"/>
          </w:tcPr>
          <w:p w14:paraId="1F029C87"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423BB5F1"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b/>
                <w:i/>
                <w:color w:val="000000"/>
                <w:spacing w:val="-3"/>
                <w:sz w:val="20"/>
                <w:szCs w:val="20"/>
                <w:lang w:val="lt-LT"/>
              </w:rPr>
              <w:t>(R16)</w:t>
            </w:r>
            <w:r w:rsidRPr="00451A59">
              <w:rPr>
                <w:rFonts w:ascii="Times New Roman" w:hAnsi="Times New Roman"/>
                <w:i/>
                <w:color w:val="000000"/>
                <w:spacing w:val="-3"/>
                <w:sz w:val="20"/>
                <w:szCs w:val="20"/>
                <w:lang w:val="lt-LT"/>
              </w:rPr>
              <w:t xml:space="preserve"> –</w:t>
            </w:r>
            <w:r w:rsidRPr="00451A59">
              <w:rPr>
                <w:rFonts w:ascii="Times New Roman" w:hAnsi="Times New Roman"/>
                <w:color w:val="000000"/>
                <w:spacing w:val="-3"/>
                <w:sz w:val="20"/>
                <w:szCs w:val="20"/>
                <w:lang w:val="lt-LT"/>
              </w:rPr>
              <w:t xml:space="preserve"> lėšų adekvatumo rodiklis</w:t>
            </w:r>
          </w:p>
        </w:tc>
        <w:tc>
          <w:tcPr>
            <w:tcW w:w="851" w:type="dxa"/>
            <w:shd w:val="clear" w:color="auto" w:fill="FFFFFF" w:themeFill="background1"/>
            <w:vAlign w:val="center"/>
          </w:tcPr>
          <w:p w14:paraId="07BFC2A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vAlign w:val="center"/>
          </w:tcPr>
          <w:p w14:paraId="629B7448" w14:textId="77777777" w:rsidR="00451A59" w:rsidRPr="00451A59" w:rsidRDefault="00451A59" w:rsidP="00451A59">
            <w:pPr>
              <w:shd w:val="clear" w:color="auto" w:fill="FFFFFF" w:themeFill="background1"/>
              <w:rPr>
                <w:rFonts w:ascii="Times New Roman" w:hAnsi="Times New Roman"/>
                <w:sz w:val="20"/>
                <w:szCs w:val="20"/>
                <w:lang w:val="lt-LT"/>
              </w:rPr>
            </w:pPr>
          </w:p>
        </w:tc>
        <w:tc>
          <w:tcPr>
            <w:tcW w:w="1276" w:type="dxa"/>
            <w:shd w:val="clear" w:color="auto" w:fill="FFFFFF" w:themeFill="background1"/>
            <w:tcMar>
              <w:top w:w="0" w:type="dxa"/>
              <w:left w:w="108" w:type="dxa"/>
              <w:bottom w:w="0" w:type="dxa"/>
              <w:right w:w="108" w:type="dxa"/>
            </w:tcMar>
            <w:vAlign w:val="center"/>
          </w:tcPr>
          <w:p w14:paraId="00C8D26A" w14:textId="77777777" w:rsidR="00451A59" w:rsidRPr="00451A59" w:rsidRDefault="00451A59" w:rsidP="00451A59">
            <w:pPr>
              <w:shd w:val="clear" w:color="auto" w:fill="FFFFFF" w:themeFill="background1"/>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33CE155"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0DAF3FBD" w14:textId="77777777" w:rsidTr="00D7567A">
        <w:trPr>
          <w:trHeight w:val="404"/>
        </w:trPr>
        <w:tc>
          <w:tcPr>
            <w:tcW w:w="694" w:type="dxa"/>
            <w:tcBorders>
              <w:top w:val="single" w:sz="4" w:space="0" w:color="auto"/>
            </w:tcBorders>
            <w:tcMar>
              <w:top w:w="0" w:type="dxa"/>
              <w:left w:w="108" w:type="dxa"/>
              <w:bottom w:w="0" w:type="dxa"/>
              <w:right w:w="108" w:type="dxa"/>
            </w:tcMar>
            <w:vAlign w:val="center"/>
          </w:tcPr>
          <w:p w14:paraId="4BF4F344"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rPr>
                <w:rFonts w:ascii="Times New Roman" w:eastAsia="Calibri" w:hAnsi="Times New Roman"/>
                <w:sz w:val="20"/>
                <w:szCs w:val="20"/>
              </w:rPr>
            </w:pPr>
          </w:p>
        </w:tc>
        <w:tc>
          <w:tcPr>
            <w:tcW w:w="992" w:type="dxa"/>
            <w:tcMar>
              <w:top w:w="0" w:type="dxa"/>
              <w:left w:w="108" w:type="dxa"/>
              <w:bottom w:w="0" w:type="dxa"/>
              <w:right w:w="108" w:type="dxa"/>
            </w:tcMar>
            <w:vAlign w:val="center"/>
          </w:tcPr>
          <w:p w14:paraId="0F255B5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9.1.1</w:t>
            </w:r>
          </w:p>
        </w:tc>
        <w:tc>
          <w:tcPr>
            <w:tcW w:w="2533" w:type="dxa"/>
            <w:vAlign w:val="center"/>
          </w:tcPr>
          <w:p w14:paraId="272EA23A"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color w:val="000000"/>
                <w:sz w:val="20"/>
                <w:szCs w:val="20"/>
                <w:lang w:val="lt-LT"/>
              </w:rPr>
              <w:t>Rengti savalaikiai finansavimo poreikio dokumentus</w:t>
            </w:r>
          </w:p>
        </w:tc>
        <w:tc>
          <w:tcPr>
            <w:tcW w:w="3260" w:type="dxa"/>
            <w:vAlign w:val="center"/>
          </w:tcPr>
          <w:p w14:paraId="431261B0" w14:textId="77777777" w:rsidR="00451A59" w:rsidRPr="00451A59" w:rsidRDefault="00451A59" w:rsidP="00451A59">
            <w:pPr>
              <w:shd w:val="clear" w:color="auto" w:fill="FFFFFF" w:themeFill="background1"/>
              <w:ind w:left="107" w:right="141"/>
              <w:rPr>
                <w:rFonts w:ascii="Times New Roman" w:hAnsi="Times New Roman"/>
                <w:b/>
                <w:i/>
                <w:color w:val="000000"/>
                <w:spacing w:val="-3"/>
                <w:sz w:val="20"/>
                <w:szCs w:val="20"/>
                <w:lang w:val="lt-LT"/>
              </w:rPr>
            </w:pPr>
            <w:r w:rsidRPr="00451A59">
              <w:rPr>
                <w:rFonts w:ascii="Times New Roman" w:hAnsi="Times New Roman"/>
                <w:color w:val="000000"/>
                <w:spacing w:val="-3"/>
                <w:sz w:val="20"/>
                <w:szCs w:val="20"/>
                <w:lang w:val="lt-LT"/>
              </w:rPr>
              <w:t>lėšų adekvatumo rodiklis</w:t>
            </w:r>
          </w:p>
        </w:tc>
        <w:tc>
          <w:tcPr>
            <w:tcW w:w="851" w:type="dxa"/>
            <w:shd w:val="clear" w:color="auto" w:fill="FFFFFF" w:themeFill="background1"/>
            <w:vAlign w:val="center"/>
          </w:tcPr>
          <w:p w14:paraId="333A75E1"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IV</w:t>
            </w:r>
          </w:p>
        </w:tc>
        <w:tc>
          <w:tcPr>
            <w:tcW w:w="1436" w:type="dxa"/>
            <w:shd w:val="clear" w:color="auto" w:fill="FFFFFF" w:themeFill="background1"/>
            <w:vAlign w:val="center"/>
          </w:tcPr>
          <w:p w14:paraId="64C90384" w14:textId="77777777" w:rsidR="00451A59" w:rsidRPr="00451A59" w:rsidRDefault="00451A59" w:rsidP="00451A59">
            <w:pPr>
              <w:shd w:val="clear" w:color="auto" w:fill="FFFFFF" w:themeFill="background1"/>
              <w:rPr>
                <w:rFonts w:ascii="Times New Roman" w:hAnsi="Times New Roman"/>
                <w:sz w:val="20"/>
                <w:szCs w:val="20"/>
                <w:lang w:val="lt-LT"/>
              </w:rPr>
            </w:pPr>
            <w:r w:rsidRPr="00451A59">
              <w:rPr>
                <w:rFonts w:ascii="Times New Roman" w:hAnsi="Times New Roman"/>
                <w:sz w:val="20"/>
                <w:szCs w:val="20"/>
                <w:lang w:val="lt-LT"/>
              </w:rPr>
              <w:t>100%</w:t>
            </w:r>
          </w:p>
        </w:tc>
        <w:tc>
          <w:tcPr>
            <w:tcW w:w="1276" w:type="dxa"/>
            <w:shd w:val="clear" w:color="auto" w:fill="FFFFFF" w:themeFill="background1"/>
            <w:tcMar>
              <w:top w:w="0" w:type="dxa"/>
              <w:left w:w="108" w:type="dxa"/>
              <w:bottom w:w="0" w:type="dxa"/>
              <w:right w:w="108" w:type="dxa"/>
            </w:tcMar>
            <w:vAlign w:val="center"/>
          </w:tcPr>
          <w:p w14:paraId="0E98C36F" w14:textId="77777777" w:rsidR="00451A59" w:rsidRPr="00451A59" w:rsidRDefault="00451A59" w:rsidP="00451A59">
            <w:pPr>
              <w:shd w:val="clear" w:color="auto" w:fill="FFFFFF" w:themeFill="background1"/>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158E430E"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47C484BE" w14:textId="77777777" w:rsidTr="00D7567A">
        <w:trPr>
          <w:trHeight w:val="550"/>
        </w:trPr>
        <w:tc>
          <w:tcPr>
            <w:tcW w:w="694" w:type="dxa"/>
            <w:tcMar>
              <w:top w:w="0" w:type="dxa"/>
              <w:left w:w="108" w:type="dxa"/>
              <w:bottom w:w="0" w:type="dxa"/>
              <w:right w:w="108" w:type="dxa"/>
            </w:tcMar>
            <w:vAlign w:val="center"/>
          </w:tcPr>
          <w:p w14:paraId="172CEC5C" w14:textId="77777777" w:rsidR="00451A59" w:rsidRPr="00451A59" w:rsidRDefault="00451A59" w:rsidP="00451A59">
            <w:pPr>
              <w:shd w:val="clear" w:color="auto" w:fill="FFFFFF" w:themeFill="background1"/>
              <w:tabs>
                <w:tab w:val="left" w:pos="142"/>
              </w:tabs>
              <w:spacing w:after="120" w:line="252" w:lineRule="auto"/>
              <w:ind w:left="360"/>
              <w:jc w:val="center"/>
              <w:rPr>
                <w:rFonts w:ascii="Times New Roman" w:eastAsia="Calibri" w:hAnsi="Times New Roman"/>
                <w:sz w:val="20"/>
                <w:szCs w:val="20"/>
                <w:lang w:val="lt-LT"/>
              </w:rPr>
            </w:pPr>
          </w:p>
        </w:tc>
        <w:tc>
          <w:tcPr>
            <w:tcW w:w="992" w:type="dxa"/>
            <w:vMerge w:val="restart"/>
            <w:tcMar>
              <w:top w:w="0" w:type="dxa"/>
              <w:left w:w="108" w:type="dxa"/>
              <w:bottom w:w="0" w:type="dxa"/>
              <w:right w:w="108" w:type="dxa"/>
            </w:tcMar>
            <w:vAlign w:val="center"/>
          </w:tcPr>
          <w:p w14:paraId="31744FD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9.1.2</w:t>
            </w:r>
          </w:p>
        </w:tc>
        <w:tc>
          <w:tcPr>
            <w:tcW w:w="2533" w:type="dxa"/>
            <w:vMerge w:val="restart"/>
            <w:vAlign w:val="center"/>
          </w:tcPr>
          <w:p w14:paraId="562739A7"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Gauti pajamas parduodant pripažintą nereikalingu arba netinkamu (negalimu) naudoti įmonės turtą bei vykdant investicinę ir kitą ūkinę veiklą</w:t>
            </w:r>
          </w:p>
        </w:tc>
        <w:tc>
          <w:tcPr>
            <w:tcW w:w="3260" w:type="dxa"/>
            <w:vMerge w:val="restart"/>
            <w:vAlign w:val="center"/>
          </w:tcPr>
          <w:p w14:paraId="39DB9A01"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r w:rsidRPr="00451A59">
              <w:rPr>
                <w:rFonts w:ascii="Times New Roman" w:hAnsi="Times New Roman"/>
                <w:sz w:val="20"/>
                <w:szCs w:val="20"/>
                <w:lang w:val="lt-LT"/>
              </w:rPr>
              <w:t>1.Gautos pajamos, ne mažiau nei</w:t>
            </w:r>
          </w:p>
        </w:tc>
        <w:tc>
          <w:tcPr>
            <w:tcW w:w="851" w:type="dxa"/>
            <w:shd w:val="clear" w:color="auto" w:fill="FFFFFF" w:themeFill="background1"/>
            <w:vAlign w:val="center"/>
          </w:tcPr>
          <w:p w14:paraId="38AFE62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w:t>
            </w:r>
          </w:p>
        </w:tc>
        <w:tc>
          <w:tcPr>
            <w:tcW w:w="1436" w:type="dxa"/>
            <w:shd w:val="clear" w:color="auto" w:fill="FFFFFF" w:themeFill="background1"/>
            <w:vAlign w:val="center"/>
          </w:tcPr>
          <w:p w14:paraId="4F1CBB6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0,47 mln. Eurų</w:t>
            </w:r>
          </w:p>
        </w:tc>
        <w:tc>
          <w:tcPr>
            <w:tcW w:w="1276" w:type="dxa"/>
            <w:shd w:val="clear" w:color="auto" w:fill="FFFFFF" w:themeFill="background1"/>
            <w:tcMar>
              <w:top w:w="0" w:type="dxa"/>
              <w:left w:w="108" w:type="dxa"/>
              <w:bottom w:w="0" w:type="dxa"/>
              <w:right w:w="108" w:type="dxa"/>
            </w:tcMar>
            <w:vAlign w:val="center"/>
          </w:tcPr>
          <w:p w14:paraId="1C4D834F"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4B325F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5D2ABDA1" w14:textId="77777777" w:rsidTr="00D7567A">
        <w:trPr>
          <w:trHeight w:val="545"/>
        </w:trPr>
        <w:tc>
          <w:tcPr>
            <w:tcW w:w="694" w:type="dxa"/>
            <w:tcMar>
              <w:top w:w="0" w:type="dxa"/>
              <w:left w:w="108" w:type="dxa"/>
              <w:bottom w:w="0" w:type="dxa"/>
              <w:right w:w="108" w:type="dxa"/>
            </w:tcMar>
            <w:vAlign w:val="center"/>
          </w:tcPr>
          <w:p w14:paraId="59254B35" w14:textId="77777777" w:rsidR="00451A59" w:rsidRPr="00451A59" w:rsidRDefault="00451A59" w:rsidP="00451A59">
            <w:pPr>
              <w:shd w:val="clear" w:color="auto" w:fill="FFFFFF" w:themeFill="background1"/>
              <w:tabs>
                <w:tab w:val="left" w:pos="142"/>
              </w:tabs>
              <w:spacing w:after="120" w:line="252" w:lineRule="auto"/>
              <w:ind w:left="360"/>
              <w:jc w:val="center"/>
              <w:rPr>
                <w:rFonts w:ascii="Times New Roman" w:eastAsia="Calibri" w:hAnsi="Times New Roman"/>
                <w:sz w:val="20"/>
                <w:szCs w:val="20"/>
                <w:lang w:val="lt-LT"/>
              </w:rPr>
            </w:pPr>
          </w:p>
        </w:tc>
        <w:tc>
          <w:tcPr>
            <w:tcW w:w="992" w:type="dxa"/>
            <w:vMerge/>
            <w:tcMar>
              <w:top w:w="0" w:type="dxa"/>
              <w:left w:w="108" w:type="dxa"/>
              <w:bottom w:w="0" w:type="dxa"/>
              <w:right w:w="108" w:type="dxa"/>
            </w:tcMar>
            <w:vAlign w:val="center"/>
          </w:tcPr>
          <w:p w14:paraId="06C31676"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541570E"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36B571AE"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shd w:val="clear" w:color="auto" w:fill="FFFFFF" w:themeFill="background1"/>
            <w:vAlign w:val="center"/>
          </w:tcPr>
          <w:p w14:paraId="69D6DF8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shd w:val="clear" w:color="auto" w:fill="FFFFFF" w:themeFill="background1"/>
            <w:vAlign w:val="center"/>
          </w:tcPr>
          <w:p w14:paraId="734A042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0,94 mln. Eurų</w:t>
            </w:r>
          </w:p>
        </w:tc>
        <w:tc>
          <w:tcPr>
            <w:tcW w:w="1276" w:type="dxa"/>
            <w:shd w:val="clear" w:color="auto" w:fill="FFFFFF" w:themeFill="background1"/>
            <w:tcMar>
              <w:top w:w="0" w:type="dxa"/>
              <w:left w:w="108" w:type="dxa"/>
              <w:bottom w:w="0" w:type="dxa"/>
              <w:right w:w="108" w:type="dxa"/>
            </w:tcMar>
            <w:vAlign w:val="center"/>
          </w:tcPr>
          <w:p w14:paraId="798F0CC8"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7FEA5E2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22079BFB" w14:textId="77777777" w:rsidTr="00D7567A">
        <w:trPr>
          <w:trHeight w:val="545"/>
        </w:trPr>
        <w:tc>
          <w:tcPr>
            <w:tcW w:w="694" w:type="dxa"/>
            <w:shd w:val="clear" w:color="auto" w:fill="FFFFFF" w:themeFill="background1"/>
            <w:tcMar>
              <w:top w:w="0" w:type="dxa"/>
              <w:left w:w="108" w:type="dxa"/>
              <w:bottom w:w="0" w:type="dxa"/>
              <w:right w:w="108" w:type="dxa"/>
            </w:tcMar>
            <w:vAlign w:val="center"/>
          </w:tcPr>
          <w:p w14:paraId="4BB9C3FF"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0A0E6C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7C32628"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Merge/>
            <w:vAlign w:val="center"/>
          </w:tcPr>
          <w:p w14:paraId="049BA4A7" w14:textId="77777777" w:rsidR="00451A59" w:rsidRPr="00451A59" w:rsidRDefault="00451A59" w:rsidP="00451A59">
            <w:pPr>
              <w:shd w:val="clear" w:color="auto" w:fill="FFFFFF" w:themeFill="background1"/>
              <w:ind w:left="107" w:right="141"/>
              <w:rPr>
                <w:rFonts w:ascii="Times New Roman" w:hAnsi="Times New Roman"/>
                <w:sz w:val="20"/>
                <w:szCs w:val="20"/>
                <w:lang w:val="lt-LT"/>
              </w:rPr>
            </w:pPr>
          </w:p>
        </w:tc>
        <w:tc>
          <w:tcPr>
            <w:tcW w:w="851" w:type="dxa"/>
            <w:shd w:val="clear" w:color="auto" w:fill="FFFFFF" w:themeFill="background1"/>
            <w:vAlign w:val="center"/>
          </w:tcPr>
          <w:p w14:paraId="62083F2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716BCCFA" w14:textId="77777777" w:rsidR="00451A59" w:rsidRPr="00451A59" w:rsidRDefault="00451A59" w:rsidP="00451A59">
            <w:pPr>
              <w:shd w:val="clear" w:color="auto" w:fill="FFFFFF" w:themeFill="background1"/>
              <w:rPr>
                <w:rFonts w:ascii="Times New Roman" w:hAnsi="Times New Roman"/>
                <w:spacing w:val="-3"/>
                <w:sz w:val="20"/>
                <w:szCs w:val="20"/>
                <w:lang w:val="lt-LT"/>
              </w:rPr>
            </w:pPr>
            <w:r w:rsidRPr="00451A59">
              <w:rPr>
                <w:rFonts w:ascii="Times New Roman" w:hAnsi="Times New Roman"/>
                <w:spacing w:val="-3"/>
                <w:sz w:val="20"/>
                <w:szCs w:val="20"/>
                <w:lang w:val="lt-LT"/>
              </w:rPr>
              <w:t>1,3 mln. eurų</w:t>
            </w:r>
          </w:p>
        </w:tc>
        <w:tc>
          <w:tcPr>
            <w:tcW w:w="1276" w:type="dxa"/>
            <w:shd w:val="clear" w:color="auto" w:fill="FFFFFF" w:themeFill="background1"/>
            <w:tcMar>
              <w:top w:w="0" w:type="dxa"/>
              <w:left w:w="108" w:type="dxa"/>
              <w:bottom w:w="0" w:type="dxa"/>
              <w:right w:w="108" w:type="dxa"/>
            </w:tcMar>
            <w:vAlign w:val="center"/>
          </w:tcPr>
          <w:p w14:paraId="4FA37EC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4E4401D8"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z w:val="20"/>
                <w:szCs w:val="20"/>
                <w:lang w:val="lt-LT"/>
              </w:rPr>
              <w:t>-</w:t>
            </w:r>
          </w:p>
        </w:tc>
      </w:tr>
      <w:tr w:rsidR="00451A59" w:rsidRPr="00451A59" w14:paraId="08EE7D79" w14:textId="77777777" w:rsidTr="00D7567A">
        <w:trPr>
          <w:trHeight w:val="978"/>
        </w:trPr>
        <w:tc>
          <w:tcPr>
            <w:tcW w:w="694" w:type="dxa"/>
            <w:tcMar>
              <w:top w:w="0" w:type="dxa"/>
              <w:left w:w="108" w:type="dxa"/>
              <w:bottom w:w="0" w:type="dxa"/>
              <w:right w:w="108" w:type="dxa"/>
            </w:tcMar>
            <w:vAlign w:val="center"/>
          </w:tcPr>
          <w:p w14:paraId="18F79DDD"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E6FEB2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69DC030"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7CE2DD1B"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 Pateikti Energetikos ministerijai radioaktyviųjų atliekų darytojų radioaktyviųjų atliekų tvarkymo darbų sąnaudų apskaičiavimo metodiką bei pagal ją apskaičiuoti tarifus</w:t>
            </w:r>
          </w:p>
        </w:tc>
        <w:tc>
          <w:tcPr>
            <w:tcW w:w="851" w:type="dxa"/>
            <w:vAlign w:val="center"/>
          </w:tcPr>
          <w:p w14:paraId="264955B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6669049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Pateikta metodika</w:t>
            </w:r>
          </w:p>
        </w:tc>
        <w:tc>
          <w:tcPr>
            <w:tcW w:w="1276" w:type="dxa"/>
            <w:tcMar>
              <w:top w:w="0" w:type="dxa"/>
              <w:left w:w="108" w:type="dxa"/>
              <w:bottom w:w="0" w:type="dxa"/>
              <w:right w:w="108" w:type="dxa"/>
            </w:tcMar>
            <w:vAlign w:val="center"/>
          </w:tcPr>
          <w:p w14:paraId="65E23C3E"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332E0E7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67CEC73" w14:textId="77777777" w:rsidTr="00D7567A">
        <w:trPr>
          <w:trHeight w:val="1416"/>
        </w:trPr>
        <w:tc>
          <w:tcPr>
            <w:tcW w:w="694" w:type="dxa"/>
            <w:shd w:val="clear" w:color="auto" w:fill="FFFFFF" w:themeFill="background1"/>
            <w:tcMar>
              <w:top w:w="0" w:type="dxa"/>
              <w:left w:w="108" w:type="dxa"/>
              <w:bottom w:w="0" w:type="dxa"/>
              <w:right w:w="108" w:type="dxa"/>
            </w:tcMar>
            <w:vAlign w:val="center"/>
          </w:tcPr>
          <w:p w14:paraId="405036F1"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05886E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3F3D27F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vAlign w:val="center"/>
          </w:tcPr>
          <w:p w14:paraId="2832D77E" w14:textId="77777777" w:rsidR="00451A59" w:rsidRPr="00451A59" w:rsidRDefault="00451A59" w:rsidP="00451A59">
            <w:pPr>
              <w:shd w:val="clear" w:color="auto" w:fill="FFFFFF" w:themeFill="background1"/>
              <w:ind w:left="155" w:right="141"/>
              <w:jc w:val="both"/>
              <w:rPr>
                <w:rFonts w:ascii="Times New Roman" w:hAnsi="Times New Roman"/>
                <w:sz w:val="20"/>
                <w:szCs w:val="20"/>
                <w:lang w:val="lt-LT"/>
              </w:rPr>
            </w:pPr>
            <w:r w:rsidRPr="00451A59">
              <w:rPr>
                <w:rFonts w:ascii="Times New Roman" w:hAnsi="Times New Roman"/>
                <w:sz w:val="20"/>
                <w:szCs w:val="20"/>
                <w:lang w:val="lt-LT"/>
              </w:rPr>
              <w:t>3.Pateikti Energetikos ministerijai auditorių išvadas dėl Radioaktyviųjų atliekų darytojų radioaktyviųjų atliekų tvarkymo darbų sąnaudų apskaičiavimo metodikos bei pagal ją apskaičiuotų tarifų tinkamumo</w:t>
            </w:r>
          </w:p>
        </w:tc>
        <w:tc>
          <w:tcPr>
            <w:tcW w:w="851" w:type="dxa"/>
            <w:shd w:val="clear" w:color="auto" w:fill="FFFFFF" w:themeFill="background1"/>
            <w:vAlign w:val="center"/>
          </w:tcPr>
          <w:p w14:paraId="4181CF6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2BFF2320"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c>
          <w:tcPr>
            <w:tcW w:w="1276" w:type="dxa"/>
            <w:shd w:val="clear" w:color="auto" w:fill="FFFFFF" w:themeFill="background1"/>
            <w:tcMar>
              <w:top w:w="0" w:type="dxa"/>
              <w:left w:w="108" w:type="dxa"/>
              <w:bottom w:w="0" w:type="dxa"/>
              <w:right w:w="108" w:type="dxa"/>
            </w:tcMar>
            <w:vAlign w:val="center"/>
          </w:tcPr>
          <w:p w14:paraId="75F341A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102A013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37B8FE12" w14:textId="77777777" w:rsidTr="00D7567A">
        <w:trPr>
          <w:trHeight w:val="578"/>
        </w:trPr>
        <w:tc>
          <w:tcPr>
            <w:tcW w:w="694" w:type="dxa"/>
            <w:shd w:val="clear" w:color="auto" w:fill="FFFFFF" w:themeFill="background1"/>
            <w:tcMar>
              <w:top w:w="0" w:type="dxa"/>
              <w:left w:w="108" w:type="dxa"/>
              <w:bottom w:w="0" w:type="dxa"/>
              <w:right w:w="108" w:type="dxa"/>
            </w:tcMar>
            <w:vAlign w:val="center"/>
          </w:tcPr>
          <w:p w14:paraId="7187D955"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03A97EC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10.1</w:t>
            </w:r>
          </w:p>
        </w:tc>
        <w:tc>
          <w:tcPr>
            <w:tcW w:w="2533" w:type="dxa"/>
            <w:vAlign w:val="center"/>
          </w:tcPr>
          <w:p w14:paraId="187062BF"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tcPr>
          <w:p w14:paraId="2A88E871" w14:textId="77777777" w:rsidR="00451A59" w:rsidRPr="00451A59" w:rsidRDefault="00451A59" w:rsidP="00451A59">
            <w:pPr>
              <w:shd w:val="clear" w:color="auto" w:fill="FFFFFF" w:themeFill="background1"/>
              <w:ind w:left="155" w:right="141"/>
              <w:jc w:val="both"/>
              <w:rPr>
                <w:rFonts w:ascii="Times New Roman" w:hAnsi="Times New Roman"/>
                <w:sz w:val="20"/>
                <w:szCs w:val="20"/>
                <w:lang w:val="lt-LT"/>
              </w:rPr>
            </w:pPr>
            <w:r w:rsidRPr="00451A59">
              <w:rPr>
                <w:rFonts w:ascii="Times New Roman" w:hAnsi="Times New Roman"/>
                <w:b/>
                <w:i/>
                <w:color w:val="000000"/>
                <w:spacing w:val="-3"/>
                <w:sz w:val="20"/>
                <w:szCs w:val="20"/>
                <w:lang w:val="lt-LT"/>
              </w:rPr>
              <w:t>Rodiklis (R18)</w:t>
            </w:r>
            <w:r w:rsidRPr="00451A59">
              <w:rPr>
                <w:rFonts w:ascii="Times New Roman" w:hAnsi="Times New Roman"/>
                <w:color w:val="000000"/>
                <w:spacing w:val="-3"/>
                <w:sz w:val="20"/>
                <w:szCs w:val="20"/>
                <w:lang w:val="lt-LT"/>
              </w:rPr>
              <w:t xml:space="preserve"> – vidutinio darbuotojų amžiaus pokytis, ne daugiau nei</w:t>
            </w:r>
          </w:p>
        </w:tc>
        <w:tc>
          <w:tcPr>
            <w:tcW w:w="851" w:type="dxa"/>
            <w:shd w:val="clear" w:color="auto" w:fill="FFFFFF" w:themeFill="background1"/>
          </w:tcPr>
          <w:p w14:paraId="614A139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71DE47D7"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0</w:t>
            </w:r>
          </w:p>
        </w:tc>
        <w:tc>
          <w:tcPr>
            <w:tcW w:w="1276" w:type="dxa"/>
            <w:shd w:val="clear" w:color="auto" w:fill="FFFFFF" w:themeFill="background1"/>
            <w:tcMar>
              <w:top w:w="0" w:type="dxa"/>
              <w:left w:w="108" w:type="dxa"/>
              <w:bottom w:w="0" w:type="dxa"/>
              <w:right w:w="108" w:type="dxa"/>
            </w:tcMar>
            <w:vAlign w:val="center"/>
          </w:tcPr>
          <w:p w14:paraId="777707F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2C78F76E"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385E91FF" w14:textId="77777777" w:rsidTr="00D7567A">
        <w:trPr>
          <w:trHeight w:val="700"/>
        </w:trPr>
        <w:tc>
          <w:tcPr>
            <w:tcW w:w="694" w:type="dxa"/>
            <w:shd w:val="clear" w:color="auto" w:fill="FFFFFF" w:themeFill="background1"/>
            <w:tcMar>
              <w:top w:w="0" w:type="dxa"/>
              <w:left w:w="108" w:type="dxa"/>
              <w:bottom w:w="0" w:type="dxa"/>
              <w:right w:w="108" w:type="dxa"/>
            </w:tcMar>
            <w:vAlign w:val="center"/>
          </w:tcPr>
          <w:p w14:paraId="4EF7BA7A"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10B9AE2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10.2</w:t>
            </w:r>
          </w:p>
        </w:tc>
        <w:tc>
          <w:tcPr>
            <w:tcW w:w="2533" w:type="dxa"/>
            <w:vAlign w:val="center"/>
          </w:tcPr>
          <w:p w14:paraId="3E5B64EA"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tcPr>
          <w:p w14:paraId="533B2ED0" w14:textId="77777777" w:rsidR="00451A59" w:rsidRPr="00451A59" w:rsidRDefault="00451A59" w:rsidP="00451A59">
            <w:pPr>
              <w:shd w:val="clear" w:color="auto" w:fill="FFFFFF" w:themeFill="background1"/>
              <w:ind w:left="155" w:right="141"/>
              <w:jc w:val="both"/>
              <w:rPr>
                <w:rFonts w:ascii="Times New Roman" w:hAnsi="Times New Roman"/>
                <w:sz w:val="20"/>
                <w:szCs w:val="20"/>
                <w:lang w:val="lt-LT"/>
              </w:rPr>
            </w:pPr>
            <w:r w:rsidRPr="00451A59">
              <w:rPr>
                <w:rFonts w:ascii="Times New Roman" w:hAnsi="Times New Roman"/>
                <w:b/>
                <w:i/>
                <w:color w:val="000000"/>
                <w:spacing w:val="-3"/>
                <w:sz w:val="20"/>
                <w:szCs w:val="20"/>
                <w:lang w:val="lt-LT"/>
              </w:rPr>
              <w:t>Rodiklis (R19)</w:t>
            </w:r>
            <w:r w:rsidRPr="00451A59">
              <w:rPr>
                <w:rFonts w:ascii="Times New Roman" w:hAnsi="Times New Roman"/>
                <w:color w:val="000000"/>
                <w:spacing w:val="-3"/>
                <w:sz w:val="20"/>
                <w:szCs w:val="20"/>
                <w:lang w:val="lt-LT"/>
              </w:rPr>
              <w:t xml:space="preserve"> – saugai svarbių pareigybių rezervo parengimo lygis, ne mažiau nei</w:t>
            </w:r>
          </w:p>
        </w:tc>
        <w:tc>
          <w:tcPr>
            <w:tcW w:w="851" w:type="dxa"/>
            <w:shd w:val="clear" w:color="auto" w:fill="FFFFFF" w:themeFill="background1"/>
          </w:tcPr>
          <w:p w14:paraId="207FB82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5EC995A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85 %</w:t>
            </w:r>
          </w:p>
        </w:tc>
        <w:tc>
          <w:tcPr>
            <w:tcW w:w="1276" w:type="dxa"/>
            <w:shd w:val="clear" w:color="auto" w:fill="FFFFFF" w:themeFill="background1"/>
            <w:tcMar>
              <w:top w:w="0" w:type="dxa"/>
              <w:left w:w="108" w:type="dxa"/>
              <w:bottom w:w="0" w:type="dxa"/>
              <w:right w:w="108" w:type="dxa"/>
            </w:tcMar>
            <w:vAlign w:val="center"/>
          </w:tcPr>
          <w:p w14:paraId="767EF27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7F27E3E4"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54C1D961" w14:textId="77777777" w:rsidTr="00D7567A">
        <w:trPr>
          <w:trHeight w:val="541"/>
        </w:trPr>
        <w:tc>
          <w:tcPr>
            <w:tcW w:w="694" w:type="dxa"/>
            <w:shd w:val="clear" w:color="auto" w:fill="FFFFFF" w:themeFill="background1"/>
            <w:tcMar>
              <w:top w:w="0" w:type="dxa"/>
              <w:left w:w="108" w:type="dxa"/>
              <w:bottom w:w="0" w:type="dxa"/>
              <w:right w:w="108" w:type="dxa"/>
            </w:tcMar>
            <w:vAlign w:val="center"/>
          </w:tcPr>
          <w:p w14:paraId="1F13BA55"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52E0086C"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10.3</w:t>
            </w:r>
          </w:p>
        </w:tc>
        <w:tc>
          <w:tcPr>
            <w:tcW w:w="2533" w:type="dxa"/>
            <w:vAlign w:val="center"/>
          </w:tcPr>
          <w:p w14:paraId="77B00441"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tcPr>
          <w:p w14:paraId="36A01678" w14:textId="77777777" w:rsidR="00451A59" w:rsidRPr="00451A59" w:rsidRDefault="00451A59" w:rsidP="00451A59">
            <w:pPr>
              <w:shd w:val="clear" w:color="auto" w:fill="FFFFFF" w:themeFill="background1"/>
              <w:ind w:left="155" w:right="141"/>
              <w:jc w:val="both"/>
              <w:rPr>
                <w:rFonts w:ascii="Times New Roman" w:hAnsi="Times New Roman"/>
                <w:sz w:val="20"/>
                <w:szCs w:val="20"/>
                <w:lang w:val="lt-LT"/>
              </w:rPr>
            </w:pPr>
            <w:r w:rsidRPr="00451A59">
              <w:rPr>
                <w:rFonts w:ascii="Times New Roman" w:hAnsi="Times New Roman"/>
                <w:b/>
                <w:i/>
                <w:color w:val="000000"/>
                <w:spacing w:val="-3"/>
                <w:sz w:val="20"/>
                <w:szCs w:val="20"/>
                <w:lang w:val="lt-LT"/>
              </w:rPr>
              <w:t>Rodiklis (R20)</w:t>
            </w:r>
            <w:r w:rsidRPr="00451A59">
              <w:rPr>
                <w:rFonts w:ascii="Times New Roman" w:hAnsi="Times New Roman"/>
                <w:color w:val="000000"/>
                <w:spacing w:val="-3"/>
                <w:sz w:val="20"/>
                <w:szCs w:val="20"/>
                <w:lang w:val="lt-LT"/>
              </w:rPr>
              <w:t xml:space="preserve"> – įmonės veiklai kritinių darbuotojų žinių išsaugojimo lygis, ne mažiau nei</w:t>
            </w:r>
          </w:p>
        </w:tc>
        <w:tc>
          <w:tcPr>
            <w:tcW w:w="851" w:type="dxa"/>
            <w:shd w:val="clear" w:color="auto" w:fill="FFFFFF" w:themeFill="background1"/>
          </w:tcPr>
          <w:p w14:paraId="368ABFF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03F2BCA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85 %</w:t>
            </w:r>
          </w:p>
        </w:tc>
        <w:tc>
          <w:tcPr>
            <w:tcW w:w="1276" w:type="dxa"/>
            <w:shd w:val="clear" w:color="auto" w:fill="FFFFFF" w:themeFill="background1"/>
            <w:tcMar>
              <w:top w:w="0" w:type="dxa"/>
              <w:left w:w="108" w:type="dxa"/>
              <w:bottom w:w="0" w:type="dxa"/>
              <w:right w:w="108" w:type="dxa"/>
            </w:tcMar>
            <w:vAlign w:val="center"/>
          </w:tcPr>
          <w:p w14:paraId="123AF67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7B0DA00C"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1804C315" w14:textId="77777777" w:rsidTr="00D7567A">
        <w:trPr>
          <w:trHeight w:val="692"/>
        </w:trPr>
        <w:tc>
          <w:tcPr>
            <w:tcW w:w="694" w:type="dxa"/>
            <w:shd w:val="clear" w:color="auto" w:fill="FFFFFF" w:themeFill="background1"/>
            <w:tcMar>
              <w:top w:w="0" w:type="dxa"/>
              <w:left w:w="108" w:type="dxa"/>
              <w:bottom w:w="0" w:type="dxa"/>
              <w:right w:w="108" w:type="dxa"/>
            </w:tcMar>
            <w:vAlign w:val="center"/>
          </w:tcPr>
          <w:p w14:paraId="2BBD432B"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16C695C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11.1</w:t>
            </w:r>
          </w:p>
        </w:tc>
        <w:tc>
          <w:tcPr>
            <w:tcW w:w="2533" w:type="dxa"/>
            <w:vAlign w:val="center"/>
          </w:tcPr>
          <w:p w14:paraId="5B6D9065"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tcPr>
          <w:p w14:paraId="15495201" w14:textId="77777777" w:rsidR="00451A59" w:rsidRPr="00451A59" w:rsidRDefault="00451A59" w:rsidP="00451A59">
            <w:pPr>
              <w:shd w:val="clear" w:color="auto" w:fill="FFFFFF" w:themeFill="background1"/>
              <w:ind w:left="155" w:right="141"/>
              <w:jc w:val="both"/>
              <w:rPr>
                <w:rFonts w:ascii="Times New Roman" w:hAnsi="Times New Roman"/>
                <w:sz w:val="20"/>
                <w:szCs w:val="20"/>
                <w:lang w:val="lt-LT"/>
              </w:rPr>
            </w:pPr>
            <w:r w:rsidRPr="00451A59">
              <w:rPr>
                <w:rFonts w:ascii="Times New Roman" w:hAnsi="Times New Roman"/>
                <w:b/>
                <w:i/>
                <w:color w:val="000000"/>
                <w:spacing w:val="-3"/>
                <w:sz w:val="20"/>
                <w:szCs w:val="20"/>
                <w:lang w:val="lt-LT"/>
              </w:rPr>
              <w:t>Rodiklis (R21)</w:t>
            </w:r>
            <w:r w:rsidRPr="00451A59">
              <w:rPr>
                <w:rFonts w:ascii="Times New Roman" w:hAnsi="Times New Roman"/>
                <w:color w:val="000000"/>
                <w:spacing w:val="-3"/>
                <w:sz w:val="20"/>
                <w:szCs w:val="20"/>
                <w:lang w:val="lt-LT"/>
              </w:rPr>
              <w:t xml:space="preserve"> – darbuotojų įsitraukimo rodiklis</w:t>
            </w:r>
          </w:p>
        </w:tc>
        <w:tc>
          <w:tcPr>
            <w:tcW w:w="851" w:type="dxa"/>
            <w:shd w:val="clear" w:color="auto" w:fill="FFFFFF" w:themeFill="background1"/>
          </w:tcPr>
          <w:p w14:paraId="38DBA5A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5D6E3DA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Atliktas tyrimas, parengta ataskaita</w:t>
            </w:r>
          </w:p>
        </w:tc>
        <w:tc>
          <w:tcPr>
            <w:tcW w:w="1276" w:type="dxa"/>
            <w:shd w:val="clear" w:color="auto" w:fill="FFFFFF" w:themeFill="background1"/>
            <w:tcMar>
              <w:top w:w="0" w:type="dxa"/>
              <w:left w:w="108" w:type="dxa"/>
              <w:bottom w:w="0" w:type="dxa"/>
              <w:right w:w="108" w:type="dxa"/>
            </w:tcMar>
          </w:tcPr>
          <w:p w14:paraId="6940D90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77D3EBAA"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4C07FFC5" w14:textId="77777777" w:rsidTr="00D7567A">
        <w:trPr>
          <w:trHeight w:val="695"/>
        </w:trPr>
        <w:tc>
          <w:tcPr>
            <w:tcW w:w="694" w:type="dxa"/>
            <w:shd w:val="clear" w:color="auto" w:fill="FFFFFF" w:themeFill="background1"/>
            <w:tcMar>
              <w:top w:w="0" w:type="dxa"/>
              <w:left w:w="108" w:type="dxa"/>
              <w:bottom w:w="0" w:type="dxa"/>
              <w:right w:w="108" w:type="dxa"/>
            </w:tcMar>
            <w:vAlign w:val="center"/>
          </w:tcPr>
          <w:p w14:paraId="09BCCCE1"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2B0C9BD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11.2</w:t>
            </w:r>
          </w:p>
        </w:tc>
        <w:tc>
          <w:tcPr>
            <w:tcW w:w="2533" w:type="dxa"/>
            <w:vAlign w:val="center"/>
          </w:tcPr>
          <w:p w14:paraId="1DC29717"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tcPr>
          <w:p w14:paraId="4D2B11FD" w14:textId="77777777" w:rsidR="00451A59" w:rsidRPr="00451A59" w:rsidRDefault="00451A59" w:rsidP="00451A59">
            <w:pPr>
              <w:shd w:val="clear" w:color="auto" w:fill="FFFFFF" w:themeFill="background1"/>
              <w:ind w:left="155" w:right="141"/>
              <w:jc w:val="both"/>
              <w:rPr>
                <w:rFonts w:ascii="Times New Roman" w:hAnsi="Times New Roman"/>
                <w:sz w:val="20"/>
                <w:szCs w:val="20"/>
                <w:lang w:val="lt-LT"/>
              </w:rPr>
            </w:pPr>
            <w:r w:rsidRPr="00451A59">
              <w:rPr>
                <w:rFonts w:ascii="Times New Roman" w:hAnsi="Times New Roman"/>
                <w:b/>
                <w:i/>
                <w:color w:val="000000"/>
                <w:spacing w:val="-3"/>
                <w:sz w:val="20"/>
                <w:szCs w:val="20"/>
                <w:lang w:val="lt-LT"/>
              </w:rPr>
              <w:t>Rodiklis (R22)</w:t>
            </w:r>
            <w:r w:rsidRPr="00451A59">
              <w:rPr>
                <w:rFonts w:ascii="Times New Roman" w:hAnsi="Times New Roman"/>
                <w:i/>
                <w:color w:val="000000"/>
                <w:spacing w:val="-3"/>
                <w:sz w:val="20"/>
                <w:szCs w:val="20"/>
                <w:lang w:val="lt-LT"/>
              </w:rPr>
              <w:t xml:space="preserve"> – </w:t>
            </w:r>
            <w:r w:rsidRPr="00451A59">
              <w:rPr>
                <w:rFonts w:ascii="Times New Roman" w:hAnsi="Times New Roman"/>
                <w:color w:val="000000"/>
                <w:spacing w:val="-3"/>
                <w:sz w:val="20"/>
                <w:szCs w:val="20"/>
                <w:lang w:val="lt-LT"/>
              </w:rPr>
              <w:t>koreguojančių priemonių įgyvendinimo lygis, ne mažiau nei</w:t>
            </w:r>
          </w:p>
        </w:tc>
        <w:tc>
          <w:tcPr>
            <w:tcW w:w="851" w:type="dxa"/>
            <w:shd w:val="clear" w:color="auto" w:fill="FFFFFF" w:themeFill="background1"/>
          </w:tcPr>
          <w:p w14:paraId="085DFF7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tcPr>
          <w:p w14:paraId="191D2E1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90 %</w:t>
            </w:r>
          </w:p>
        </w:tc>
        <w:tc>
          <w:tcPr>
            <w:tcW w:w="1276" w:type="dxa"/>
            <w:shd w:val="clear" w:color="auto" w:fill="FFFFFF" w:themeFill="background1"/>
            <w:tcMar>
              <w:top w:w="0" w:type="dxa"/>
              <w:left w:w="108" w:type="dxa"/>
              <w:bottom w:w="0" w:type="dxa"/>
              <w:right w:w="108" w:type="dxa"/>
            </w:tcMar>
          </w:tcPr>
          <w:p w14:paraId="0F7D6632"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58C65717"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2F3DF3" w14:paraId="6783E406" w14:textId="77777777" w:rsidTr="00D7567A">
        <w:trPr>
          <w:trHeight w:val="590"/>
        </w:trPr>
        <w:tc>
          <w:tcPr>
            <w:tcW w:w="694" w:type="dxa"/>
            <w:tcMar>
              <w:top w:w="0" w:type="dxa"/>
              <w:left w:w="108" w:type="dxa"/>
              <w:bottom w:w="0" w:type="dxa"/>
              <w:right w:w="108" w:type="dxa"/>
            </w:tcMar>
            <w:vAlign w:val="center"/>
          </w:tcPr>
          <w:p w14:paraId="69EC106A"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203EA945"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11.2.1</w:t>
            </w:r>
          </w:p>
        </w:tc>
        <w:tc>
          <w:tcPr>
            <w:tcW w:w="2533" w:type="dxa"/>
            <w:vMerge w:val="restart"/>
            <w:vAlign w:val="center"/>
          </w:tcPr>
          <w:p w14:paraId="1EF0921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Įdiegti į rezultatus orientuotą įmonės organizacinę struktūrą</w:t>
            </w:r>
          </w:p>
        </w:tc>
        <w:tc>
          <w:tcPr>
            <w:tcW w:w="3260" w:type="dxa"/>
            <w:vAlign w:val="center"/>
          </w:tcPr>
          <w:p w14:paraId="0E211D8D"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1. Parengtas įmonės organizacinės struktūros (Radiacinės saugos tarnybos pertvarkymas, įmonės laboratorijų centralizavimas ir kt.) projektas (planuota 2017 m.)</w:t>
            </w:r>
          </w:p>
        </w:tc>
        <w:tc>
          <w:tcPr>
            <w:tcW w:w="851" w:type="dxa"/>
            <w:vAlign w:val="center"/>
          </w:tcPr>
          <w:p w14:paraId="27776F9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2C016EC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Modifikacijos dokumentai pateikti VATESI</w:t>
            </w:r>
          </w:p>
        </w:tc>
        <w:tc>
          <w:tcPr>
            <w:tcW w:w="1276" w:type="dxa"/>
            <w:shd w:val="clear" w:color="auto" w:fill="FFFFFF" w:themeFill="background1"/>
            <w:tcMar>
              <w:top w:w="0" w:type="dxa"/>
              <w:left w:w="108" w:type="dxa"/>
              <w:bottom w:w="0" w:type="dxa"/>
              <w:right w:w="108" w:type="dxa"/>
            </w:tcMar>
            <w:vAlign w:val="center"/>
          </w:tcPr>
          <w:p w14:paraId="4E04214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xml:space="preserve">Įvykdytas III ketv. </w:t>
            </w:r>
            <w:r w:rsidRPr="00451A59">
              <w:rPr>
                <w:b/>
                <w:sz w:val="18"/>
                <w:szCs w:val="18"/>
                <w:lang w:val="lt-LT"/>
              </w:rPr>
              <w:t xml:space="preserve"> </w:t>
            </w:r>
            <w:r w:rsidRPr="00651C00">
              <w:rPr>
                <w:rFonts w:ascii="Times New Roman" w:hAnsi="Times New Roman"/>
                <w:b/>
                <w:sz w:val="18"/>
                <w:szCs w:val="18"/>
                <w:lang w:val="lt-LT"/>
              </w:rPr>
              <w:t>pavėluotai</w:t>
            </w:r>
          </w:p>
        </w:tc>
        <w:tc>
          <w:tcPr>
            <w:tcW w:w="3135" w:type="dxa"/>
            <w:tcMar>
              <w:top w:w="0" w:type="dxa"/>
              <w:left w:w="108" w:type="dxa"/>
              <w:bottom w:w="0" w:type="dxa"/>
              <w:right w:w="108" w:type="dxa"/>
            </w:tcMar>
            <w:vAlign w:val="center"/>
          </w:tcPr>
          <w:p w14:paraId="0F7DC890" w14:textId="6F934B72" w:rsidR="00451A59" w:rsidRPr="00451A59" w:rsidRDefault="00451A59" w:rsidP="00451A59">
            <w:pPr>
              <w:shd w:val="clear" w:color="auto" w:fill="FFFFFF" w:themeFill="background1"/>
              <w:jc w:val="both"/>
              <w:rPr>
                <w:rFonts w:ascii="Times New Roman" w:hAnsi="Times New Roman"/>
                <w:sz w:val="20"/>
                <w:szCs w:val="20"/>
                <w:lang w:val="lt-LT"/>
              </w:rPr>
            </w:pPr>
            <w:r w:rsidRPr="00451A59">
              <w:rPr>
                <w:rFonts w:ascii="Times New Roman" w:eastAsia="Calibri" w:hAnsi="Times New Roman"/>
                <w:sz w:val="20"/>
                <w:lang w:val="lt-LT"/>
              </w:rPr>
              <w:t xml:space="preserve">Birželio mėn. </w:t>
            </w:r>
            <w:r w:rsidR="00651C00">
              <w:rPr>
                <w:rFonts w:ascii="Times New Roman" w:eastAsia="Calibri" w:hAnsi="Times New Roman"/>
                <w:sz w:val="20"/>
                <w:lang w:val="lt-LT"/>
              </w:rPr>
              <w:t>Ignalinos AE v</w:t>
            </w:r>
            <w:r w:rsidRPr="00451A59">
              <w:rPr>
                <w:rFonts w:ascii="Times New Roman" w:eastAsia="Calibri" w:hAnsi="Times New Roman"/>
                <w:sz w:val="20"/>
                <w:lang w:val="lt-LT"/>
              </w:rPr>
              <w:t xml:space="preserve">aldybai pristatytas įmonės laboratorijų veiklos centralizavimo radiologinio apibūdinimo, ekologijos, chemijos srityse, siekiant efektyviau valdyti procesus ir išteklius taip pat tęsiant veiklų centralizavimą techninės priežiūros ir informacinių technologijų srityje organizacinio pakeitimo projektas. Pristatytam organizaciniam struktūros pakeitimo projektui </w:t>
            </w:r>
            <w:r w:rsidR="00D24300">
              <w:rPr>
                <w:rFonts w:ascii="Times New Roman" w:eastAsia="Calibri" w:hAnsi="Times New Roman"/>
                <w:sz w:val="20"/>
                <w:lang w:val="lt-LT"/>
              </w:rPr>
              <w:t>v</w:t>
            </w:r>
            <w:r w:rsidRPr="00451A59">
              <w:rPr>
                <w:rFonts w:ascii="Times New Roman" w:eastAsia="Calibri" w:hAnsi="Times New Roman"/>
                <w:sz w:val="20"/>
                <w:lang w:val="lt-LT"/>
              </w:rPr>
              <w:t>aldyba pastabų neturėjo ir įpareigojo pateikti struktūros pakeitimų pagrindimo dokumentų paketą derinti Valstybinei atominės energetikos sa</w:t>
            </w:r>
            <w:r w:rsidR="00393DC9">
              <w:rPr>
                <w:rFonts w:ascii="Times New Roman" w:eastAsia="Calibri" w:hAnsi="Times New Roman"/>
                <w:sz w:val="20"/>
                <w:lang w:val="lt-LT"/>
              </w:rPr>
              <w:t>u</w:t>
            </w:r>
            <w:r w:rsidRPr="00451A59">
              <w:rPr>
                <w:rFonts w:ascii="Times New Roman" w:eastAsia="Calibri" w:hAnsi="Times New Roman"/>
                <w:sz w:val="20"/>
                <w:lang w:val="lt-LT"/>
              </w:rPr>
              <w:t>gos inspekcijai</w:t>
            </w:r>
            <w:r w:rsidR="00D24300">
              <w:rPr>
                <w:rFonts w:ascii="Times New Roman" w:eastAsia="Calibri" w:hAnsi="Times New Roman"/>
                <w:sz w:val="20"/>
                <w:lang w:val="lt-LT"/>
              </w:rPr>
              <w:t>.</w:t>
            </w:r>
          </w:p>
        </w:tc>
      </w:tr>
      <w:tr w:rsidR="00451A59" w:rsidRPr="00451A59" w14:paraId="22DEADC4" w14:textId="77777777" w:rsidTr="00D7567A">
        <w:trPr>
          <w:trHeight w:val="590"/>
        </w:trPr>
        <w:tc>
          <w:tcPr>
            <w:tcW w:w="694" w:type="dxa"/>
            <w:shd w:val="clear" w:color="auto" w:fill="FFFFFF" w:themeFill="background1"/>
            <w:tcMar>
              <w:top w:w="0" w:type="dxa"/>
              <w:left w:w="108" w:type="dxa"/>
              <w:bottom w:w="0" w:type="dxa"/>
              <w:right w:w="108" w:type="dxa"/>
            </w:tcMar>
            <w:vAlign w:val="center"/>
          </w:tcPr>
          <w:p w14:paraId="49CF9E5C"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3CFB03A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4C78AB7"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vAlign w:val="center"/>
          </w:tcPr>
          <w:p w14:paraId="762143AD"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2.Įgyvendintas įmonės organizacinės struktūros keitimo etapas (Radiacinės saugos tarnybos pertvarkymas, įmonės laboratorijų centralizavimas ir kt.)</w:t>
            </w:r>
          </w:p>
        </w:tc>
        <w:tc>
          <w:tcPr>
            <w:tcW w:w="851" w:type="dxa"/>
            <w:shd w:val="clear" w:color="auto" w:fill="FFFFFF" w:themeFill="background1"/>
            <w:vAlign w:val="center"/>
          </w:tcPr>
          <w:p w14:paraId="752E42B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9CC2E5" w:themeFill="accent5" w:themeFillTint="99"/>
            <w:vAlign w:val="center"/>
          </w:tcPr>
          <w:p w14:paraId="0AC1BAC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Patvirtinta nauja struktūra, pakeistos darbuotojų darbo sutartys</w:t>
            </w:r>
          </w:p>
        </w:tc>
        <w:tc>
          <w:tcPr>
            <w:tcW w:w="1276" w:type="dxa"/>
            <w:shd w:val="clear" w:color="auto" w:fill="FFFFFF" w:themeFill="background1"/>
            <w:tcMar>
              <w:top w:w="0" w:type="dxa"/>
              <w:left w:w="108" w:type="dxa"/>
              <w:bottom w:w="0" w:type="dxa"/>
              <w:right w:w="108" w:type="dxa"/>
            </w:tcMar>
            <w:vAlign w:val="center"/>
          </w:tcPr>
          <w:p w14:paraId="452801F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2AE15DF8" w14:textId="77777777" w:rsidR="00451A59" w:rsidRPr="00451A59" w:rsidRDefault="00451A59" w:rsidP="00451A59">
            <w:pPr>
              <w:shd w:val="clear" w:color="auto" w:fill="FFFFFF" w:themeFill="background1"/>
              <w:jc w:val="center"/>
              <w:rPr>
                <w:rFonts w:ascii="Times New Roman" w:eastAsia="Calibri" w:hAnsi="Times New Roman"/>
                <w:sz w:val="20"/>
                <w:lang w:val="lt-LT"/>
              </w:rPr>
            </w:pPr>
            <w:r w:rsidRPr="00451A59">
              <w:rPr>
                <w:rFonts w:ascii="Times New Roman" w:hAnsi="Times New Roman"/>
                <w:sz w:val="20"/>
                <w:szCs w:val="20"/>
                <w:lang w:val="lt-LT"/>
              </w:rPr>
              <w:t>-</w:t>
            </w:r>
          </w:p>
        </w:tc>
      </w:tr>
      <w:tr w:rsidR="00451A59" w:rsidRPr="00451A59" w14:paraId="7887A802" w14:textId="77777777" w:rsidTr="00D7567A">
        <w:trPr>
          <w:trHeight w:val="590"/>
        </w:trPr>
        <w:tc>
          <w:tcPr>
            <w:tcW w:w="694" w:type="dxa"/>
            <w:tcMar>
              <w:top w:w="0" w:type="dxa"/>
              <w:left w:w="108" w:type="dxa"/>
              <w:bottom w:w="0" w:type="dxa"/>
              <w:right w:w="108" w:type="dxa"/>
            </w:tcMar>
            <w:vAlign w:val="center"/>
          </w:tcPr>
          <w:p w14:paraId="53BCF44B"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12F4D50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559C9FEB"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tcPr>
          <w:p w14:paraId="74AFCD50" w14:textId="77777777" w:rsidR="00451A59" w:rsidRPr="00451A59" w:rsidRDefault="00451A59" w:rsidP="00451A59">
            <w:pPr>
              <w:pStyle w:val="ListParagraph"/>
              <w:numPr>
                <w:ilvl w:val="0"/>
                <w:numId w:val="21"/>
              </w:numPr>
              <w:shd w:val="clear" w:color="auto" w:fill="FFFFFF" w:themeFill="background1"/>
              <w:tabs>
                <w:tab w:val="left" w:pos="425"/>
              </w:tabs>
              <w:ind w:right="141"/>
              <w:jc w:val="both"/>
              <w:rPr>
                <w:rFonts w:ascii="Times New Roman" w:hAnsi="Times New Roman"/>
                <w:sz w:val="20"/>
                <w:szCs w:val="20"/>
              </w:rPr>
            </w:pPr>
            <w:r w:rsidRPr="00451A59">
              <w:rPr>
                <w:rFonts w:ascii="Times New Roman" w:hAnsi="Times New Roman"/>
                <w:spacing w:val="-3"/>
                <w:sz w:val="20"/>
                <w:szCs w:val="20"/>
              </w:rPr>
              <w:t>Pateikti pasiūlymai dėl vidaus kontrolės gerinimo</w:t>
            </w:r>
          </w:p>
        </w:tc>
        <w:tc>
          <w:tcPr>
            <w:tcW w:w="851" w:type="dxa"/>
            <w:vAlign w:val="center"/>
          </w:tcPr>
          <w:p w14:paraId="1764793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vAlign w:val="center"/>
          </w:tcPr>
          <w:p w14:paraId="0489FB7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Pateikti pasiūlymai</w:t>
            </w:r>
          </w:p>
        </w:tc>
        <w:tc>
          <w:tcPr>
            <w:tcW w:w="1276" w:type="dxa"/>
            <w:shd w:val="clear" w:color="auto" w:fill="FFFFFF" w:themeFill="background1"/>
            <w:tcMar>
              <w:top w:w="0" w:type="dxa"/>
              <w:left w:w="108" w:type="dxa"/>
              <w:bottom w:w="0" w:type="dxa"/>
              <w:right w:w="108" w:type="dxa"/>
            </w:tcMar>
            <w:vAlign w:val="center"/>
          </w:tcPr>
          <w:p w14:paraId="3C817DB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EC1B69E" w14:textId="77777777" w:rsidR="00451A59" w:rsidRPr="00451A59" w:rsidRDefault="00451A59" w:rsidP="00451A59">
            <w:pPr>
              <w:shd w:val="clear" w:color="auto" w:fill="FFFFFF" w:themeFill="background1"/>
              <w:jc w:val="center"/>
              <w:rPr>
                <w:rFonts w:ascii="Times New Roman" w:eastAsia="Calibri" w:hAnsi="Times New Roman"/>
                <w:sz w:val="20"/>
                <w:lang w:val="lt-LT"/>
              </w:rPr>
            </w:pPr>
            <w:r w:rsidRPr="00451A59">
              <w:rPr>
                <w:rFonts w:ascii="Times New Roman" w:hAnsi="Times New Roman"/>
                <w:sz w:val="20"/>
                <w:szCs w:val="20"/>
                <w:lang w:val="lt-LT"/>
              </w:rPr>
              <w:t>-</w:t>
            </w:r>
          </w:p>
        </w:tc>
      </w:tr>
      <w:tr w:rsidR="00451A59" w:rsidRPr="00451A59" w14:paraId="28AF35B8" w14:textId="77777777" w:rsidTr="00D7567A">
        <w:trPr>
          <w:trHeight w:val="401"/>
        </w:trPr>
        <w:tc>
          <w:tcPr>
            <w:tcW w:w="694" w:type="dxa"/>
            <w:tcMar>
              <w:top w:w="0" w:type="dxa"/>
              <w:left w:w="108" w:type="dxa"/>
              <w:bottom w:w="0" w:type="dxa"/>
              <w:right w:w="108" w:type="dxa"/>
            </w:tcMar>
            <w:vAlign w:val="center"/>
          </w:tcPr>
          <w:p w14:paraId="0745420D"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703A0C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313C952A"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7C334B0A"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4. Atnaujintas darbuotojų bazinio atlyginimo peržiūrėjimas tvarkos aprašas</w:t>
            </w:r>
          </w:p>
        </w:tc>
        <w:tc>
          <w:tcPr>
            <w:tcW w:w="851" w:type="dxa"/>
            <w:vAlign w:val="center"/>
          </w:tcPr>
          <w:p w14:paraId="56D2B63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6CA55849"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Atnaujintas tvarkos aprašas</w:t>
            </w:r>
          </w:p>
        </w:tc>
        <w:tc>
          <w:tcPr>
            <w:tcW w:w="1276" w:type="dxa"/>
            <w:shd w:val="clear" w:color="auto" w:fill="FFFFFF" w:themeFill="background1"/>
            <w:tcMar>
              <w:top w:w="0" w:type="dxa"/>
              <w:left w:w="108" w:type="dxa"/>
              <w:bottom w:w="0" w:type="dxa"/>
              <w:right w:w="108" w:type="dxa"/>
            </w:tcMar>
            <w:vAlign w:val="center"/>
          </w:tcPr>
          <w:p w14:paraId="1E38CF79"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047C1E9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DCB0756" w14:textId="77777777" w:rsidTr="00D7567A">
        <w:trPr>
          <w:trHeight w:val="406"/>
        </w:trPr>
        <w:tc>
          <w:tcPr>
            <w:tcW w:w="694" w:type="dxa"/>
            <w:tcMar>
              <w:top w:w="0" w:type="dxa"/>
              <w:left w:w="108" w:type="dxa"/>
              <w:bottom w:w="0" w:type="dxa"/>
              <w:right w:w="108" w:type="dxa"/>
            </w:tcMar>
            <w:vAlign w:val="center"/>
          </w:tcPr>
          <w:p w14:paraId="64AC8EA9"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4AE9D9C9"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11.2.2</w:t>
            </w:r>
          </w:p>
        </w:tc>
        <w:tc>
          <w:tcPr>
            <w:tcW w:w="2533" w:type="dxa"/>
            <w:vMerge w:val="restart"/>
            <w:vAlign w:val="center"/>
          </w:tcPr>
          <w:p w14:paraId="0854DF8C"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z w:val="20"/>
                <w:szCs w:val="20"/>
                <w:lang w:val="lt-LT"/>
              </w:rPr>
              <w:t>Mažinti vadybos sistemos procesų skaičių (priemonė bus įvykdyta 2020 m.)</w:t>
            </w:r>
          </w:p>
        </w:tc>
        <w:tc>
          <w:tcPr>
            <w:tcW w:w="3260" w:type="dxa"/>
            <w:vAlign w:val="center"/>
          </w:tcPr>
          <w:p w14:paraId="3B10A413"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z w:val="20"/>
                <w:szCs w:val="20"/>
                <w:lang w:val="lt-LT"/>
              </w:rPr>
              <w:t>1. Atnaujintas ir suderintas su VATESI vadybos sistemos procesų sąrašas</w:t>
            </w:r>
          </w:p>
        </w:tc>
        <w:tc>
          <w:tcPr>
            <w:tcW w:w="851" w:type="dxa"/>
            <w:vAlign w:val="center"/>
          </w:tcPr>
          <w:p w14:paraId="087338C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w:t>
            </w:r>
          </w:p>
        </w:tc>
        <w:tc>
          <w:tcPr>
            <w:tcW w:w="1436" w:type="dxa"/>
            <w:vAlign w:val="center"/>
          </w:tcPr>
          <w:p w14:paraId="475710C0"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VATESI raštas</w:t>
            </w:r>
          </w:p>
        </w:tc>
        <w:tc>
          <w:tcPr>
            <w:tcW w:w="1276" w:type="dxa"/>
            <w:shd w:val="clear" w:color="auto" w:fill="FFFFFF" w:themeFill="background1"/>
            <w:tcMar>
              <w:top w:w="0" w:type="dxa"/>
              <w:left w:w="108" w:type="dxa"/>
              <w:bottom w:w="0" w:type="dxa"/>
              <w:right w:w="108" w:type="dxa"/>
            </w:tcMar>
            <w:vAlign w:val="center"/>
          </w:tcPr>
          <w:p w14:paraId="722A6E63" w14:textId="77777777" w:rsidR="00451A59" w:rsidRPr="00451A59" w:rsidRDefault="00451A59" w:rsidP="00451A59">
            <w:pPr>
              <w:shd w:val="clear" w:color="auto" w:fill="FFFFFF" w:themeFill="background1"/>
              <w:jc w:val="center"/>
              <w:rPr>
                <w:rFonts w:ascii="Times New Roman" w:hAnsi="Times New Roman"/>
                <w:sz w:val="20"/>
                <w:szCs w:val="20"/>
                <w:highlight w:val="yellow"/>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0D9C79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4060DD75" w14:textId="77777777" w:rsidTr="00D7567A">
        <w:trPr>
          <w:trHeight w:val="406"/>
        </w:trPr>
        <w:tc>
          <w:tcPr>
            <w:tcW w:w="694" w:type="dxa"/>
            <w:tcBorders>
              <w:bottom w:val="single" w:sz="4" w:space="0" w:color="auto"/>
            </w:tcBorders>
            <w:tcMar>
              <w:top w:w="0" w:type="dxa"/>
              <w:left w:w="108" w:type="dxa"/>
              <w:bottom w:w="0" w:type="dxa"/>
              <w:right w:w="108" w:type="dxa"/>
            </w:tcMar>
            <w:vAlign w:val="center"/>
          </w:tcPr>
          <w:p w14:paraId="10E51E0D"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40BE87D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686E99B3"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vAlign w:val="center"/>
          </w:tcPr>
          <w:p w14:paraId="760B4A41" w14:textId="77777777" w:rsidR="00451A59" w:rsidRPr="00451A59" w:rsidRDefault="00451A59" w:rsidP="00451A59">
            <w:pPr>
              <w:shd w:val="clear" w:color="auto" w:fill="FFFFFF" w:themeFill="background1"/>
              <w:ind w:left="107" w:right="141"/>
              <w:jc w:val="both"/>
              <w:rPr>
                <w:rFonts w:ascii="Times New Roman" w:hAnsi="Times New Roman"/>
                <w:sz w:val="20"/>
                <w:szCs w:val="20"/>
                <w:lang w:val="lt-LT"/>
              </w:rPr>
            </w:pPr>
            <w:r w:rsidRPr="00451A59">
              <w:rPr>
                <w:rFonts w:ascii="Times New Roman" w:hAnsi="Times New Roman"/>
                <w:spacing w:val="-3"/>
                <w:sz w:val="20"/>
                <w:szCs w:val="20"/>
                <w:lang w:val="lt-LT"/>
              </w:rPr>
              <w:t>2. Parengtas atnaujintų vadybos sistemos procesų įdiegimo priemonių planas</w:t>
            </w:r>
          </w:p>
        </w:tc>
        <w:tc>
          <w:tcPr>
            <w:tcW w:w="851" w:type="dxa"/>
            <w:vAlign w:val="center"/>
          </w:tcPr>
          <w:p w14:paraId="2A2CA4D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vAlign w:val="center"/>
          </w:tcPr>
          <w:p w14:paraId="0DBC7E1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Parengtas priemonių planas</w:t>
            </w:r>
          </w:p>
        </w:tc>
        <w:tc>
          <w:tcPr>
            <w:tcW w:w="1276" w:type="dxa"/>
            <w:tcMar>
              <w:top w:w="0" w:type="dxa"/>
              <w:left w:w="108" w:type="dxa"/>
              <w:bottom w:w="0" w:type="dxa"/>
              <w:right w:w="108" w:type="dxa"/>
            </w:tcMar>
            <w:vAlign w:val="center"/>
          </w:tcPr>
          <w:p w14:paraId="133DCB6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44B0740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08B9D4B5" w14:textId="77777777" w:rsidTr="00D7567A">
        <w:trPr>
          <w:trHeight w:val="406"/>
        </w:trPr>
        <w:tc>
          <w:tcPr>
            <w:tcW w:w="694" w:type="dxa"/>
            <w:tcBorders>
              <w:bottom w:val="single" w:sz="4" w:space="0" w:color="auto"/>
            </w:tcBorders>
            <w:shd w:val="clear" w:color="auto" w:fill="FFFFFF" w:themeFill="background1"/>
            <w:tcMar>
              <w:top w:w="0" w:type="dxa"/>
              <w:left w:w="108" w:type="dxa"/>
              <w:bottom w:w="0" w:type="dxa"/>
              <w:right w:w="108" w:type="dxa"/>
            </w:tcMar>
            <w:vAlign w:val="center"/>
          </w:tcPr>
          <w:p w14:paraId="5F1C96F6"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6D843D1"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1AE8AB6"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vAlign w:val="center"/>
          </w:tcPr>
          <w:p w14:paraId="700C1D2A" w14:textId="77777777" w:rsidR="00451A59" w:rsidRPr="00451A59" w:rsidRDefault="00451A59" w:rsidP="00451A59">
            <w:pPr>
              <w:shd w:val="clear" w:color="auto" w:fill="FFFFFF" w:themeFill="background1"/>
              <w:ind w:left="107" w:right="141"/>
              <w:jc w:val="both"/>
              <w:rPr>
                <w:rFonts w:ascii="Times New Roman" w:hAnsi="Times New Roman"/>
                <w:spacing w:val="-3"/>
                <w:sz w:val="20"/>
                <w:szCs w:val="20"/>
                <w:lang w:val="lt-LT"/>
              </w:rPr>
            </w:pPr>
            <w:r w:rsidRPr="00451A59">
              <w:rPr>
                <w:rFonts w:ascii="Times New Roman" w:hAnsi="Times New Roman"/>
                <w:spacing w:val="-3"/>
                <w:sz w:val="20"/>
                <w:szCs w:val="20"/>
                <w:lang w:val="lt-LT"/>
              </w:rPr>
              <w:t>3.Vadybos sistemos procesų įdiegimo priemonių plano vykdymas apimtyje numatytoje 2019 m.</w:t>
            </w:r>
          </w:p>
        </w:tc>
        <w:tc>
          <w:tcPr>
            <w:tcW w:w="851" w:type="dxa"/>
            <w:shd w:val="clear" w:color="auto" w:fill="FFFFFF" w:themeFill="background1"/>
            <w:vAlign w:val="center"/>
          </w:tcPr>
          <w:p w14:paraId="1BC7C52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59E41EFF"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Įdiegimo ataskaitą</w:t>
            </w:r>
          </w:p>
        </w:tc>
        <w:tc>
          <w:tcPr>
            <w:tcW w:w="1276" w:type="dxa"/>
            <w:shd w:val="clear" w:color="auto" w:fill="FFFFFF" w:themeFill="background1"/>
            <w:tcMar>
              <w:top w:w="0" w:type="dxa"/>
              <w:left w:w="108" w:type="dxa"/>
              <w:bottom w:w="0" w:type="dxa"/>
              <w:right w:w="108" w:type="dxa"/>
            </w:tcMar>
            <w:vAlign w:val="center"/>
          </w:tcPr>
          <w:p w14:paraId="1F85F9B3"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tcPr>
          <w:p w14:paraId="71C9126E" w14:textId="77777777" w:rsidR="00451A59" w:rsidRPr="00451A59" w:rsidRDefault="00451A59" w:rsidP="00451A59">
            <w:pPr>
              <w:shd w:val="clear" w:color="auto" w:fill="FFFFFF" w:themeFill="background1"/>
              <w:jc w:val="center"/>
              <w:rPr>
                <w:rFonts w:ascii="Times New Roman" w:hAnsi="Times New Roman"/>
                <w:sz w:val="20"/>
                <w:szCs w:val="20"/>
                <w:lang w:val="lt-LT"/>
              </w:rPr>
            </w:pPr>
          </w:p>
          <w:p w14:paraId="49D4EDF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w:t>
            </w:r>
          </w:p>
        </w:tc>
      </w:tr>
      <w:tr w:rsidR="00451A59" w:rsidRPr="00451A59" w14:paraId="13036315" w14:textId="77777777" w:rsidTr="00D7567A">
        <w:trPr>
          <w:trHeight w:val="406"/>
        </w:trPr>
        <w:tc>
          <w:tcPr>
            <w:tcW w:w="694" w:type="dxa"/>
            <w:tcBorders>
              <w:bottom w:val="single" w:sz="4" w:space="0" w:color="auto"/>
            </w:tcBorders>
            <w:shd w:val="clear" w:color="auto" w:fill="FFFFFF" w:themeFill="background1"/>
            <w:tcMar>
              <w:top w:w="0" w:type="dxa"/>
              <w:left w:w="108" w:type="dxa"/>
              <w:bottom w:w="0" w:type="dxa"/>
              <w:right w:w="108" w:type="dxa"/>
            </w:tcMar>
            <w:vAlign w:val="center"/>
          </w:tcPr>
          <w:p w14:paraId="5C21CB2A"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177BF8EE"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11.3</w:t>
            </w:r>
          </w:p>
        </w:tc>
        <w:tc>
          <w:tcPr>
            <w:tcW w:w="2533" w:type="dxa"/>
            <w:vAlign w:val="center"/>
          </w:tcPr>
          <w:p w14:paraId="0A0980CE"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color w:val="000000"/>
                <w:spacing w:val="-3"/>
                <w:sz w:val="20"/>
                <w:szCs w:val="20"/>
                <w:lang w:val="lt-LT"/>
              </w:rPr>
              <w:t>Parengti įmonės darnaus vystymosi politiką</w:t>
            </w:r>
          </w:p>
        </w:tc>
        <w:tc>
          <w:tcPr>
            <w:tcW w:w="3260" w:type="dxa"/>
            <w:shd w:val="clear" w:color="auto" w:fill="FFFFFF" w:themeFill="background1"/>
          </w:tcPr>
          <w:p w14:paraId="299F171C" w14:textId="77777777" w:rsidR="00451A59" w:rsidRPr="00451A59" w:rsidRDefault="00451A59" w:rsidP="00451A59">
            <w:pPr>
              <w:shd w:val="clear" w:color="auto" w:fill="FFFFFF" w:themeFill="background1"/>
              <w:ind w:left="107" w:right="141"/>
              <w:jc w:val="both"/>
              <w:rPr>
                <w:rFonts w:ascii="Times New Roman" w:hAnsi="Times New Roman"/>
                <w:spacing w:val="-3"/>
                <w:sz w:val="20"/>
                <w:szCs w:val="20"/>
                <w:lang w:val="lt-LT"/>
              </w:rPr>
            </w:pPr>
            <w:r w:rsidRPr="00451A59">
              <w:rPr>
                <w:rFonts w:ascii="Times New Roman" w:hAnsi="Times New Roman"/>
                <w:color w:val="000000"/>
                <w:spacing w:val="-3"/>
                <w:sz w:val="20"/>
                <w:szCs w:val="20"/>
                <w:lang w:val="lt-LT"/>
              </w:rPr>
              <w:t>Parengta įmonės darnaus vystymosi politika</w:t>
            </w:r>
          </w:p>
        </w:tc>
        <w:tc>
          <w:tcPr>
            <w:tcW w:w="851" w:type="dxa"/>
            <w:shd w:val="clear" w:color="auto" w:fill="FFFFFF" w:themeFill="background1"/>
          </w:tcPr>
          <w:p w14:paraId="5746507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vAlign w:val="center"/>
          </w:tcPr>
          <w:p w14:paraId="3F8976B0"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p>
        </w:tc>
        <w:tc>
          <w:tcPr>
            <w:tcW w:w="1276" w:type="dxa"/>
            <w:shd w:val="clear" w:color="auto" w:fill="FFFFFF" w:themeFill="background1"/>
            <w:tcMar>
              <w:top w:w="0" w:type="dxa"/>
              <w:left w:w="108" w:type="dxa"/>
              <w:bottom w:w="0" w:type="dxa"/>
              <w:right w:w="108" w:type="dxa"/>
            </w:tcMar>
            <w:vAlign w:val="center"/>
          </w:tcPr>
          <w:p w14:paraId="179B2424"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tcPr>
          <w:p w14:paraId="35C649A1"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749AF032" w14:textId="77777777" w:rsidTr="00D7567A">
        <w:trPr>
          <w:trHeight w:val="406"/>
        </w:trPr>
        <w:tc>
          <w:tcPr>
            <w:tcW w:w="694" w:type="dxa"/>
            <w:tcBorders>
              <w:bottom w:val="single" w:sz="4" w:space="0" w:color="auto"/>
            </w:tcBorders>
            <w:shd w:val="clear" w:color="auto" w:fill="FFFFFF" w:themeFill="background1"/>
            <w:tcMar>
              <w:top w:w="0" w:type="dxa"/>
              <w:left w:w="108" w:type="dxa"/>
              <w:bottom w:w="0" w:type="dxa"/>
              <w:right w:w="108" w:type="dxa"/>
            </w:tcMar>
            <w:vAlign w:val="center"/>
          </w:tcPr>
          <w:p w14:paraId="03FCDBF3"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168E990D"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11.4</w:t>
            </w:r>
          </w:p>
        </w:tc>
        <w:tc>
          <w:tcPr>
            <w:tcW w:w="2533" w:type="dxa"/>
            <w:vAlign w:val="center"/>
          </w:tcPr>
          <w:p w14:paraId="77923BCB"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p>
        </w:tc>
        <w:tc>
          <w:tcPr>
            <w:tcW w:w="3260" w:type="dxa"/>
            <w:shd w:val="clear" w:color="auto" w:fill="FFFFFF" w:themeFill="background1"/>
          </w:tcPr>
          <w:p w14:paraId="400CE42A" w14:textId="77777777" w:rsidR="00451A59" w:rsidRPr="00451A59" w:rsidRDefault="00451A59" w:rsidP="00451A59">
            <w:pPr>
              <w:shd w:val="clear" w:color="auto" w:fill="FFFFFF" w:themeFill="background1"/>
              <w:ind w:left="107" w:right="141"/>
              <w:jc w:val="both"/>
              <w:rPr>
                <w:rFonts w:ascii="Times New Roman" w:hAnsi="Times New Roman"/>
                <w:spacing w:val="-3"/>
                <w:sz w:val="20"/>
                <w:szCs w:val="20"/>
                <w:lang w:val="lt-LT"/>
              </w:rPr>
            </w:pPr>
            <w:r w:rsidRPr="00451A59">
              <w:rPr>
                <w:rFonts w:ascii="Times New Roman" w:hAnsi="Times New Roman"/>
                <w:b/>
                <w:i/>
                <w:color w:val="000000"/>
                <w:spacing w:val="-3"/>
                <w:sz w:val="20"/>
                <w:szCs w:val="20"/>
                <w:lang w:val="lt-LT"/>
              </w:rPr>
              <w:t>Rodiklis (R23)</w:t>
            </w:r>
            <w:r w:rsidRPr="00451A59">
              <w:rPr>
                <w:rFonts w:ascii="Times New Roman" w:hAnsi="Times New Roman"/>
                <w:i/>
                <w:color w:val="000000"/>
                <w:spacing w:val="-3"/>
                <w:sz w:val="20"/>
                <w:szCs w:val="20"/>
                <w:lang w:val="lt-LT"/>
              </w:rPr>
              <w:t xml:space="preserve"> – </w:t>
            </w:r>
            <w:r w:rsidRPr="00451A59">
              <w:rPr>
                <w:rFonts w:ascii="Times New Roman" w:hAnsi="Times New Roman"/>
                <w:color w:val="000000"/>
                <w:spacing w:val="-3"/>
                <w:sz w:val="20"/>
                <w:szCs w:val="20"/>
                <w:lang w:val="lt-LT"/>
              </w:rPr>
              <w:t>viešųjų pirkimų vykdymo greitis (atviro ar riboto konkurso būdu vykdytų viešųjų pirkimų, viršijusių 180 d. terminą, skaičius), ne daugiau nei</w:t>
            </w:r>
          </w:p>
        </w:tc>
        <w:tc>
          <w:tcPr>
            <w:tcW w:w="851" w:type="dxa"/>
            <w:shd w:val="clear" w:color="auto" w:fill="FFFFFF" w:themeFill="background1"/>
            <w:vAlign w:val="center"/>
          </w:tcPr>
          <w:p w14:paraId="4999FE3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shd w:val="clear" w:color="auto" w:fill="FFFFFF" w:themeFill="background1"/>
            <w:vAlign w:val="center"/>
          </w:tcPr>
          <w:p w14:paraId="33B97CF6"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4</w:t>
            </w:r>
          </w:p>
        </w:tc>
        <w:tc>
          <w:tcPr>
            <w:tcW w:w="1276" w:type="dxa"/>
            <w:shd w:val="clear" w:color="auto" w:fill="FFFFFF" w:themeFill="background1"/>
            <w:tcMar>
              <w:top w:w="0" w:type="dxa"/>
              <w:left w:w="108" w:type="dxa"/>
              <w:bottom w:w="0" w:type="dxa"/>
              <w:right w:w="108" w:type="dxa"/>
            </w:tcMar>
            <w:vAlign w:val="center"/>
          </w:tcPr>
          <w:p w14:paraId="6DFBB711"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tcPr>
          <w:p w14:paraId="6CAAEEE0"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13B34966" w14:textId="77777777" w:rsidTr="00D7567A">
        <w:trPr>
          <w:trHeight w:val="406"/>
        </w:trPr>
        <w:tc>
          <w:tcPr>
            <w:tcW w:w="694" w:type="dxa"/>
            <w:tcBorders>
              <w:top w:val="single" w:sz="4" w:space="0" w:color="auto"/>
              <w:bottom w:val="single" w:sz="4" w:space="0" w:color="auto"/>
            </w:tcBorders>
            <w:shd w:val="clear" w:color="auto" w:fill="FFFFFF" w:themeFill="background1"/>
            <w:tcMar>
              <w:top w:w="0" w:type="dxa"/>
              <w:left w:w="108" w:type="dxa"/>
              <w:bottom w:w="0" w:type="dxa"/>
              <w:right w:w="108" w:type="dxa"/>
            </w:tcMar>
            <w:vAlign w:val="center"/>
          </w:tcPr>
          <w:p w14:paraId="76FDB2DC"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7DC39622"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11.4.1</w:t>
            </w:r>
          </w:p>
        </w:tc>
        <w:tc>
          <w:tcPr>
            <w:tcW w:w="2533" w:type="dxa"/>
            <w:vMerge w:val="restart"/>
            <w:vAlign w:val="center"/>
          </w:tcPr>
          <w:p w14:paraId="53638C10" w14:textId="77777777" w:rsidR="00451A59" w:rsidRPr="00451A59" w:rsidRDefault="00451A59" w:rsidP="00451A59">
            <w:pPr>
              <w:shd w:val="clear" w:color="auto" w:fill="FFFFFF" w:themeFill="background1"/>
              <w:ind w:left="107" w:right="142"/>
              <w:jc w:val="both"/>
              <w:rPr>
                <w:rFonts w:ascii="Times New Roman" w:hAnsi="Times New Roman"/>
                <w:sz w:val="20"/>
                <w:szCs w:val="20"/>
                <w:lang w:val="lt-LT"/>
              </w:rPr>
            </w:pPr>
            <w:r w:rsidRPr="00451A59">
              <w:rPr>
                <w:rFonts w:ascii="Times New Roman" w:hAnsi="Times New Roman"/>
                <w:spacing w:val="-3"/>
                <w:sz w:val="20"/>
                <w:szCs w:val="20"/>
                <w:lang w:val="lt-LT"/>
              </w:rPr>
              <w:t>Vykdyti viešuosius pirkimus nustatytais terminais</w:t>
            </w:r>
          </w:p>
        </w:tc>
        <w:tc>
          <w:tcPr>
            <w:tcW w:w="3260" w:type="dxa"/>
            <w:shd w:val="clear" w:color="auto" w:fill="FFFFFF" w:themeFill="background1"/>
            <w:vAlign w:val="center"/>
          </w:tcPr>
          <w:p w14:paraId="2D012971" w14:textId="77777777" w:rsidR="00451A59" w:rsidRPr="00451A59" w:rsidRDefault="00451A59" w:rsidP="00451A59">
            <w:pPr>
              <w:shd w:val="clear" w:color="auto" w:fill="FFFFFF" w:themeFill="background1"/>
              <w:ind w:left="107" w:right="141"/>
              <w:jc w:val="both"/>
              <w:rPr>
                <w:rFonts w:ascii="Times New Roman" w:hAnsi="Times New Roman"/>
                <w:spacing w:val="-3"/>
                <w:sz w:val="20"/>
                <w:szCs w:val="20"/>
                <w:lang w:val="lt-LT"/>
              </w:rPr>
            </w:pPr>
            <w:r w:rsidRPr="00451A59">
              <w:rPr>
                <w:rFonts w:ascii="Times New Roman" w:hAnsi="Times New Roman"/>
                <w:spacing w:val="-3"/>
                <w:sz w:val="20"/>
                <w:szCs w:val="20"/>
                <w:lang w:val="lt-LT"/>
              </w:rPr>
              <w:t>1.Viešųjų pirkimų vykdymo greitis, t. y. atviro ar riboto konkurso būdu vykdytų viešųjų pirkimų, viršijusių 180 d. terminą, skaičius, ne daugiau nei</w:t>
            </w:r>
          </w:p>
        </w:tc>
        <w:tc>
          <w:tcPr>
            <w:tcW w:w="851" w:type="dxa"/>
            <w:shd w:val="clear" w:color="auto" w:fill="FFFFFF" w:themeFill="background1"/>
            <w:vAlign w:val="center"/>
          </w:tcPr>
          <w:p w14:paraId="209F8F8C"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IV</w:t>
            </w:r>
          </w:p>
        </w:tc>
        <w:tc>
          <w:tcPr>
            <w:tcW w:w="1436" w:type="dxa"/>
            <w:shd w:val="clear" w:color="auto" w:fill="FFFFFF" w:themeFill="background1"/>
            <w:vAlign w:val="center"/>
          </w:tcPr>
          <w:p w14:paraId="2452A9E1"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4</w:t>
            </w:r>
          </w:p>
        </w:tc>
        <w:tc>
          <w:tcPr>
            <w:tcW w:w="1276" w:type="dxa"/>
            <w:shd w:val="clear" w:color="auto" w:fill="FFFFFF" w:themeFill="background1"/>
            <w:tcMar>
              <w:top w:w="0" w:type="dxa"/>
              <w:left w:w="108" w:type="dxa"/>
              <w:bottom w:w="0" w:type="dxa"/>
              <w:right w:w="108" w:type="dxa"/>
            </w:tcMar>
            <w:vAlign w:val="center"/>
          </w:tcPr>
          <w:p w14:paraId="124BE32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tcPr>
          <w:p w14:paraId="0456DEF0" w14:textId="77777777" w:rsidR="00451A59" w:rsidRPr="00451A59" w:rsidRDefault="00451A59" w:rsidP="00451A59">
            <w:pPr>
              <w:shd w:val="clear" w:color="auto" w:fill="FFFFFF" w:themeFill="background1"/>
              <w:jc w:val="both"/>
              <w:rPr>
                <w:rFonts w:ascii="Times New Roman" w:hAnsi="Times New Roman"/>
                <w:sz w:val="20"/>
                <w:szCs w:val="20"/>
                <w:lang w:val="lt-LT"/>
              </w:rPr>
            </w:pPr>
          </w:p>
        </w:tc>
      </w:tr>
      <w:tr w:rsidR="00451A59" w:rsidRPr="00451A59" w14:paraId="7F172DB7" w14:textId="77777777" w:rsidTr="00D7567A">
        <w:trPr>
          <w:trHeight w:val="406"/>
        </w:trPr>
        <w:tc>
          <w:tcPr>
            <w:tcW w:w="694" w:type="dxa"/>
            <w:tcBorders>
              <w:top w:val="single" w:sz="4" w:space="0" w:color="auto"/>
              <w:bottom w:val="single" w:sz="4" w:space="0" w:color="auto"/>
            </w:tcBorders>
            <w:shd w:val="clear" w:color="auto" w:fill="FFFFFF" w:themeFill="background1"/>
            <w:tcMar>
              <w:top w:w="0" w:type="dxa"/>
              <w:left w:w="108" w:type="dxa"/>
              <w:bottom w:w="0" w:type="dxa"/>
              <w:right w:w="108" w:type="dxa"/>
            </w:tcMar>
            <w:vAlign w:val="center"/>
          </w:tcPr>
          <w:p w14:paraId="601387F9"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685444F4"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03E63B42" w14:textId="77777777" w:rsidR="00451A59" w:rsidRPr="00451A59" w:rsidRDefault="00451A59" w:rsidP="00451A59">
            <w:pPr>
              <w:shd w:val="clear" w:color="auto" w:fill="FFFFFF" w:themeFill="background1"/>
              <w:ind w:left="107" w:right="142"/>
              <w:jc w:val="both"/>
              <w:rPr>
                <w:rFonts w:ascii="Times New Roman" w:hAnsi="Times New Roman"/>
                <w:spacing w:val="-3"/>
                <w:sz w:val="20"/>
                <w:szCs w:val="20"/>
                <w:lang w:val="lt-LT"/>
              </w:rPr>
            </w:pPr>
          </w:p>
        </w:tc>
        <w:tc>
          <w:tcPr>
            <w:tcW w:w="3260" w:type="dxa"/>
            <w:shd w:val="clear" w:color="auto" w:fill="FFFFFF" w:themeFill="background1"/>
            <w:vAlign w:val="center"/>
          </w:tcPr>
          <w:p w14:paraId="327BF4B2" w14:textId="77777777" w:rsidR="00451A59" w:rsidRPr="00451A59" w:rsidRDefault="00451A59" w:rsidP="00451A59">
            <w:pPr>
              <w:shd w:val="clear" w:color="auto" w:fill="FFFFFF" w:themeFill="background1"/>
              <w:ind w:left="107" w:right="141"/>
              <w:jc w:val="both"/>
              <w:rPr>
                <w:rFonts w:ascii="Times New Roman" w:hAnsi="Times New Roman"/>
                <w:spacing w:val="-3"/>
                <w:sz w:val="20"/>
                <w:szCs w:val="20"/>
                <w:lang w:val="lt-LT"/>
              </w:rPr>
            </w:pPr>
            <w:r w:rsidRPr="00451A59">
              <w:rPr>
                <w:rFonts w:ascii="Times New Roman" w:hAnsi="Times New Roman"/>
                <w:spacing w:val="-3"/>
                <w:sz w:val="20"/>
                <w:szCs w:val="20"/>
                <w:lang w:val="lt-LT"/>
              </w:rPr>
              <w:t xml:space="preserve">2.Ignalinos programos lėšų, skirtų 2019 m. darbams, prekėms ir paslaugoms įsigyti (išskyrus lėšas, skirtas energetiniams resursams ir </w:t>
            </w:r>
            <w:r w:rsidRPr="00451A59">
              <w:rPr>
                <w:rFonts w:ascii="Times New Roman" w:hAnsi="Times New Roman"/>
                <w:spacing w:val="-3"/>
                <w:sz w:val="20"/>
                <w:szCs w:val="20"/>
                <w:lang w:val="lt-LT"/>
              </w:rPr>
              <w:lastRenderedPageBreak/>
              <w:t>tiksliniams projektams), įsisavinimas, ne mažiau nei</w:t>
            </w:r>
            <w:r w:rsidRPr="00451A59">
              <w:rPr>
                <w:rStyle w:val="FootnoteReference"/>
                <w:rFonts w:ascii="Times New Roman" w:hAnsi="Times New Roman"/>
                <w:spacing w:val="-3"/>
                <w:sz w:val="20"/>
                <w:szCs w:val="20"/>
                <w:lang w:val="lt-LT"/>
              </w:rPr>
              <w:footnoteReference w:id="3"/>
            </w:r>
          </w:p>
        </w:tc>
        <w:tc>
          <w:tcPr>
            <w:tcW w:w="851" w:type="dxa"/>
            <w:shd w:val="clear" w:color="auto" w:fill="FFFFFF" w:themeFill="background1"/>
            <w:vAlign w:val="center"/>
          </w:tcPr>
          <w:p w14:paraId="58672076"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lastRenderedPageBreak/>
              <w:t>IV</w:t>
            </w:r>
          </w:p>
        </w:tc>
        <w:tc>
          <w:tcPr>
            <w:tcW w:w="1436" w:type="dxa"/>
            <w:shd w:val="clear" w:color="auto" w:fill="FFFFFF" w:themeFill="background1"/>
            <w:vAlign w:val="center"/>
          </w:tcPr>
          <w:p w14:paraId="075539DE"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 xml:space="preserve">65 </w:t>
            </w:r>
            <w:r w:rsidRPr="00451A59">
              <w:rPr>
                <w:rFonts w:ascii="Times New Roman" w:hAnsi="Times New Roman"/>
                <w:sz w:val="20"/>
                <w:szCs w:val="20"/>
                <w:lang w:val="lt-LT"/>
              </w:rPr>
              <w:t>%</w:t>
            </w:r>
          </w:p>
        </w:tc>
        <w:tc>
          <w:tcPr>
            <w:tcW w:w="1276" w:type="dxa"/>
            <w:shd w:val="clear" w:color="auto" w:fill="FFFFFF" w:themeFill="background1"/>
            <w:tcMar>
              <w:top w:w="0" w:type="dxa"/>
              <w:left w:w="108" w:type="dxa"/>
              <w:bottom w:w="0" w:type="dxa"/>
              <w:right w:w="108" w:type="dxa"/>
            </w:tcMar>
            <w:vAlign w:val="center"/>
          </w:tcPr>
          <w:p w14:paraId="6B99BBCF"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shd w:val="clear" w:color="auto" w:fill="FFFFFF" w:themeFill="background1"/>
            <w:tcMar>
              <w:top w:w="0" w:type="dxa"/>
              <w:left w:w="108" w:type="dxa"/>
              <w:bottom w:w="0" w:type="dxa"/>
              <w:right w:w="108" w:type="dxa"/>
            </w:tcMar>
            <w:vAlign w:val="center"/>
          </w:tcPr>
          <w:p w14:paraId="03C6DCF4"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2F3DF3" w14:paraId="1EF0EF67" w14:textId="77777777" w:rsidTr="00D7567A">
        <w:trPr>
          <w:trHeight w:val="5657"/>
        </w:trPr>
        <w:tc>
          <w:tcPr>
            <w:tcW w:w="694" w:type="dxa"/>
            <w:tcBorders>
              <w:top w:val="single" w:sz="4" w:space="0" w:color="auto"/>
              <w:bottom w:val="single" w:sz="4" w:space="0" w:color="auto"/>
            </w:tcBorders>
            <w:tcMar>
              <w:top w:w="0" w:type="dxa"/>
              <w:left w:w="108" w:type="dxa"/>
              <w:bottom w:w="0" w:type="dxa"/>
              <w:right w:w="108" w:type="dxa"/>
            </w:tcMar>
            <w:vAlign w:val="center"/>
          </w:tcPr>
          <w:p w14:paraId="3741C4B6"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71243E13"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166E5571" w14:textId="77777777" w:rsidR="00451A59" w:rsidRPr="00451A59" w:rsidRDefault="00451A59" w:rsidP="00451A59">
            <w:pPr>
              <w:shd w:val="clear" w:color="auto" w:fill="FFFFFF" w:themeFill="background1"/>
              <w:ind w:left="107" w:right="142"/>
              <w:jc w:val="both"/>
              <w:rPr>
                <w:rFonts w:ascii="Times New Roman" w:hAnsi="Times New Roman"/>
                <w:spacing w:val="-3"/>
                <w:sz w:val="20"/>
                <w:szCs w:val="20"/>
                <w:lang w:val="lt-LT"/>
              </w:rPr>
            </w:pPr>
          </w:p>
        </w:tc>
        <w:tc>
          <w:tcPr>
            <w:tcW w:w="3260" w:type="dxa"/>
            <w:vAlign w:val="center"/>
          </w:tcPr>
          <w:p w14:paraId="21D09151" w14:textId="77777777" w:rsidR="00451A59" w:rsidRPr="00451A59" w:rsidRDefault="00451A59" w:rsidP="00451A59">
            <w:pPr>
              <w:shd w:val="clear" w:color="auto" w:fill="FFFFFF" w:themeFill="background1"/>
              <w:ind w:left="107" w:right="141"/>
              <w:jc w:val="both"/>
              <w:rPr>
                <w:rFonts w:ascii="Times New Roman" w:hAnsi="Times New Roman"/>
                <w:spacing w:val="-3"/>
                <w:sz w:val="20"/>
                <w:szCs w:val="20"/>
                <w:lang w:val="lt-LT"/>
              </w:rPr>
            </w:pPr>
            <w:r w:rsidRPr="00451A59">
              <w:rPr>
                <w:rFonts w:ascii="Times New Roman" w:hAnsi="Times New Roman"/>
                <w:spacing w:val="-3"/>
                <w:sz w:val="20"/>
                <w:szCs w:val="20"/>
                <w:lang w:val="lt-LT"/>
              </w:rPr>
              <w:t>3.1. pagal parengtą techninę užduotį sukurta programa (planuota 2017 m.)</w:t>
            </w:r>
          </w:p>
        </w:tc>
        <w:tc>
          <w:tcPr>
            <w:tcW w:w="851" w:type="dxa"/>
            <w:vAlign w:val="center"/>
          </w:tcPr>
          <w:p w14:paraId="59638BEB"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III</w:t>
            </w:r>
          </w:p>
        </w:tc>
        <w:tc>
          <w:tcPr>
            <w:tcW w:w="1436" w:type="dxa"/>
            <w:vAlign w:val="center"/>
          </w:tcPr>
          <w:p w14:paraId="5AFB98C0"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Įdiegimo ataskaita</w:t>
            </w:r>
          </w:p>
        </w:tc>
        <w:tc>
          <w:tcPr>
            <w:tcW w:w="1276" w:type="dxa"/>
            <w:tcMar>
              <w:top w:w="0" w:type="dxa"/>
              <w:left w:w="108" w:type="dxa"/>
              <w:bottom w:w="0" w:type="dxa"/>
              <w:right w:w="108" w:type="dxa"/>
            </w:tcMar>
            <w:vAlign w:val="center"/>
          </w:tcPr>
          <w:p w14:paraId="011FEA8D"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color w:val="FF0000"/>
                <w:sz w:val="20"/>
                <w:szCs w:val="20"/>
                <w:lang w:val="lt-LT"/>
              </w:rPr>
              <w:t>neįvykdytas</w:t>
            </w:r>
          </w:p>
        </w:tc>
        <w:tc>
          <w:tcPr>
            <w:tcW w:w="3135" w:type="dxa"/>
            <w:tcMar>
              <w:top w:w="0" w:type="dxa"/>
              <w:left w:w="108" w:type="dxa"/>
              <w:bottom w:w="0" w:type="dxa"/>
              <w:right w:w="108" w:type="dxa"/>
            </w:tcMar>
          </w:tcPr>
          <w:p w14:paraId="4075CCCF" w14:textId="77777777" w:rsidR="00451A59" w:rsidRPr="00451A59" w:rsidRDefault="00451A59" w:rsidP="00451A59">
            <w:pPr>
              <w:shd w:val="clear" w:color="auto" w:fill="FFFFFF" w:themeFill="background1"/>
              <w:spacing w:before="80" w:after="40" w:line="228" w:lineRule="auto"/>
              <w:rPr>
                <w:rFonts w:ascii="Times New Roman" w:hAnsi="Times New Roman"/>
                <w:sz w:val="18"/>
                <w:szCs w:val="18"/>
                <w:lang w:val="lt-LT"/>
              </w:rPr>
            </w:pPr>
            <w:r w:rsidRPr="00451A59">
              <w:rPr>
                <w:rFonts w:ascii="Times New Roman" w:hAnsi="Times New Roman"/>
                <w:sz w:val="18"/>
                <w:szCs w:val="18"/>
                <w:lang w:val="lt-LT"/>
              </w:rPr>
              <w:t xml:space="preserve">2017 m. CPVA įsipareigojo sukurti programą. 2019 m. sausio mėn. CPVA suteikė IAE prieigą prie DEMO TOLTEC. Rengiant šabloninių protokolų projektus, išsiaiškinta, kad programa neatitinka IAE PSS poreikių ir bus labai riboto panaudojimo. </w:t>
            </w:r>
          </w:p>
          <w:p w14:paraId="023EF3C7" w14:textId="77777777" w:rsidR="00451A59" w:rsidRPr="00451A59" w:rsidRDefault="00451A59" w:rsidP="00451A59">
            <w:pPr>
              <w:shd w:val="clear" w:color="auto" w:fill="FFFFFF" w:themeFill="background1"/>
              <w:spacing w:before="80" w:after="40" w:line="228" w:lineRule="auto"/>
              <w:rPr>
                <w:rFonts w:ascii="Times New Roman" w:hAnsi="Times New Roman"/>
                <w:sz w:val="18"/>
                <w:szCs w:val="18"/>
                <w:lang w:val="lt-LT"/>
              </w:rPr>
            </w:pPr>
            <w:r w:rsidRPr="00451A59">
              <w:rPr>
                <w:rFonts w:ascii="Times New Roman" w:hAnsi="Times New Roman"/>
                <w:sz w:val="18"/>
                <w:szCs w:val="18"/>
                <w:lang w:val="lt-LT"/>
              </w:rPr>
              <w:t>Rugsėjo mėnesį priimtas sprendimas ištirti rinką dėl programos sukūrimo. Įvyko dviejų potencialių tiekėjų programų pristatymai, šiuo metu konsultuojamasi vietose su programų naudotojais, bendraujama su kitomis perkančiosiomis organizacijomis, vyksta VP programos testavimas. Surinkus informaciją, ji bus pateikta vadovybei ir CPVA, kad būtų galima priimti galutinį sprendimą dėl programos įsigijimo.</w:t>
            </w:r>
          </w:p>
          <w:p w14:paraId="441AB850" w14:textId="77777777" w:rsidR="00451A59" w:rsidRPr="00451A59" w:rsidRDefault="00451A59" w:rsidP="00451A59">
            <w:pPr>
              <w:shd w:val="clear" w:color="auto" w:fill="FFFFFF" w:themeFill="background1"/>
              <w:spacing w:before="80" w:after="40" w:line="228" w:lineRule="auto"/>
              <w:rPr>
                <w:rFonts w:ascii="Times New Roman" w:hAnsi="Times New Roman"/>
                <w:i/>
                <w:sz w:val="18"/>
                <w:szCs w:val="18"/>
                <w:lang w:val="lt-LT"/>
              </w:rPr>
            </w:pPr>
            <w:r w:rsidRPr="00451A59">
              <w:rPr>
                <w:rFonts w:ascii="Times New Roman" w:hAnsi="Times New Roman"/>
                <w:i/>
                <w:sz w:val="18"/>
                <w:szCs w:val="18"/>
                <w:lang w:val="lt-LT"/>
              </w:rPr>
              <w:t>VP ir FD direktoriaus potvarkiu Nr. PP-132 (1.123) sudaryta darbo grupė, kuri palygins ir įvertins rinkoje esančias programas, įvertins įmonės poreikį, atsižvelgiant į programų funkcionalumą, sąsajų galimybę su kitomis IAE programomis ir CPVA TOLTEC programa bei parengs techninę specifikaciją programos įdiegimui.</w:t>
            </w:r>
          </w:p>
          <w:p w14:paraId="501DB68C"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r w:rsidR="00451A59" w:rsidRPr="00451A59" w14:paraId="1997C331" w14:textId="77777777" w:rsidTr="00D7567A">
        <w:trPr>
          <w:trHeight w:val="406"/>
        </w:trPr>
        <w:tc>
          <w:tcPr>
            <w:tcW w:w="694" w:type="dxa"/>
            <w:tcBorders>
              <w:top w:val="single" w:sz="4" w:space="0" w:color="auto"/>
              <w:bottom w:val="single" w:sz="4" w:space="0" w:color="auto"/>
            </w:tcBorders>
            <w:tcMar>
              <w:top w:w="0" w:type="dxa"/>
              <w:left w:w="108" w:type="dxa"/>
              <w:bottom w:w="0" w:type="dxa"/>
              <w:right w:w="108" w:type="dxa"/>
            </w:tcMar>
            <w:vAlign w:val="center"/>
          </w:tcPr>
          <w:p w14:paraId="1C1D1464"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val="restart"/>
            <w:tcMar>
              <w:top w:w="0" w:type="dxa"/>
              <w:left w:w="108" w:type="dxa"/>
              <w:bottom w:w="0" w:type="dxa"/>
              <w:right w:w="108" w:type="dxa"/>
            </w:tcMar>
            <w:vAlign w:val="center"/>
          </w:tcPr>
          <w:p w14:paraId="22A40F3B"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12.1</w:t>
            </w:r>
          </w:p>
        </w:tc>
        <w:tc>
          <w:tcPr>
            <w:tcW w:w="2533" w:type="dxa"/>
            <w:vMerge w:val="restart"/>
            <w:vAlign w:val="center"/>
          </w:tcPr>
          <w:p w14:paraId="0AE9082E" w14:textId="77777777" w:rsidR="00451A59" w:rsidRPr="00451A59" w:rsidRDefault="00451A59" w:rsidP="00451A59">
            <w:pPr>
              <w:shd w:val="clear" w:color="auto" w:fill="FFFFFF" w:themeFill="background1"/>
              <w:ind w:left="107" w:right="142"/>
              <w:jc w:val="both"/>
              <w:rPr>
                <w:rFonts w:ascii="Times New Roman" w:hAnsi="Times New Roman"/>
                <w:spacing w:val="-3"/>
                <w:sz w:val="20"/>
                <w:szCs w:val="20"/>
                <w:lang w:val="lt-LT"/>
              </w:rPr>
            </w:pPr>
            <w:r w:rsidRPr="00451A59">
              <w:rPr>
                <w:rFonts w:ascii="Times New Roman" w:hAnsi="Times New Roman"/>
                <w:color w:val="000000"/>
                <w:spacing w:val="-3"/>
                <w:sz w:val="20"/>
                <w:szCs w:val="20"/>
                <w:lang w:val="lt-LT"/>
              </w:rPr>
              <w:t xml:space="preserve">Panaudoti įmonės patirtį ir išteklius įgyvendinant kitų branduolinės energetikos objektų eksploatavimo nutraukimą (pradėti dalyvauti branduolinės energetikos </w:t>
            </w:r>
            <w:r w:rsidRPr="00451A59">
              <w:rPr>
                <w:rFonts w:ascii="Times New Roman" w:hAnsi="Times New Roman"/>
                <w:color w:val="000000"/>
                <w:spacing w:val="-3"/>
                <w:sz w:val="20"/>
                <w:szCs w:val="20"/>
                <w:lang w:val="lt-LT"/>
              </w:rPr>
              <w:lastRenderedPageBreak/>
              <w:t>objektų eksploatavimo nutraukimo rinkoje</w:t>
            </w:r>
          </w:p>
        </w:tc>
        <w:tc>
          <w:tcPr>
            <w:tcW w:w="3260" w:type="dxa"/>
          </w:tcPr>
          <w:p w14:paraId="28EB739A" w14:textId="77777777" w:rsidR="00451A59" w:rsidRPr="00451A59" w:rsidRDefault="00451A59" w:rsidP="00451A59">
            <w:pPr>
              <w:shd w:val="clear" w:color="auto" w:fill="FFFFFF" w:themeFill="background1"/>
              <w:ind w:left="107" w:right="141"/>
              <w:jc w:val="both"/>
              <w:rPr>
                <w:rFonts w:ascii="Times New Roman" w:hAnsi="Times New Roman"/>
                <w:spacing w:val="-3"/>
                <w:sz w:val="20"/>
                <w:szCs w:val="20"/>
                <w:lang w:val="lt-LT"/>
              </w:rPr>
            </w:pPr>
            <w:r w:rsidRPr="00451A59">
              <w:rPr>
                <w:rFonts w:ascii="Times New Roman" w:hAnsi="Times New Roman"/>
                <w:color w:val="000000"/>
                <w:spacing w:val="-3"/>
                <w:sz w:val="20"/>
                <w:szCs w:val="20"/>
                <w:lang w:val="lt-LT"/>
              </w:rPr>
              <w:lastRenderedPageBreak/>
              <w:t>1.</w:t>
            </w:r>
            <w:r w:rsidRPr="00451A59">
              <w:rPr>
                <w:rFonts w:ascii="Times New Roman" w:hAnsi="Times New Roman"/>
                <w:color w:val="000000"/>
                <w:spacing w:val="-3"/>
                <w:sz w:val="20"/>
                <w:szCs w:val="20"/>
                <w:lang w:val="lt-LT"/>
              </w:rPr>
              <w:tab/>
              <w:t>Atlikta tarptautinės branduolinės energetikos objektų eksploatavimo nutraukimo ir radioaktyviųjų atliekų tvarkymo rinkos analizė bei parengtas komercinės veiklos verslo planas</w:t>
            </w:r>
            <w:r w:rsidRPr="00451A59">
              <w:rPr>
                <w:rStyle w:val="FootnoteReference"/>
                <w:rFonts w:ascii="Times New Roman" w:hAnsi="Times New Roman"/>
                <w:color w:val="000000"/>
                <w:spacing w:val="-3"/>
                <w:sz w:val="20"/>
                <w:szCs w:val="20"/>
                <w:lang w:val="lt-LT"/>
              </w:rPr>
              <w:footnoteReference w:id="4"/>
            </w:r>
          </w:p>
        </w:tc>
        <w:tc>
          <w:tcPr>
            <w:tcW w:w="851" w:type="dxa"/>
          </w:tcPr>
          <w:p w14:paraId="6BBE98D5"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pacing w:val="-3"/>
                <w:sz w:val="20"/>
                <w:szCs w:val="20"/>
                <w:lang w:val="lt-LT"/>
              </w:rPr>
              <w:t>IV ketv.</w:t>
            </w:r>
          </w:p>
        </w:tc>
        <w:tc>
          <w:tcPr>
            <w:tcW w:w="1436" w:type="dxa"/>
          </w:tcPr>
          <w:p w14:paraId="09FA24EF"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Rinkos analizė ir verslo planas pristatyti valdybai ir Energetikos ministerijai</w:t>
            </w:r>
          </w:p>
        </w:tc>
        <w:tc>
          <w:tcPr>
            <w:tcW w:w="1276" w:type="dxa"/>
            <w:tcMar>
              <w:top w:w="0" w:type="dxa"/>
              <w:left w:w="108" w:type="dxa"/>
              <w:bottom w:w="0" w:type="dxa"/>
              <w:right w:w="108" w:type="dxa"/>
            </w:tcMar>
            <w:vAlign w:val="center"/>
          </w:tcPr>
          <w:p w14:paraId="5C679A8C" w14:textId="4D63CE04" w:rsidR="00451A59" w:rsidRPr="00451A59" w:rsidRDefault="00E934B0" w:rsidP="00451A59">
            <w:pPr>
              <w:shd w:val="clear" w:color="auto" w:fill="FFFFFF" w:themeFill="background1"/>
              <w:jc w:val="center"/>
              <w:rPr>
                <w:rFonts w:ascii="Times New Roman" w:hAnsi="Times New Roman"/>
                <w:sz w:val="20"/>
                <w:szCs w:val="20"/>
                <w:lang w:val="lt-LT"/>
              </w:rPr>
            </w:pPr>
            <w:r>
              <w:rPr>
                <w:rFonts w:ascii="Times New Roman" w:hAnsi="Times New Roman"/>
                <w:color w:val="FF0000"/>
                <w:sz w:val="20"/>
                <w:szCs w:val="20"/>
                <w:lang w:val="lt-LT"/>
              </w:rPr>
              <w:t>n</w:t>
            </w:r>
            <w:r w:rsidR="00451A59" w:rsidRPr="00451A59">
              <w:rPr>
                <w:rFonts w:ascii="Times New Roman" w:hAnsi="Times New Roman"/>
                <w:color w:val="FF0000"/>
                <w:sz w:val="20"/>
                <w:szCs w:val="20"/>
                <w:lang w:val="lt-LT"/>
              </w:rPr>
              <w:t>eįvykdytas</w:t>
            </w:r>
          </w:p>
        </w:tc>
        <w:tc>
          <w:tcPr>
            <w:tcW w:w="3135" w:type="dxa"/>
            <w:tcMar>
              <w:top w:w="0" w:type="dxa"/>
              <w:left w:w="108" w:type="dxa"/>
              <w:bottom w:w="0" w:type="dxa"/>
              <w:right w:w="108" w:type="dxa"/>
            </w:tcMar>
          </w:tcPr>
          <w:p w14:paraId="0DA0CFC5" w14:textId="77777777" w:rsidR="00451A59" w:rsidRPr="00451A59" w:rsidRDefault="00451A59" w:rsidP="00451A59">
            <w:pPr>
              <w:shd w:val="clear" w:color="auto" w:fill="FFFFFF" w:themeFill="background1"/>
              <w:spacing w:before="80" w:after="40" w:line="228" w:lineRule="auto"/>
              <w:rPr>
                <w:rFonts w:ascii="Times New Roman" w:hAnsi="Times New Roman"/>
                <w:sz w:val="20"/>
                <w:szCs w:val="20"/>
                <w:lang w:val="lt-LT" w:eastAsia="lt-LT"/>
              </w:rPr>
            </w:pPr>
            <w:r w:rsidRPr="00451A59">
              <w:rPr>
                <w:rFonts w:ascii="Times New Roman" w:hAnsi="Times New Roman"/>
                <w:sz w:val="20"/>
                <w:szCs w:val="20"/>
                <w:lang w:val="lt-LT" w:eastAsia="lt-LT"/>
              </w:rPr>
              <w:t>Šiuo metu parengtas pirminis analizės ir plano projektas (šių dokumentų parengimo planas).</w:t>
            </w:r>
          </w:p>
          <w:p w14:paraId="6D4F630C" w14:textId="56F66D58" w:rsidR="00451A59" w:rsidRPr="00451A59" w:rsidRDefault="00451A59" w:rsidP="00451A59">
            <w:pPr>
              <w:shd w:val="clear" w:color="auto" w:fill="FFFFFF" w:themeFill="background1"/>
              <w:rPr>
                <w:rFonts w:ascii="Times New Roman" w:hAnsi="Times New Roman"/>
                <w:sz w:val="20"/>
                <w:szCs w:val="20"/>
                <w:lang w:val="lt-LT"/>
              </w:rPr>
            </w:pPr>
            <w:r w:rsidRPr="00451A59">
              <w:rPr>
                <w:rFonts w:ascii="Times New Roman" w:hAnsi="Times New Roman"/>
                <w:sz w:val="20"/>
                <w:szCs w:val="20"/>
                <w:lang w:val="lt-LT" w:eastAsia="lt-LT"/>
              </w:rPr>
              <w:t xml:space="preserve">Iš </w:t>
            </w:r>
            <w:r w:rsidR="00AD6CDE">
              <w:rPr>
                <w:rFonts w:ascii="Times New Roman" w:hAnsi="Times New Roman"/>
                <w:sz w:val="20"/>
                <w:szCs w:val="20"/>
                <w:lang w:val="lt-LT" w:eastAsia="lt-LT"/>
              </w:rPr>
              <w:t>Ign</w:t>
            </w:r>
            <w:r w:rsidR="0018154E">
              <w:rPr>
                <w:rFonts w:ascii="Times New Roman" w:hAnsi="Times New Roman"/>
                <w:sz w:val="20"/>
                <w:szCs w:val="20"/>
                <w:lang w:val="lt-LT" w:eastAsia="lt-LT"/>
              </w:rPr>
              <w:t>alinos AE</w:t>
            </w:r>
            <w:r w:rsidRPr="00451A59">
              <w:rPr>
                <w:rFonts w:ascii="Times New Roman" w:hAnsi="Times New Roman"/>
                <w:sz w:val="20"/>
                <w:szCs w:val="20"/>
                <w:lang w:val="lt-LT" w:eastAsia="lt-LT"/>
              </w:rPr>
              <w:t xml:space="preserve"> išėjo </w:t>
            </w:r>
            <w:r w:rsidR="00354853">
              <w:rPr>
                <w:rFonts w:ascii="Times New Roman" w:hAnsi="Times New Roman"/>
                <w:sz w:val="20"/>
                <w:szCs w:val="20"/>
                <w:lang w:val="lt-LT" w:eastAsia="lt-LT"/>
              </w:rPr>
              <w:t>Pojekt</w:t>
            </w:r>
            <w:r w:rsidR="006A1559">
              <w:rPr>
                <w:rFonts w:ascii="Times New Roman" w:hAnsi="Times New Roman"/>
                <w:sz w:val="20"/>
                <w:szCs w:val="20"/>
                <w:lang w:val="lt-LT" w:eastAsia="lt-LT"/>
              </w:rPr>
              <w:t>ų paramos skyriaus</w:t>
            </w:r>
            <w:r w:rsidRPr="00451A59">
              <w:rPr>
                <w:rFonts w:ascii="Times New Roman" w:hAnsi="Times New Roman"/>
                <w:sz w:val="20"/>
                <w:szCs w:val="20"/>
                <w:lang w:val="lt-LT" w:eastAsia="lt-LT"/>
              </w:rPr>
              <w:t xml:space="preserve"> ekspertas, kurio funkcijos buvo ekspertinių paslaugų </w:t>
            </w:r>
            <w:r w:rsidRPr="00451A59">
              <w:rPr>
                <w:rFonts w:ascii="Times New Roman" w:hAnsi="Times New Roman"/>
                <w:sz w:val="20"/>
                <w:szCs w:val="20"/>
                <w:lang w:val="lt-LT" w:eastAsia="lt-LT"/>
              </w:rPr>
              <w:lastRenderedPageBreak/>
              <w:t>vystymas. Naujas ekspertas priimtas 2019 gruodį</w:t>
            </w:r>
            <w:r w:rsidR="006A1559">
              <w:rPr>
                <w:rFonts w:ascii="Times New Roman" w:hAnsi="Times New Roman"/>
                <w:sz w:val="20"/>
                <w:szCs w:val="20"/>
                <w:lang w:val="lt-LT" w:eastAsia="lt-LT"/>
              </w:rPr>
              <w:t>.</w:t>
            </w:r>
          </w:p>
        </w:tc>
      </w:tr>
      <w:tr w:rsidR="00451A59" w:rsidRPr="00451A59" w14:paraId="601E9F84" w14:textId="77777777" w:rsidTr="00D7567A">
        <w:trPr>
          <w:trHeight w:val="406"/>
        </w:trPr>
        <w:tc>
          <w:tcPr>
            <w:tcW w:w="694" w:type="dxa"/>
            <w:tcBorders>
              <w:top w:val="single" w:sz="4" w:space="0" w:color="auto"/>
              <w:bottom w:val="single" w:sz="4" w:space="0" w:color="auto"/>
            </w:tcBorders>
            <w:tcMar>
              <w:top w:w="0" w:type="dxa"/>
              <w:left w:w="108" w:type="dxa"/>
              <w:bottom w:w="0" w:type="dxa"/>
              <w:right w:w="108" w:type="dxa"/>
            </w:tcMar>
            <w:vAlign w:val="center"/>
          </w:tcPr>
          <w:p w14:paraId="6E27DDC7"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vMerge/>
            <w:tcMar>
              <w:top w:w="0" w:type="dxa"/>
              <w:left w:w="108" w:type="dxa"/>
              <w:bottom w:w="0" w:type="dxa"/>
              <w:right w:w="108" w:type="dxa"/>
            </w:tcMar>
            <w:vAlign w:val="center"/>
          </w:tcPr>
          <w:p w14:paraId="0A74173A"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p>
        </w:tc>
        <w:tc>
          <w:tcPr>
            <w:tcW w:w="2533" w:type="dxa"/>
            <w:vMerge/>
            <w:vAlign w:val="center"/>
          </w:tcPr>
          <w:p w14:paraId="22ABD055" w14:textId="77777777" w:rsidR="00451A59" w:rsidRPr="00451A59" w:rsidRDefault="00451A59" w:rsidP="00451A59">
            <w:pPr>
              <w:shd w:val="clear" w:color="auto" w:fill="FFFFFF" w:themeFill="background1"/>
              <w:ind w:left="107" w:right="142"/>
              <w:jc w:val="both"/>
              <w:rPr>
                <w:rFonts w:ascii="Times New Roman" w:hAnsi="Times New Roman"/>
                <w:color w:val="000000"/>
                <w:spacing w:val="-3"/>
                <w:sz w:val="20"/>
                <w:szCs w:val="20"/>
                <w:lang w:val="lt-LT"/>
              </w:rPr>
            </w:pPr>
          </w:p>
        </w:tc>
        <w:tc>
          <w:tcPr>
            <w:tcW w:w="3260" w:type="dxa"/>
          </w:tcPr>
          <w:p w14:paraId="34641290" w14:textId="77777777" w:rsidR="00451A59" w:rsidRPr="00451A59" w:rsidRDefault="00451A59" w:rsidP="00451A59">
            <w:pPr>
              <w:pStyle w:val="ListParagraph"/>
              <w:numPr>
                <w:ilvl w:val="0"/>
                <w:numId w:val="20"/>
              </w:numPr>
              <w:shd w:val="clear" w:color="auto" w:fill="FFFFFF" w:themeFill="background1"/>
              <w:ind w:right="141"/>
              <w:jc w:val="both"/>
              <w:rPr>
                <w:rFonts w:ascii="Times New Roman" w:hAnsi="Times New Roman"/>
                <w:color w:val="000000"/>
                <w:spacing w:val="-3"/>
                <w:sz w:val="20"/>
                <w:szCs w:val="20"/>
              </w:rPr>
            </w:pPr>
            <w:r w:rsidRPr="00451A59">
              <w:rPr>
                <w:rFonts w:ascii="Times New Roman" w:hAnsi="Times New Roman"/>
                <w:color w:val="000000"/>
                <w:spacing w:val="-3"/>
                <w:sz w:val="19"/>
                <w:szCs w:val="19"/>
              </w:rPr>
              <w:t>Pasirašytas ketinimų protokolas</w:t>
            </w:r>
          </w:p>
        </w:tc>
        <w:tc>
          <w:tcPr>
            <w:tcW w:w="851" w:type="dxa"/>
          </w:tcPr>
          <w:p w14:paraId="7E28F54D"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IV ketv.</w:t>
            </w:r>
          </w:p>
        </w:tc>
        <w:tc>
          <w:tcPr>
            <w:tcW w:w="1436" w:type="dxa"/>
          </w:tcPr>
          <w:p w14:paraId="045786C2" w14:textId="77777777" w:rsidR="00451A59" w:rsidRPr="00451A59" w:rsidRDefault="00451A59" w:rsidP="00451A59">
            <w:pPr>
              <w:shd w:val="clear" w:color="auto" w:fill="FFFFFF" w:themeFill="background1"/>
              <w:rPr>
                <w:rFonts w:ascii="Times New Roman" w:hAnsi="Times New Roman"/>
                <w:spacing w:val="-3"/>
                <w:sz w:val="20"/>
                <w:szCs w:val="20"/>
                <w:lang w:val="lt-LT"/>
              </w:rPr>
            </w:pPr>
            <w:r w:rsidRPr="00451A59">
              <w:rPr>
                <w:rFonts w:ascii="Times New Roman" w:hAnsi="Times New Roman"/>
                <w:spacing w:val="-3"/>
                <w:sz w:val="20"/>
                <w:szCs w:val="20"/>
                <w:lang w:val="lt-LT"/>
              </w:rPr>
              <w:t xml:space="preserve">Ne mažiau nei 1 kietinimų /bendradarbiavimo protokolai </w:t>
            </w:r>
          </w:p>
        </w:tc>
        <w:tc>
          <w:tcPr>
            <w:tcW w:w="1276" w:type="dxa"/>
            <w:tcMar>
              <w:top w:w="0" w:type="dxa"/>
              <w:left w:w="108" w:type="dxa"/>
              <w:bottom w:w="0" w:type="dxa"/>
              <w:right w:w="108" w:type="dxa"/>
            </w:tcMar>
            <w:vAlign w:val="center"/>
          </w:tcPr>
          <w:p w14:paraId="2CD976A7" w14:textId="08E33C2F" w:rsidR="00451A59" w:rsidRPr="00451A59" w:rsidRDefault="00E934B0" w:rsidP="00451A59">
            <w:pPr>
              <w:shd w:val="clear" w:color="auto" w:fill="FFFFFF" w:themeFill="background1"/>
              <w:jc w:val="center"/>
              <w:rPr>
                <w:rFonts w:ascii="Times New Roman" w:hAnsi="Times New Roman"/>
                <w:sz w:val="20"/>
                <w:szCs w:val="20"/>
                <w:lang w:val="lt-LT"/>
              </w:rPr>
            </w:pPr>
            <w:r>
              <w:rPr>
                <w:rFonts w:ascii="Times New Roman" w:hAnsi="Times New Roman"/>
                <w:color w:val="FF0000"/>
                <w:sz w:val="20"/>
                <w:szCs w:val="20"/>
                <w:lang w:val="lt-LT"/>
              </w:rPr>
              <w:t>n</w:t>
            </w:r>
            <w:r w:rsidR="00451A59" w:rsidRPr="00451A59">
              <w:rPr>
                <w:rFonts w:ascii="Times New Roman" w:hAnsi="Times New Roman"/>
                <w:color w:val="FF0000"/>
                <w:sz w:val="20"/>
                <w:szCs w:val="20"/>
                <w:lang w:val="lt-LT"/>
              </w:rPr>
              <w:t>eįvykdytas</w:t>
            </w:r>
          </w:p>
        </w:tc>
        <w:tc>
          <w:tcPr>
            <w:tcW w:w="3135" w:type="dxa"/>
            <w:tcMar>
              <w:top w:w="0" w:type="dxa"/>
              <w:left w:w="108" w:type="dxa"/>
              <w:bottom w:w="0" w:type="dxa"/>
              <w:right w:w="108" w:type="dxa"/>
            </w:tcMar>
            <w:vAlign w:val="center"/>
          </w:tcPr>
          <w:p w14:paraId="2DA9A4A8"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 xml:space="preserve">Žr. 12.1.1 </w:t>
            </w:r>
          </w:p>
        </w:tc>
      </w:tr>
      <w:tr w:rsidR="00451A59" w:rsidRPr="00451A59" w14:paraId="0EE66E53" w14:textId="77777777" w:rsidTr="00D7567A">
        <w:trPr>
          <w:trHeight w:val="406"/>
        </w:trPr>
        <w:tc>
          <w:tcPr>
            <w:tcW w:w="694" w:type="dxa"/>
            <w:tcBorders>
              <w:top w:val="single" w:sz="4" w:space="0" w:color="auto"/>
            </w:tcBorders>
            <w:tcMar>
              <w:top w:w="0" w:type="dxa"/>
              <w:left w:w="108" w:type="dxa"/>
              <w:bottom w:w="0" w:type="dxa"/>
              <w:right w:w="108" w:type="dxa"/>
            </w:tcMar>
            <w:vAlign w:val="center"/>
          </w:tcPr>
          <w:p w14:paraId="11DA66AB" w14:textId="77777777" w:rsidR="00451A59" w:rsidRPr="00451A59" w:rsidRDefault="00451A59" w:rsidP="00451A59">
            <w:pPr>
              <w:pStyle w:val="ListParagraph"/>
              <w:numPr>
                <w:ilvl w:val="0"/>
                <w:numId w:val="30"/>
              </w:numPr>
              <w:shd w:val="clear" w:color="auto" w:fill="FFFFFF" w:themeFill="background1"/>
              <w:tabs>
                <w:tab w:val="left" w:pos="142"/>
              </w:tabs>
              <w:spacing w:after="120" w:line="252" w:lineRule="auto"/>
              <w:ind w:left="584" w:hanging="357"/>
              <w:jc w:val="center"/>
              <w:rPr>
                <w:rFonts w:ascii="Times New Roman" w:eastAsia="Calibri" w:hAnsi="Times New Roman"/>
                <w:sz w:val="20"/>
                <w:szCs w:val="20"/>
              </w:rPr>
            </w:pPr>
          </w:p>
        </w:tc>
        <w:tc>
          <w:tcPr>
            <w:tcW w:w="992" w:type="dxa"/>
            <w:tcMar>
              <w:top w:w="0" w:type="dxa"/>
              <w:left w:w="108" w:type="dxa"/>
              <w:bottom w:w="0" w:type="dxa"/>
              <w:right w:w="108" w:type="dxa"/>
            </w:tcMar>
            <w:vAlign w:val="center"/>
          </w:tcPr>
          <w:p w14:paraId="02A16E30" w14:textId="77777777" w:rsidR="00451A59" w:rsidRPr="00451A59" w:rsidRDefault="00451A59" w:rsidP="00451A59">
            <w:pPr>
              <w:shd w:val="clear" w:color="auto" w:fill="FFFFFF" w:themeFill="background1"/>
              <w:spacing w:line="276" w:lineRule="auto"/>
              <w:jc w:val="center"/>
              <w:rPr>
                <w:rFonts w:ascii="Times New Roman" w:eastAsia="Calibri" w:hAnsi="Times New Roman"/>
                <w:sz w:val="20"/>
                <w:szCs w:val="20"/>
                <w:lang w:val="lt-LT"/>
              </w:rPr>
            </w:pPr>
            <w:r w:rsidRPr="00451A59">
              <w:rPr>
                <w:rFonts w:ascii="Times New Roman" w:eastAsia="Calibri" w:hAnsi="Times New Roman"/>
                <w:sz w:val="20"/>
                <w:szCs w:val="20"/>
                <w:lang w:val="lt-LT"/>
              </w:rPr>
              <w:t>12.2</w:t>
            </w:r>
          </w:p>
        </w:tc>
        <w:tc>
          <w:tcPr>
            <w:tcW w:w="2533" w:type="dxa"/>
            <w:vAlign w:val="center"/>
          </w:tcPr>
          <w:p w14:paraId="060CE688" w14:textId="77777777" w:rsidR="00451A59" w:rsidRPr="00451A59" w:rsidRDefault="00451A59" w:rsidP="00451A59">
            <w:pPr>
              <w:shd w:val="clear" w:color="auto" w:fill="FFFFFF" w:themeFill="background1"/>
              <w:ind w:left="107" w:right="142"/>
              <w:jc w:val="both"/>
              <w:rPr>
                <w:rFonts w:ascii="Times New Roman" w:hAnsi="Times New Roman"/>
                <w:color w:val="000000"/>
                <w:spacing w:val="-3"/>
                <w:sz w:val="20"/>
                <w:szCs w:val="20"/>
                <w:lang w:val="lt-LT"/>
              </w:rPr>
            </w:pPr>
            <w:r w:rsidRPr="00451A59">
              <w:rPr>
                <w:rFonts w:ascii="Times New Roman" w:hAnsi="Times New Roman"/>
                <w:color w:val="000000"/>
                <w:spacing w:val="-3"/>
                <w:sz w:val="20"/>
                <w:szCs w:val="20"/>
                <w:lang w:val="lt-LT"/>
              </w:rPr>
              <w:t>Priemonė – didinti personalo kompetenciją bei gerinti įmonės matomumą eksploatavimo nutraukimo srityje</w:t>
            </w:r>
          </w:p>
        </w:tc>
        <w:tc>
          <w:tcPr>
            <w:tcW w:w="3260" w:type="dxa"/>
          </w:tcPr>
          <w:p w14:paraId="37F4A0A3" w14:textId="77777777" w:rsidR="00451A59" w:rsidRPr="00451A59" w:rsidRDefault="00451A59" w:rsidP="00451A59">
            <w:pPr>
              <w:shd w:val="clear" w:color="auto" w:fill="FFFFFF" w:themeFill="background1"/>
              <w:ind w:left="107" w:right="141"/>
              <w:jc w:val="both"/>
              <w:rPr>
                <w:rFonts w:ascii="Times New Roman" w:hAnsi="Times New Roman"/>
                <w:color w:val="000000"/>
                <w:spacing w:val="-3"/>
                <w:sz w:val="20"/>
                <w:szCs w:val="20"/>
                <w:lang w:val="lt-LT"/>
              </w:rPr>
            </w:pPr>
          </w:p>
        </w:tc>
        <w:tc>
          <w:tcPr>
            <w:tcW w:w="851" w:type="dxa"/>
          </w:tcPr>
          <w:p w14:paraId="3EC364A6" w14:textId="77777777" w:rsidR="00451A59" w:rsidRPr="00451A59" w:rsidRDefault="00451A59" w:rsidP="00451A59">
            <w:pPr>
              <w:shd w:val="clear" w:color="auto" w:fill="FFFFFF" w:themeFill="background1"/>
              <w:jc w:val="center"/>
              <w:rPr>
                <w:rFonts w:ascii="Times New Roman" w:hAnsi="Times New Roman"/>
                <w:spacing w:val="-3"/>
                <w:sz w:val="20"/>
                <w:szCs w:val="20"/>
                <w:lang w:val="lt-LT"/>
              </w:rPr>
            </w:pPr>
            <w:r w:rsidRPr="00451A59">
              <w:rPr>
                <w:rFonts w:ascii="Times New Roman" w:hAnsi="Times New Roman"/>
                <w:spacing w:val="-3"/>
                <w:sz w:val="20"/>
                <w:szCs w:val="20"/>
                <w:lang w:val="lt-LT"/>
              </w:rPr>
              <w:t>IV ketv.</w:t>
            </w:r>
          </w:p>
        </w:tc>
        <w:tc>
          <w:tcPr>
            <w:tcW w:w="1436" w:type="dxa"/>
          </w:tcPr>
          <w:p w14:paraId="68F8FDE2" w14:textId="77777777" w:rsidR="00451A59" w:rsidRPr="00451A59" w:rsidRDefault="00451A59" w:rsidP="00451A59">
            <w:pPr>
              <w:shd w:val="clear" w:color="auto" w:fill="FFFFFF" w:themeFill="background1"/>
              <w:rPr>
                <w:rFonts w:ascii="Times New Roman" w:hAnsi="Times New Roman"/>
                <w:spacing w:val="-3"/>
                <w:sz w:val="20"/>
                <w:szCs w:val="20"/>
                <w:lang w:val="lt-LT"/>
              </w:rPr>
            </w:pPr>
            <w:r w:rsidRPr="00451A59">
              <w:rPr>
                <w:rFonts w:ascii="Times New Roman" w:hAnsi="Times New Roman"/>
                <w:spacing w:val="-3"/>
                <w:sz w:val="20"/>
                <w:szCs w:val="20"/>
                <w:lang w:val="lt-LT"/>
              </w:rPr>
              <w:t>5 pristatymai/ pranešimai ir parengtos ataskaitos</w:t>
            </w:r>
          </w:p>
        </w:tc>
        <w:tc>
          <w:tcPr>
            <w:tcW w:w="1276" w:type="dxa"/>
            <w:tcMar>
              <w:top w:w="0" w:type="dxa"/>
              <w:left w:w="108" w:type="dxa"/>
              <w:bottom w:w="0" w:type="dxa"/>
              <w:right w:w="108" w:type="dxa"/>
            </w:tcMar>
            <w:vAlign w:val="center"/>
          </w:tcPr>
          <w:p w14:paraId="3330AF2E" w14:textId="77777777" w:rsidR="00451A59" w:rsidRPr="00451A59" w:rsidRDefault="00451A59" w:rsidP="00451A59">
            <w:pPr>
              <w:shd w:val="clear" w:color="auto" w:fill="FFFFFF" w:themeFill="background1"/>
              <w:jc w:val="center"/>
              <w:rPr>
                <w:rFonts w:ascii="Times New Roman" w:hAnsi="Times New Roman"/>
                <w:sz w:val="20"/>
                <w:szCs w:val="20"/>
                <w:lang w:val="lt-LT"/>
              </w:rPr>
            </w:pPr>
            <w:r w:rsidRPr="00451A59">
              <w:rPr>
                <w:rFonts w:ascii="Times New Roman" w:hAnsi="Times New Roman"/>
                <w:sz w:val="20"/>
                <w:szCs w:val="20"/>
                <w:lang w:val="lt-LT"/>
              </w:rPr>
              <w:t>įvykdytas</w:t>
            </w:r>
          </w:p>
        </w:tc>
        <w:tc>
          <w:tcPr>
            <w:tcW w:w="3135" w:type="dxa"/>
            <w:tcMar>
              <w:top w:w="0" w:type="dxa"/>
              <w:left w:w="108" w:type="dxa"/>
              <w:bottom w:w="0" w:type="dxa"/>
              <w:right w:w="108" w:type="dxa"/>
            </w:tcMar>
            <w:vAlign w:val="center"/>
          </w:tcPr>
          <w:p w14:paraId="6DBD36A6" w14:textId="77777777" w:rsidR="00451A59" w:rsidRPr="00451A59" w:rsidRDefault="00451A59" w:rsidP="00451A59">
            <w:pPr>
              <w:shd w:val="clear" w:color="auto" w:fill="FFFFFF" w:themeFill="background1"/>
              <w:jc w:val="center"/>
              <w:rPr>
                <w:rFonts w:ascii="Times New Roman" w:hAnsi="Times New Roman"/>
                <w:sz w:val="20"/>
                <w:szCs w:val="20"/>
                <w:lang w:val="lt-LT"/>
              </w:rPr>
            </w:pPr>
          </w:p>
        </w:tc>
      </w:tr>
    </w:tbl>
    <w:p w14:paraId="39232EE9" w14:textId="77777777" w:rsidR="00451A59" w:rsidRPr="00451A59" w:rsidRDefault="00451A59" w:rsidP="00451A59">
      <w:pPr>
        <w:shd w:val="clear" w:color="auto" w:fill="FFFFFF" w:themeFill="background1"/>
        <w:rPr>
          <w:rFonts w:ascii="Times New Roman" w:eastAsia="Calibri" w:hAnsi="Times New Roman"/>
          <w:sz w:val="20"/>
          <w:szCs w:val="20"/>
          <w:lang w:val="lt-LT"/>
        </w:rPr>
      </w:pPr>
    </w:p>
    <w:p w14:paraId="7B8BCA09" w14:textId="77777777" w:rsidR="00451A59" w:rsidRPr="00451A59" w:rsidRDefault="00451A59" w:rsidP="00451A59">
      <w:pPr>
        <w:jc w:val="center"/>
        <w:rPr>
          <w:rFonts w:ascii="Times New Roman" w:hAnsi="Times New Roman"/>
          <w:b/>
          <w:lang w:val="lt-LT"/>
        </w:rPr>
      </w:pPr>
    </w:p>
    <w:p w14:paraId="7394606B" w14:textId="77777777" w:rsidR="007139D6" w:rsidRPr="009D0E28" w:rsidRDefault="00451A59" w:rsidP="007139D6">
      <w:pPr>
        <w:shd w:val="clear" w:color="auto" w:fill="FFFFFF" w:themeFill="background1"/>
        <w:rPr>
          <w:rFonts w:ascii="Times New Roman" w:hAnsi="Times New Roman"/>
          <w:b/>
          <w:sz w:val="20"/>
          <w:szCs w:val="20"/>
        </w:rPr>
      </w:pPr>
      <w:r w:rsidRPr="00451A59">
        <w:rPr>
          <w:b/>
          <w:sz w:val="20"/>
          <w:szCs w:val="20"/>
          <w:lang w:val="lt-LT"/>
        </w:rPr>
        <w:t xml:space="preserve"> </w:t>
      </w:r>
      <w:r w:rsidR="007139D6" w:rsidRPr="00E95EC1">
        <w:rPr>
          <w:rFonts w:ascii="Times New Roman" w:hAnsi="Times New Roman"/>
          <w:b/>
          <w:sz w:val="20"/>
          <w:szCs w:val="20"/>
        </w:rPr>
        <w:t xml:space="preserve">2. </w:t>
      </w:r>
      <w:proofErr w:type="spellStart"/>
      <w:r w:rsidR="007139D6" w:rsidRPr="00E95EC1">
        <w:rPr>
          <w:rFonts w:ascii="Times New Roman" w:eastAsia="Calibri" w:hAnsi="Times New Roman"/>
          <w:b/>
          <w:sz w:val="20"/>
          <w:szCs w:val="20"/>
        </w:rPr>
        <w:t>Efekto</w:t>
      </w:r>
      <w:proofErr w:type="spellEnd"/>
      <w:r w:rsidR="007139D6" w:rsidRPr="00E95EC1">
        <w:rPr>
          <w:rFonts w:ascii="Times New Roman" w:eastAsia="Calibri" w:hAnsi="Times New Roman"/>
          <w:b/>
          <w:sz w:val="20"/>
          <w:szCs w:val="20"/>
        </w:rPr>
        <w:t xml:space="preserve"> </w:t>
      </w:r>
      <w:proofErr w:type="spellStart"/>
      <w:r w:rsidR="007139D6" w:rsidRPr="00E95EC1">
        <w:rPr>
          <w:rFonts w:ascii="Times New Roman" w:eastAsia="Calibri" w:hAnsi="Times New Roman"/>
          <w:b/>
          <w:sz w:val="20"/>
          <w:szCs w:val="20"/>
        </w:rPr>
        <w:t>vertinimo</w:t>
      </w:r>
      <w:proofErr w:type="spellEnd"/>
      <w:r w:rsidR="007139D6" w:rsidRPr="00E95EC1">
        <w:rPr>
          <w:rFonts w:ascii="Times New Roman" w:eastAsia="Calibri" w:hAnsi="Times New Roman"/>
          <w:b/>
          <w:sz w:val="20"/>
          <w:szCs w:val="20"/>
        </w:rPr>
        <w:t xml:space="preserve"> </w:t>
      </w:r>
      <w:proofErr w:type="spellStart"/>
      <w:r w:rsidR="007139D6" w:rsidRPr="00E95EC1">
        <w:rPr>
          <w:rFonts w:ascii="Times New Roman" w:eastAsia="Calibri" w:hAnsi="Times New Roman"/>
          <w:b/>
          <w:sz w:val="20"/>
          <w:szCs w:val="20"/>
        </w:rPr>
        <w:t>kriterijus</w:t>
      </w:r>
      <w:proofErr w:type="spellEnd"/>
      <w:r w:rsidR="007139D6" w:rsidRPr="00E95EC1">
        <w:rPr>
          <w:rFonts w:ascii="Times New Roman" w:eastAsia="Calibri" w:hAnsi="Times New Roman"/>
          <w:b/>
          <w:sz w:val="20"/>
          <w:szCs w:val="20"/>
        </w:rPr>
        <w:t xml:space="preserve"> E-02-02 „</w:t>
      </w:r>
      <w:proofErr w:type="spellStart"/>
      <w:r w:rsidR="007139D6" w:rsidRPr="00E95EC1">
        <w:rPr>
          <w:rFonts w:ascii="Times New Roman" w:eastAsia="Calibri" w:hAnsi="Times New Roman"/>
          <w:b/>
          <w:sz w:val="20"/>
          <w:szCs w:val="20"/>
        </w:rPr>
        <w:t>Galiojančių</w:t>
      </w:r>
      <w:proofErr w:type="spellEnd"/>
      <w:r w:rsidR="007139D6" w:rsidRPr="00E95EC1">
        <w:rPr>
          <w:rFonts w:ascii="Times New Roman" w:eastAsia="Calibri" w:hAnsi="Times New Roman"/>
          <w:b/>
          <w:sz w:val="20"/>
          <w:szCs w:val="20"/>
        </w:rPr>
        <w:t xml:space="preserve"> </w:t>
      </w:r>
      <w:proofErr w:type="spellStart"/>
      <w:r w:rsidR="007139D6" w:rsidRPr="00E95EC1">
        <w:rPr>
          <w:rFonts w:ascii="Times New Roman" w:eastAsia="Calibri" w:hAnsi="Times New Roman"/>
          <w:b/>
          <w:sz w:val="20"/>
          <w:szCs w:val="20"/>
        </w:rPr>
        <w:t>Ignalinos</w:t>
      </w:r>
      <w:proofErr w:type="spellEnd"/>
      <w:r w:rsidR="007139D6" w:rsidRPr="00E95EC1">
        <w:rPr>
          <w:rFonts w:ascii="Times New Roman" w:eastAsia="Calibri" w:hAnsi="Times New Roman"/>
          <w:b/>
          <w:sz w:val="20"/>
          <w:szCs w:val="20"/>
        </w:rPr>
        <w:t xml:space="preserve"> AE VATESI </w:t>
      </w:r>
      <w:proofErr w:type="spellStart"/>
      <w:r w:rsidR="007139D6" w:rsidRPr="00E95EC1">
        <w:rPr>
          <w:rFonts w:ascii="Times New Roman" w:eastAsia="Calibri" w:hAnsi="Times New Roman"/>
          <w:b/>
          <w:sz w:val="20"/>
          <w:szCs w:val="20"/>
        </w:rPr>
        <w:t>išduotų</w:t>
      </w:r>
      <w:proofErr w:type="spellEnd"/>
      <w:r w:rsidR="007139D6" w:rsidRPr="00E95EC1">
        <w:rPr>
          <w:rFonts w:ascii="Times New Roman" w:eastAsia="Calibri" w:hAnsi="Times New Roman"/>
          <w:b/>
          <w:sz w:val="20"/>
          <w:szCs w:val="20"/>
        </w:rPr>
        <w:t xml:space="preserve"> </w:t>
      </w:r>
      <w:proofErr w:type="spellStart"/>
      <w:r w:rsidR="007139D6" w:rsidRPr="00E95EC1">
        <w:rPr>
          <w:rFonts w:ascii="Times New Roman" w:eastAsia="Calibri" w:hAnsi="Times New Roman"/>
          <w:b/>
          <w:sz w:val="20"/>
          <w:szCs w:val="20"/>
        </w:rPr>
        <w:t>licencijų</w:t>
      </w:r>
      <w:proofErr w:type="spellEnd"/>
      <w:r w:rsidR="007139D6" w:rsidRPr="00E95EC1">
        <w:rPr>
          <w:rFonts w:ascii="Times New Roman" w:eastAsia="Calibri" w:hAnsi="Times New Roman"/>
          <w:b/>
          <w:sz w:val="20"/>
          <w:szCs w:val="20"/>
        </w:rPr>
        <w:t xml:space="preserve"> </w:t>
      </w:r>
      <w:proofErr w:type="spellStart"/>
      <w:r w:rsidR="007139D6" w:rsidRPr="00E95EC1">
        <w:rPr>
          <w:rFonts w:ascii="Times New Roman" w:eastAsia="Calibri" w:hAnsi="Times New Roman"/>
          <w:b/>
          <w:sz w:val="20"/>
          <w:szCs w:val="20"/>
        </w:rPr>
        <w:t>dalis</w:t>
      </w:r>
      <w:proofErr w:type="spellEnd"/>
      <w:r w:rsidR="007139D6" w:rsidRPr="00E95EC1">
        <w:rPr>
          <w:rFonts w:ascii="Times New Roman" w:eastAsia="Calibri" w:hAnsi="Times New Roman"/>
          <w:b/>
          <w:sz w:val="20"/>
          <w:szCs w:val="20"/>
        </w:rPr>
        <w:t xml:space="preserve">, </w:t>
      </w:r>
      <w:proofErr w:type="spellStart"/>
      <w:proofErr w:type="gramStart"/>
      <w:r w:rsidR="007139D6" w:rsidRPr="00E95EC1">
        <w:rPr>
          <w:rFonts w:ascii="Times New Roman" w:eastAsia="Calibri" w:hAnsi="Times New Roman"/>
          <w:b/>
          <w:sz w:val="20"/>
          <w:szCs w:val="20"/>
        </w:rPr>
        <w:t>procentai</w:t>
      </w:r>
      <w:proofErr w:type="spellEnd"/>
      <w:r w:rsidR="007139D6" w:rsidRPr="00E95EC1">
        <w:rPr>
          <w:rFonts w:ascii="Times New Roman" w:eastAsia="Calibri" w:hAnsi="Times New Roman"/>
          <w:b/>
          <w:sz w:val="20"/>
          <w:szCs w:val="20"/>
        </w:rPr>
        <w:t>“</w:t>
      </w:r>
      <w:proofErr w:type="gramEnd"/>
    </w:p>
    <w:p w14:paraId="1E43E421" w14:textId="77777777" w:rsidR="007139D6" w:rsidRPr="009D0E28" w:rsidRDefault="007139D6" w:rsidP="007139D6">
      <w:pPr>
        <w:shd w:val="clear" w:color="auto" w:fill="FFFFFF" w:themeFill="background1"/>
        <w:rPr>
          <w:rFonts w:ascii="Times New Roman" w:hAnsi="Times New Roman"/>
          <w:b/>
          <w:sz w:val="20"/>
          <w:szCs w:val="20"/>
        </w:rPr>
      </w:pPr>
    </w:p>
    <w:p w14:paraId="2D939830" w14:textId="77777777" w:rsidR="007139D6" w:rsidRDefault="007139D6" w:rsidP="007139D6">
      <w:pPr>
        <w:shd w:val="clear" w:color="auto" w:fill="FFFFFF" w:themeFill="background1"/>
        <w:rPr>
          <w:rFonts w:ascii="Times New Roman" w:eastAsia="Calibri" w:hAnsi="Times New Roman"/>
          <w:sz w:val="20"/>
          <w:szCs w:val="20"/>
        </w:rPr>
      </w:pPr>
      <w:r>
        <w:rPr>
          <w:rFonts w:ascii="Times New Roman" w:eastAsia="Calibri" w:hAnsi="Times New Roman"/>
          <w:sz w:val="20"/>
          <w:szCs w:val="20"/>
        </w:rPr>
        <w:t xml:space="preserve">E-02-02 </w:t>
      </w:r>
      <w:proofErr w:type="spellStart"/>
      <w:r>
        <w:rPr>
          <w:rFonts w:ascii="Times New Roman" w:eastAsia="Calibri" w:hAnsi="Times New Roman"/>
          <w:sz w:val="20"/>
          <w:szCs w:val="20"/>
        </w:rPr>
        <w:t>kriterijaus</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paskaičiavimas</w:t>
      </w:r>
      <w:proofErr w:type="spellEnd"/>
      <w:r>
        <w:rPr>
          <w:rFonts w:ascii="Times New Roman" w:eastAsia="Calibri" w:hAnsi="Times New Roman"/>
          <w:sz w:val="20"/>
          <w:szCs w:val="20"/>
        </w:rPr>
        <w:t>:</w:t>
      </w:r>
    </w:p>
    <w:p w14:paraId="124226E2" w14:textId="77777777" w:rsidR="007139D6" w:rsidRPr="009D0E28" w:rsidRDefault="007139D6" w:rsidP="007139D6">
      <w:pPr>
        <w:shd w:val="clear" w:color="auto" w:fill="FFFFFF" w:themeFill="background1"/>
        <w:rPr>
          <w:rFonts w:ascii="Times New Roman" w:eastAsia="Calibri" w:hAnsi="Times New Roman"/>
          <w:sz w:val="20"/>
          <w:szCs w:val="20"/>
        </w:rPr>
      </w:pPr>
    </w:p>
    <w:p w14:paraId="0EDA5D7C" w14:textId="5D22C960" w:rsidR="007139D6" w:rsidRPr="009D0E28" w:rsidRDefault="007139D6" w:rsidP="007139D6">
      <w:pPr>
        <w:shd w:val="clear" w:color="auto" w:fill="FFFFFF" w:themeFill="background1"/>
        <w:rPr>
          <w:rFonts w:ascii="Times New Roman" w:eastAsia="Calibri" w:hAnsi="Times New Roman"/>
          <w:sz w:val="20"/>
          <w:szCs w:val="20"/>
        </w:rPr>
      </w:pPr>
      <w:r w:rsidRPr="009D0E28">
        <w:rPr>
          <w:rFonts w:ascii="Times New Roman" w:eastAsia="Calibri" w:hAnsi="Times New Roman"/>
          <w:sz w:val="20"/>
          <w:szCs w:val="20"/>
        </w:rPr>
        <w:t>E-0</w:t>
      </w:r>
      <w:r>
        <w:rPr>
          <w:rFonts w:ascii="Times New Roman" w:eastAsia="Calibri" w:hAnsi="Times New Roman"/>
          <w:sz w:val="20"/>
          <w:szCs w:val="20"/>
        </w:rPr>
        <w:t>2-02</w:t>
      </w:r>
      <w:r w:rsidRPr="009D0E28">
        <w:rPr>
          <w:rFonts w:ascii="Times New Roman" w:eastAsia="Calibri" w:hAnsi="Times New Roman"/>
          <w:sz w:val="20"/>
          <w:szCs w:val="20"/>
        </w:rPr>
        <w:t xml:space="preserve"> = (</w:t>
      </w:r>
      <w:proofErr w:type="spellStart"/>
      <w:r>
        <w:rPr>
          <w:rFonts w:ascii="Times New Roman" w:eastAsia="Calibri" w:hAnsi="Times New Roman"/>
          <w:sz w:val="20"/>
          <w:szCs w:val="20"/>
        </w:rPr>
        <w:t>galiojančių</w:t>
      </w:r>
      <w:proofErr w:type="spellEnd"/>
      <w:r>
        <w:rPr>
          <w:rFonts w:ascii="Times New Roman" w:eastAsia="Calibri" w:hAnsi="Times New Roman"/>
          <w:sz w:val="20"/>
          <w:szCs w:val="20"/>
        </w:rPr>
        <w:t xml:space="preserve"> IAE VATESI </w:t>
      </w:r>
      <w:proofErr w:type="spellStart"/>
      <w:r>
        <w:rPr>
          <w:rFonts w:ascii="Times New Roman" w:eastAsia="Calibri" w:hAnsi="Times New Roman"/>
          <w:sz w:val="20"/>
          <w:szCs w:val="20"/>
        </w:rPr>
        <w:t>išduotų</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licencijų</w:t>
      </w:r>
      <w:proofErr w:type="spellEnd"/>
      <w:r w:rsidRPr="009D0E28">
        <w:rPr>
          <w:rFonts w:ascii="Times New Roman" w:eastAsia="Calibri" w:hAnsi="Times New Roman"/>
          <w:sz w:val="20"/>
          <w:szCs w:val="20"/>
        </w:rPr>
        <w:t xml:space="preserve"> </w:t>
      </w:r>
      <w:proofErr w:type="spellStart"/>
      <w:r w:rsidRPr="009D0E28">
        <w:rPr>
          <w:rFonts w:ascii="Times New Roman" w:eastAsia="Calibri" w:hAnsi="Times New Roman"/>
          <w:sz w:val="20"/>
          <w:szCs w:val="20"/>
        </w:rPr>
        <w:t>skaičius</w:t>
      </w:r>
      <w:proofErr w:type="spellEnd"/>
      <w:r w:rsidRPr="009D0E28">
        <w:rPr>
          <w:rFonts w:ascii="Times New Roman" w:eastAsia="Calibri" w:hAnsi="Times New Roman"/>
          <w:sz w:val="20"/>
          <w:szCs w:val="20"/>
        </w:rPr>
        <w:t xml:space="preserve"> / </w:t>
      </w:r>
      <w:proofErr w:type="spellStart"/>
      <w:r>
        <w:rPr>
          <w:rFonts w:ascii="Times New Roman" w:eastAsia="Calibri" w:hAnsi="Times New Roman"/>
          <w:sz w:val="20"/>
          <w:szCs w:val="20"/>
        </w:rPr>
        <w:t>bendras</w:t>
      </w:r>
      <w:proofErr w:type="spellEnd"/>
      <w:r>
        <w:rPr>
          <w:rFonts w:ascii="Times New Roman" w:eastAsia="Calibri" w:hAnsi="Times New Roman"/>
          <w:sz w:val="20"/>
          <w:szCs w:val="20"/>
        </w:rPr>
        <w:t xml:space="preserve"> IAE VATESI </w:t>
      </w:r>
      <w:proofErr w:type="spellStart"/>
      <w:r>
        <w:rPr>
          <w:rFonts w:ascii="Times New Roman" w:eastAsia="Calibri" w:hAnsi="Times New Roman"/>
          <w:sz w:val="20"/>
          <w:szCs w:val="20"/>
        </w:rPr>
        <w:t>išduotų</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licencijų</w:t>
      </w:r>
      <w:proofErr w:type="spellEnd"/>
      <w:r w:rsidRPr="009D0E28">
        <w:rPr>
          <w:rFonts w:ascii="Times New Roman" w:eastAsia="Calibri" w:hAnsi="Times New Roman"/>
          <w:sz w:val="20"/>
          <w:szCs w:val="20"/>
        </w:rPr>
        <w:t xml:space="preserve"> </w:t>
      </w:r>
      <w:proofErr w:type="spellStart"/>
      <w:proofErr w:type="gramStart"/>
      <w:r w:rsidRPr="009D0E28">
        <w:rPr>
          <w:rFonts w:ascii="Times New Roman" w:eastAsia="Calibri" w:hAnsi="Times New Roman"/>
          <w:sz w:val="20"/>
          <w:szCs w:val="20"/>
        </w:rPr>
        <w:t>skaičius</w:t>
      </w:r>
      <w:proofErr w:type="spellEnd"/>
      <w:r w:rsidRPr="009D0E28">
        <w:rPr>
          <w:rFonts w:ascii="Times New Roman" w:eastAsia="Calibri" w:hAnsi="Times New Roman"/>
          <w:sz w:val="20"/>
          <w:szCs w:val="20"/>
        </w:rPr>
        <w:t>)*</w:t>
      </w:r>
      <w:proofErr w:type="gramEnd"/>
      <w:r w:rsidRPr="009D0E28">
        <w:rPr>
          <w:rFonts w:ascii="Times New Roman" w:eastAsia="Calibri" w:hAnsi="Times New Roman"/>
          <w:sz w:val="20"/>
          <w:szCs w:val="20"/>
        </w:rPr>
        <w:t>100</w:t>
      </w:r>
      <w:r w:rsidRPr="006446D5">
        <w:rPr>
          <w:rFonts w:ascii="Times New Roman" w:eastAsia="Calibri" w:hAnsi="Times New Roman"/>
          <w:sz w:val="20"/>
          <w:szCs w:val="20"/>
        </w:rPr>
        <w:t>%</w:t>
      </w:r>
      <w:r w:rsidR="006446D5" w:rsidRPr="006446D5">
        <w:rPr>
          <w:rFonts w:ascii="Times New Roman" w:hAnsi="Times New Roman"/>
          <w:sz w:val="20"/>
          <w:szCs w:val="20"/>
        </w:rPr>
        <w:t>=(13/13)*100%=100%</w:t>
      </w:r>
    </w:p>
    <w:p w14:paraId="6A41060E" w14:textId="77777777" w:rsidR="007139D6" w:rsidRDefault="007139D6" w:rsidP="007139D6">
      <w:pPr>
        <w:shd w:val="clear" w:color="auto" w:fill="FFFFFF" w:themeFill="background1"/>
        <w:rPr>
          <w:rFonts w:ascii="Times New Roman" w:hAnsi="Times New Roman"/>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80" w:firstRow="0" w:lastRow="0" w:firstColumn="1" w:lastColumn="0" w:noHBand="0" w:noVBand="1"/>
      </w:tblPr>
      <w:tblGrid>
        <w:gridCol w:w="534"/>
        <w:gridCol w:w="10914"/>
        <w:gridCol w:w="2340"/>
      </w:tblGrid>
      <w:tr w:rsidR="007139D6" w:rsidRPr="0043362A" w14:paraId="1B1FCFA4" w14:textId="77777777" w:rsidTr="002F3DF3">
        <w:trPr>
          <w:trHeight w:val="340"/>
        </w:trPr>
        <w:tc>
          <w:tcPr>
            <w:tcW w:w="534" w:type="dxa"/>
            <w:vAlign w:val="center"/>
          </w:tcPr>
          <w:p w14:paraId="5B924723" w14:textId="77777777" w:rsidR="007139D6" w:rsidRPr="00E95EC1" w:rsidRDefault="007139D6" w:rsidP="002F3DF3">
            <w:pPr>
              <w:shd w:val="clear" w:color="auto" w:fill="FFFFFF" w:themeFill="background1"/>
              <w:jc w:val="center"/>
              <w:rPr>
                <w:rFonts w:ascii="Times New Roman" w:hAnsi="Times New Roman"/>
                <w:b/>
                <w:color w:val="000000" w:themeColor="text1"/>
                <w:sz w:val="20"/>
                <w:szCs w:val="20"/>
              </w:rPr>
            </w:pPr>
            <w:r w:rsidRPr="00E95EC1">
              <w:rPr>
                <w:rFonts w:ascii="Times New Roman" w:hAnsi="Times New Roman"/>
                <w:b/>
                <w:color w:val="000000" w:themeColor="text1"/>
                <w:sz w:val="20"/>
                <w:szCs w:val="20"/>
              </w:rPr>
              <w:t>Nr.</w:t>
            </w:r>
          </w:p>
        </w:tc>
        <w:tc>
          <w:tcPr>
            <w:tcW w:w="10914" w:type="dxa"/>
            <w:vAlign w:val="center"/>
          </w:tcPr>
          <w:p w14:paraId="15BFF3D1" w14:textId="77777777" w:rsidR="007139D6" w:rsidRPr="00E95EC1" w:rsidRDefault="007139D6" w:rsidP="002F3DF3">
            <w:pPr>
              <w:shd w:val="clear" w:color="auto" w:fill="FFFFFF" w:themeFill="background1"/>
              <w:jc w:val="center"/>
              <w:rPr>
                <w:rFonts w:ascii="Times New Roman" w:hAnsi="Times New Roman"/>
                <w:b/>
                <w:color w:val="000000" w:themeColor="text1"/>
                <w:sz w:val="20"/>
                <w:szCs w:val="20"/>
              </w:rPr>
            </w:pPr>
            <w:r w:rsidRPr="00E95EC1">
              <w:rPr>
                <w:rFonts w:ascii="Times New Roman" w:hAnsi="Times New Roman"/>
                <w:b/>
                <w:color w:val="000000" w:themeColor="text1"/>
                <w:sz w:val="20"/>
                <w:szCs w:val="20"/>
              </w:rPr>
              <w:t xml:space="preserve">VATESI </w:t>
            </w:r>
            <w:proofErr w:type="spellStart"/>
            <w:r w:rsidRPr="00E95EC1">
              <w:rPr>
                <w:rFonts w:ascii="Times New Roman" w:hAnsi="Times New Roman"/>
                <w:b/>
                <w:color w:val="000000" w:themeColor="text1"/>
                <w:sz w:val="20"/>
                <w:szCs w:val="20"/>
              </w:rPr>
              <w:t>išduotos</w:t>
            </w:r>
            <w:proofErr w:type="spellEnd"/>
            <w:r w:rsidRPr="00E95EC1">
              <w:rPr>
                <w:rFonts w:ascii="Times New Roman" w:hAnsi="Times New Roman"/>
                <w:b/>
                <w:color w:val="000000" w:themeColor="text1"/>
                <w:sz w:val="20"/>
                <w:szCs w:val="20"/>
              </w:rPr>
              <w:t xml:space="preserve"> </w:t>
            </w:r>
            <w:proofErr w:type="spellStart"/>
            <w:r w:rsidRPr="00E95EC1">
              <w:rPr>
                <w:rFonts w:ascii="Times New Roman" w:hAnsi="Times New Roman"/>
                <w:b/>
                <w:color w:val="000000" w:themeColor="text1"/>
                <w:sz w:val="20"/>
                <w:szCs w:val="20"/>
              </w:rPr>
              <w:t>licencijos</w:t>
            </w:r>
            <w:proofErr w:type="spellEnd"/>
          </w:p>
        </w:tc>
        <w:tc>
          <w:tcPr>
            <w:tcW w:w="2340" w:type="dxa"/>
          </w:tcPr>
          <w:p w14:paraId="7FF95431"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
        </w:tc>
      </w:tr>
      <w:tr w:rsidR="007139D6" w:rsidRPr="0043362A" w14:paraId="70692308" w14:textId="77777777" w:rsidTr="002F3DF3">
        <w:trPr>
          <w:trHeight w:val="340"/>
        </w:trPr>
        <w:tc>
          <w:tcPr>
            <w:tcW w:w="534" w:type="dxa"/>
          </w:tcPr>
          <w:p w14:paraId="2E6D9986"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1.</w:t>
            </w:r>
          </w:p>
        </w:tc>
        <w:tc>
          <w:tcPr>
            <w:tcW w:w="10914" w:type="dxa"/>
          </w:tcPr>
          <w:p w14:paraId="3DA78671"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12/99(</w:t>
            </w:r>
            <w:proofErr w:type="gramStart"/>
            <w:r w:rsidRPr="00E95EC1">
              <w:rPr>
                <w:rFonts w:ascii="Times New Roman" w:hAnsi="Times New Roman"/>
                <w:color w:val="000000" w:themeColor="text1"/>
                <w:sz w:val="20"/>
                <w:szCs w:val="20"/>
              </w:rPr>
              <w:t>P)  IAE</w:t>
            </w:r>
            <w:proofErr w:type="gramEnd"/>
            <w:r w:rsidRPr="00E95EC1">
              <w:rPr>
                <w:rFonts w:ascii="Times New Roman" w:hAnsi="Times New Roman"/>
                <w:color w:val="000000" w:themeColor="text1"/>
                <w:sz w:val="20"/>
                <w:szCs w:val="20"/>
              </w:rPr>
              <w:t xml:space="preserve"> 1-ojo energijos </w:t>
            </w:r>
            <w:proofErr w:type="spellStart"/>
            <w:r w:rsidRPr="00E95EC1">
              <w:rPr>
                <w:rFonts w:ascii="Times New Roman" w:hAnsi="Times New Roman"/>
                <w:color w:val="000000" w:themeColor="text1"/>
                <w:sz w:val="20"/>
                <w:szCs w:val="20"/>
              </w:rPr>
              <w:t>bloko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eksploatacijai</w:t>
            </w:r>
            <w:proofErr w:type="spellEnd"/>
            <w:r w:rsidRPr="00E95EC1">
              <w:rPr>
                <w:rFonts w:ascii="Times New Roman" w:hAnsi="Times New Roman"/>
                <w:color w:val="000000" w:themeColor="text1"/>
                <w:sz w:val="20"/>
                <w:szCs w:val="20"/>
              </w:rPr>
              <w:t xml:space="preserve"> </w:t>
            </w:r>
          </w:p>
        </w:tc>
        <w:tc>
          <w:tcPr>
            <w:tcW w:w="2340" w:type="dxa"/>
            <w:vAlign w:val="center"/>
          </w:tcPr>
          <w:p w14:paraId="5EDD71F1"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4A93A026" w14:textId="77777777" w:rsidTr="002F3DF3">
        <w:trPr>
          <w:trHeight w:val="340"/>
        </w:trPr>
        <w:tc>
          <w:tcPr>
            <w:tcW w:w="534" w:type="dxa"/>
          </w:tcPr>
          <w:p w14:paraId="0C71ED1C"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2.</w:t>
            </w:r>
          </w:p>
        </w:tc>
        <w:tc>
          <w:tcPr>
            <w:tcW w:w="10914" w:type="dxa"/>
          </w:tcPr>
          <w:p w14:paraId="09A200C0"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2/2004 IAE 2-ojo energijos </w:t>
            </w:r>
            <w:proofErr w:type="spellStart"/>
            <w:r w:rsidRPr="00E95EC1">
              <w:rPr>
                <w:rFonts w:ascii="Times New Roman" w:hAnsi="Times New Roman"/>
                <w:color w:val="000000" w:themeColor="text1"/>
                <w:sz w:val="20"/>
                <w:szCs w:val="20"/>
              </w:rPr>
              <w:t>bloko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eksploatacijai</w:t>
            </w:r>
            <w:proofErr w:type="spellEnd"/>
          </w:p>
        </w:tc>
        <w:tc>
          <w:tcPr>
            <w:tcW w:w="2340" w:type="dxa"/>
            <w:vAlign w:val="center"/>
          </w:tcPr>
          <w:p w14:paraId="2703745B" w14:textId="77777777" w:rsidR="007139D6" w:rsidRPr="00E95EC1" w:rsidRDefault="007139D6" w:rsidP="002F3DF3">
            <w:pPr>
              <w:shd w:val="clear" w:color="auto" w:fill="FFFFFF" w:themeFill="background1"/>
              <w:jc w:val="center"/>
              <w:rPr>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460ECAC8" w14:textId="77777777" w:rsidTr="002F3DF3">
        <w:trPr>
          <w:trHeight w:val="340"/>
        </w:trPr>
        <w:tc>
          <w:tcPr>
            <w:tcW w:w="534" w:type="dxa"/>
          </w:tcPr>
          <w:p w14:paraId="1C73AA86"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3.</w:t>
            </w:r>
          </w:p>
        </w:tc>
        <w:tc>
          <w:tcPr>
            <w:tcW w:w="10914" w:type="dxa"/>
          </w:tcPr>
          <w:p w14:paraId="1C618C8E"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3/2000(P) IAE SPBKS </w:t>
            </w:r>
            <w:proofErr w:type="spellStart"/>
            <w:r w:rsidRPr="00E95EC1">
              <w:rPr>
                <w:rFonts w:ascii="Times New Roman" w:hAnsi="Times New Roman"/>
                <w:color w:val="000000" w:themeColor="text1"/>
                <w:sz w:val="20"/>
                <w:szCs w:val="20"/>
              </w:rPr>
              <w:t>eksploatacijai</w:t>
            </w:r>
            <w:proofErr w:type="spellEnd"/>
          </w:p>
        </w:tc>
        <w:tc>
          <w:tcPr>
            <w:tcW w:w="2340" w:type="dxa"/>
            <w:vAlign w:val="center"/>
          </w:tcPr>
          <w:p w14:paraId="6559EE10" w14:textId="77777777" w:rsidR="007139D6" w:rsidRPr="00E95EC1" w:rsidRDefault="007139D6" w:rsidP="002F3DF3">
            <w:pPr>
              <w:shd w:val="clear" w:color="auto" w:fill="FFFFFF" w:themeFill="background1"/>
              <w:jc w:val="center"/>
              <w:rPr>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3AFA0B3F" w14:textId="77777777" w:rsidTr="002F3DF3">
        <w:trPr>
          <w:trHeight w:val="340"/>
        </w:trPr>
        <w:tc>
          <w:tcPr>
            <w:tcW w:w="534" w:type="dxa"/>
          </w:tcPr>
          <w:p w14:paraId="408634DF"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4.</w:t>
            </w:r>
          </w:p>
        </w:tc>
        <w:tc>
          <w:tcPr>
            <w:tcW w:w="10914" w:type="dxa"/>
          </w:tcPr>
          <w:p w14:paraId="77A71D29"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1/2006 IAE </w:t>
            </w:r>
            <w:proofErr w:type="spellStart"/>
            <w:r w:rsidRPr="00E95EC1">
              <w:rPr>
                <w:rFonts w:ascii="Times New Roman" w:hAnsi="Times New Roman"/>
                <w:color w:val="000000" w:themeColor="text1"/>
                <w:sz w:val="20"/>
                <w:szCs w:val="20"/>
              </w:rPr>
              <w:t>sucementuotų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atliekų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saugyklos</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eksploatacijai</w:t>
            </w:r>
            <w:proofErr w:type="spellEnd"/>
          </w:p>
        </w:tc>
        <w:tc>
          <w:tcPr>
            <w:tcW w:w="2340" w:type="dxa"/>
            <w:vAlign w:val="center"/>
          </w:tcPr>
          <w:p w14:paraId="6116990A" w14:textId="77777777" w:rsidR="007139D6" w:rsidRPr="00E95EC1" w:rsidRDefault="007139D6" w:rsidP="002F3DF3">
            <w:pPr>
              <w:shd w:val="clear" w:color="auto" w:fill="FFFFFF" w:themeFill="background1"/>
              <w:jc w:val="center"/>
              <w:rPr>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2A35BC2E" w14:textId="77777777" w:rsidTr="002F3DF3">
        <w:trPr>
          <w:trHeight w:val="340"/>
        </w:trPr>
        <w:tc>
          <w:tcPr>
            <w:tcW w:w="534" w:type="dxa"/>
          </w:tcPr>
          <w:p w14:paraId="258E37F8"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5.</w:t>
            </w:r>
          </w:p>
        </w:tc>
        <w:tc>
          <w:tcPr>
            <w:tcW w:w="10914" w:type="dxa"/>
          </w:tcPr>
          <w:p w14:paraId="5C05F4E4"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16.1-87(2013) IAE </w:t>
            </w:r>
            <w:proofErr w:type="spellStart"/>
            <w:r w:rsidRPr="00E95EC1">
              <w:rPr>
                <w:rFonts w:ascii="Times New Roman" w:hAnsi="Times New Roman"/>
                <w:color w:val="000000" w:themeColor="text1"/>
                <w:sz w:val="20"/>
                <w:szCs w:val="20"/>
              </w:rPr>
              <w:t>Labai</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mažo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aktyvumo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radioaktyviųjų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atliekų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saugyklos</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eksploatacijai</w:t>
            </w:r>
            <w:proofErr w:type="spellEnd"/>
          </w:p>
        </w:tc>
        <w:tc>
          <w:tcPr>
            <w:tcW w:w="2340" w:type="dxa"/>
            <w:vAlign w:val="center"/>
          </w:tcPr>
          <w:p w14:paraId="6B90B9D3" w14:textId="77777777" w:rsidR="007139D6" w:rsidRPr="00E95EC1" w:rsidRDefault="007139D6" w:rsidP="002F3DF3">
            <w:pPr>
              <w:shd w:val="clear" w:color="auto" w:fill="FFFFFF" w:themeFill="background1"/>
              <w:jc w:val="center"/>
              <w:rPr>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0425D92B" w14:textId="77777777" w:rsidTr="002F3DF3">
        <w:trPr>
          <w:trHeight w:val="340"/>
        </w:trPr>
        <w:tc>
          <w:tcPr>
            <w:tcW w:w="534" w:type="dxa"/>
          </w:tcPr>
          <w:p w14:paraId="6A80F32C"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6.</w:t>
            </w:r>
          </w:p>
        </w:tc>
        <w:tc>
          <w:tcPr>
            <w:tcW w:w="10914" w:type="dxa"/>
          </w:tcPr>
          <w:p w14:paraId="6FFDBD3E"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16.1-91(2016) IAE </w:t>
            </w:r>
            <w:proofErr w:type="spellStart"/>
            <w:r w:rsidRPr="00E95EC1">
              <w:rPr>
                <w:rFonts w:ascii="Times New Roman" w:hAnsi="Times New Roman"/>
                <w:color w:val="000000" w:themeColor="text1"/>
                <w:sz w:val="20"/>
                <w:szCs w:val="20"/>
              </w:rPr>
              <w:t>Laikinoji</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panaudoto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branduolinio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kuro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saugyklos</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eksploatacijai</w:t>
            </w:r>
            <w:proofErr w:type="spellEnd"/>
          </w:p>
        </w:tc>
        <w:tc>
          <w:tcPr>
            <w:tcW w:w="2340" w:type="dxa"/>
            <w:vAlign w:val="center"/>
          </w:tcPr>
          <w:p w14:paraId="7451E0B1" w14:textId="77777777" w:rsidR="007139D6" w:rsidRPr="00E95EC1" w:rsidRDefault="007139D6" w:rsidP="002F3DF3">
            <w:pPr>
              <w:shd w:val="clear" w:color="auto" w:fill="FFFFFF" w:themeFill="background1"/>
              <w:jc w:val="center"/>
              <w:rPr>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5319F589" w14:textId="77777777" w:rsidTr="002F3DF3">
        <w:trPr>
          <w:trHeight w:val="340"/>
        </w:trPr>
        <w:tc>
          <w:tcPr>
            <w:tcW w:w="534" w:type="dxa"/>
          </w:tcPr>
          <w:p w14:paraId="3B090BA1"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7.</w:t>
            </w:r>
          </w:p>
        </w:tc>
        <w:tc>
          <w:tcPr>
            <w:tcW w:w="10914" w:type="dxa"/>
          </w:tcPr>
          <w:p w14:paraId="6510047D"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16.1-93(2017) </w:t>
            </w:r>
            <w:proofErr w:type="spellStart"/>
            <w:r w:rsidRPr="00E95EC1">
              <w:rPr>
                <w:rFonts w:ascii="Times New Roman" w:hAnsi="Times New Roman"/>
                <w:color w:val="000000" w:themeColor="text1"/>
                <w:sz w:val="20"/>
                <w:szCs w:val="20"/>
              </w:rPr>
              <w:t>eksploatuoti</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radioaktyviųjų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atliekų</w:t>
            </w:r>
            <w:proofErr w:type="spellEnd"/>
            <w:r w:rsidRPr="00E95EC1">
              <w:rPr>
                <w:rFonts w:ascii="Times New Roman" w:hAnsi="Times New Roman"/>
                <w:color w:val="000000" w:themeColor="text1"/>
                <w:sz w:val="20"/>
                <w:szCs w:val="20"/>
              </w:rPr>
              <w:t xml:space="preserve"> </w:t>
            </w:r>
            <w:proofErr w:type="spellStart"/>
            <w:proofErr w:type="gramStart"/>
            <w:r w:rsidRPr="00E95EC1">
              <w:rPr>
                <w:rFonts w:ascii="Times New Roman" w:hAnsi="Times New Roman"/>
                <w:color w:val="000000" w:themeColor="text1"/>
                <w:sz w:val="20"/>
                <w:szCs w:val="20"/>
              </w:rPr>
              <w:t>tvarkymo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įrenginį</w:t>
            </w:r>
            <w:proofErr w:type="spellEnd"/>
            <w:proofErr w:type="gramEnd"/>
            <w:r w:rsidRPr="00E95EC1">
              <w:rPr>
                <w:rFonts w:ascii="Times New Roman" w:hAnsi="Times New Roman"/>
                <w:color w:val="000000" w:themeColor="text1"/>
                <w:sz w:val="20"/>
                <w:szCs w:val="20"/>
              </w:rPr>
              <w:t>, B2-1</w:t>
            </w:r>
          </w:p>
        </w:tc>
        <w:tc>
          <w:tcPr>
            <w:tcW w:w="2340" w:type="dxa"/>
            <w:vAlign w:val="center"/>
          </w:tcPr>
          <w:p w14:paraId="328929EB" w14:textId="77777777" w:rsidR="007139D6" w:rsidRPr="00E95EC1" w:rsidRDefault="007139D6" w:rsidP="002F3DF3">
            <w:pPr>
              <w:shd w:val="clear" w:color="auto" w:fill="FFFFFF" w:themeFill="background1"/>
              <w:jc w:val="center"/>
              <w:rPr>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20AE7877" w14:textId="77777777" w:rsidTr="002F3DF3">
        <w:trPr>
          <w:trHeight w:val="340"/>
        </w:trPr>
        <w:tc>
          <w:tcPr>
            <w:tcW w:w="534" w:type="dxa"/>
          </w:tcPr>
          <w:p w14:paraId="25ED6874"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8.</w:t>
            </w:r>
          </w:p>
        </w:tc>
        <w:tc>
          <w:tcPr>
            <w:tcW w:w="10914" w:type="dxa"/>
          </w:tcPr>
          <w:p w14:paraId="1FCD0242"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16.1-94(2017) </w:t>
            </w:r>
            <w:proofErr w:type="spellStart"/>
            <w:r w:rsidRPr="00E95EC1">
              <w:rPr>
                <w:rFonts w:ascii="Times New Roman" w:hAnsi="Times New Roman"/>
                <w:color w:val="000000" w:themeColor="text1"/>
                <w:sz w:val="20"/>
                <w:szCs w:val="20"/>
              </w:rPr>
              <w:t>eksploatuoti</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radioaktyviųjų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atliekų</w:t>
            </w:r>
            <w:proofErr w:type="spellEnd"/>
            <w:r w:rsidRPr="00E95EC1">
              <w:rPr>
                <w:rFonts w:ascii="Times New Roman" w:hAnsi="Times New Roman"/>
                <w:color w:val="000000" w:themeColor="text1"/>
                <w:sz w:val="20"/>
                <w:szCs w:val="20"/>
              </w:rPr>
              <w:t xml:space="preserve"> </w:t>
            </w:r>
            <w:proofErr w:type="spellStart"/>
            <w:proofErr w:type="gramStart"/>
            <w:r w:rsidRPr="00E95EC1">
              <w:rPr>
                <w:rFonts w:ascii="Times New Roman" w:hAnsi="Times New Roman"/>
                <w:color w:val="000000" w:themeColor="text1"/>
                <w:sz w:val="20"/>
                <w:szCs w:val="20"/>
              </w:rPr>
              <w:t>tvarkymo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įrenginį</w:t>
            </w:r>
            <w:proofErr w:type="spellEnd"/>
            <w:proofErr w:type="gramEnd"/>
            <w:r w:rsidRPr="00E95EC1">
              <w:rPr>
                <w:rFonts w:ascii="Times New Roman" w:hAnsi="Times New Roman"/>
                <w:color w:val="000000" w:themeColor="text1"/>
                <w:sz w:val="20"/>
                <w:szCs w:val="20"/>
              </w:rPr>
              <w:t xml:space="preserve"> ir </w:t>
            </w:r>
            <w:proofErr w:type="spellStart"/>
            <w:r w:rsidRPr="00E95EC1">
              <w:rPr>
                <w:rFonts w:ascii="Times New Roman" w:hAnsi="Times New Roman"/>
                <w:color w:val="000000" w:themeColor="text1"/>
                <w:sz w:val="20"/>
                <w:szCs w:val="20"/>
              </w:rPr>
              <w:t>radioaktyviųjų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atliekų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saugyklą</w:t>
            </w:r>
            <w:proofErr w:type="spellEnd"/>
            <w:r w:rsidRPr="00E95EC1">
              <w:rPr>
                <w:rFonts w:ascii="Times New Roman" w:hAnsi="Times New Roman"/>
                <w:color w:val="000000" w:themeColor="text1"/>
                <w:sz w:val="20"/>
                <w:szCs w:val="20"/>
              </w:rPr>
              <w:t>, B3/4</w:t>
            </w:r>
          </w:p>
        </w:tc>
        <w:tc>
          <w:tcPr>
            <w:tcW w:w="2340" w:type="dxa"/>
            <w:vAlign w:val="center"/>
          </w:tcPr>
          <w:p w14:paraId="16DC68D5" w14:textId="77777777" w:rsidR="007139D6" w:rsidRPr="00E95EC1" w:rsidRDefault="007139D6" w:rsidP="002F3DF3">
            <w:pPr>
              <w:shd w:val="clear" w:color="auto" w:fill="FFFFFF" w:themeFill="background1"/>
              <w:jc w:val="center"/>
              <w:rPr>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609E1847" w14:textId="77777777" w:rsidTr="002F3DF3">
        <w:trPr>
          <w:trHeight w:val="340"/>
        </w:trPr>
        <w:tc>
          <w:tcPr>
            <w:tcW w:w="534" w:type="dxa"/>
          </w:tcPr>
          <w:p w14:paraId="605032D6"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9.</w:t>
            </w:r>
          </w:p>
        </w:tc>
        <w:tc>
          <w:tcPr>
            <w:tcW w:w="10914" w:type="dxa"/>
          </w:tcPr>
          <w:p w14:paraId="7FBB3220"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16.1-90(2016) </w:t>
            </w:r>
            <w:proofErr w:type="spellStart"/>
            <w:r w:rsidRPr="00E95EC1">
              <w:rPr>
                <w:rFonts w:ascii="Times New Roman" w:hAnsi="Times New Roman"/>
                <w:color w:val="000000" w:themeColor="text1"/>
                <w:sz w:val="20"/>
                <w:szCs w:val="20"/>
              </w:rPr>
              <w:t>Maišiagalos</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radioaktyviųjų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atliekų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saugyklos</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eksploatacijai</w:t>
            </w:r>
            <w:proofErr w:type="spellEnd"/>
          </w:p>
        </w:tc>
        <w:tc>
          <w:tcPr>
            <w:tcW w:w="2340" w:type="dxa"/>
            <w:vAlign w:val="center"/>
          </w:tcPr>
          <w:p w14:paraId="4B7EF587" w14:textId="77777777" w:rsidR="007139D6" w:rsidRPr="00E95EC1" w:rsidRDefault="007139D6" w:rsidP="002F3DF3">
            <w:pPr>
              <w:shd w:val="clear" w:color="auto" w:fill="FFFFFF" w:themeFill="background1"/>
              <w:jc w:val="center"/>
              <w:rPr>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4D8D0603" w14:textId="77777777" w:rsidTr="002F3DF3">
        <w:trPr>
          <w:trHeight w:val="340"/>
        </w:trPr>
        <w:tc>
          <w:tcPr>
            <w:tcW w:w="534" w:type="dxa"/>
          </w:tcPr>
          <w:p w14:paraId="2C164CA3"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10.</w:t>
            </w:r>
          </w:p>
        </w:tc>
        <w:tc>
          <w:tcPr>
            <w:tcW w:w="10914" w:type="dxa"/>
          </w:tcPr>
          <w:p w14:paraId="6E86D1D1"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16.1-89(2015) </w:t>
            </w:r>
            <w:proofErr w:type="spellStart"/>
            <w:r w:rsidRPr="00E95EC1">
              <w:rPr>
                <w:rFonts w:ascii="Times New Roman" w:hAnsi="Times New Roman"/>
                <w:color w:val="000000" w:themeColor="text1"/>
                <w:sz w:val="20"/>
                <w:szCs w:val="20"/>
              </w:rPr>
              <w:t>statyti</w:t>
            </w:r>
            <w:proofErr w:type="spellEnd"/>
            <w:r w:rsidRPr="00E95EC1">
              <w:rPr>
                <w:rFonts w:ascii="Times New Roman" w:hAnsi="Times New Roman"/>
                <w:color w:val="000000" w:themeColor="text1"/>
                <w:sz w:val="20"/>
                <w:szCs w:val="20"/>
              </w:rPr>
              <w:t xml:space="preserve"> ir </w:t>
            </w:r>
            <w:proofErr w:type="spellStart"/>
            <w:r w:rsidRPr="00E95EC1">
              <w:rPr>
                <w:rFonts w:ascii="Times New Roman" w:hAnsi="Times New Roman"/>
                <w:color w:val="000000" w:themeColor="text1"/>
                <w:sz w:val="20"/>
                <w:szCs w:val="20"/>
              </w:rPr>
              <w:t>eksploatuoti</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Labai</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mažo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aktyvumo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radioaktyviųjų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atliekų</w:t>
            </w:r>
            <w:proofErr w:type="spellEnd"/>
            <w:r w:rsidRPr="00E95EC1">
              <w:rPr>
                <w:rFonts w:ascii="Times New Roman" w:hAnsi="Times New Roman"/>
                <w:color w:val="000000" w:themeColor="text1"/>
                <w:sz w:val="20"/>
                <w:szCs w:val="20"/>
              </w:rPr>
              <w:t xml:space="preserve"> atliekyną, B19-2</w:t>
            </w:r>
          </w:p>
        </w:tc>
        <w:tc>
          <w:tcPr>
            <w:tcW w:w="2340" w:type="dxa"/>
            <w:vAlign w:val="center"/>
          </w:tcPr>
          <w:p w14:paraId="452C3F81" w14:textId="77777777" w:rsidR="007139D6" w:rsidRPr="00E95EC1" w:rsidRDefault="007139D6" w:rsidP="002F3DF3">
            <w:pPr>
              <w:shd w:val="clear" w:color="auto" w:fill="FFFFFF" w:themeFill="background1"/>
              <w:jc w:val="center"/>
              <w:rPr>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191BF117" w14:textId="77777777" w:rsidTr="002F3DF3">
        <w:trPr>
          <w:trHeight w:val="340"/>
        </w:trPr>
        <w:tc>
          <w:tcPr>
            <w:tcW w:w="534" w:type="dxa"/>
          </w:tcPr>
          <w:p w14:paraId="362C8C3D" w14:textId="77777777" w:rsidR="007139D6" w:rsidRPr="00E95EC1" w:rsidRDefault="007139D6" w:rsidP="002F3DF3">
            <w:pPr>
              <w:shd w:val="clear" w:color="auto" w:fill="FFFFFF" w:themeFill="background1"/>
              <w:jc w:val="center"/>
              <w:rPr>
                <w:rFonts w:ascii="Times New Roman" w:hAnsi="Times New Roman"/>
                <w:color w:val="000000" w:themeColor="text1"/>
                <w:sz w:val="20"/>
                <w:szCs w:val="20"/>
              </w:rPr>
            </w:pPr>
            <w:r w:rsidRPr="00E95EC1">
              <w:rPr>
                <w:rFonts w:ascii="Times New Roman" w:hAnsi="Times New Roman"/>
                <w:color w:val="000000" w:themeColor="text1"/>
                <w:sz w:val="20"/>
                <w:szCs w:val="20"/>
              </w:rPr>
              <w:t>11.</w:t>
            </w:r>
          </w:p>
        </w:tc>
        <w:tc>
          <w:tcPr>
            <w:tcW w:w="10914" w:type="dxa"/>
          </w:tcPr>
          <w:p w14:paraId="660CD042" w14:textId="77777777" w:rsidR="007139D6" w:rsidRPr="00E95EC1" w:rsidRDefault="007139D6" w:rsidP="002F3DF3">
            <w:pPr>
              <w:shd w:val="clear" w:color="auto" w:fill="FFFFFF" w:themeFill="background1"/>
              <w:rPr>
                <w:rFonts w:ascii="Times New Roman" w:hAnsi="Times New Roman"/>
                <w:color w:val="000000" w:themeColor="text1"/>
                <w:sz w:val="20"/>
                <w:szCs w:val="20"/>
              </w:rPr>
            </w:pPr>
            <w:proofErr w:type="spellStart"/>
            <w:r w:rsidRPr="00E95EC1">
              <w:rPr>
                <w:rFonts w:ascii="Times New Roman" w:hAnsi="Times New Roman"/>
                <w:color w:val="000000" w:themeColor="text1"/>
                <w:sz w:val="20"/>
                <w:szCs w:val="20"/>
              </w:rPr>
              <w:t>Licencija</w:t>
            </w:r>
            <w:proofErr w:type="spellEnd"/>
            <w:r w:rsidRPr="00E95EC1">
              <w:rPr>
                <w:rFonts w:ascii="Times New Roman" w:hAnsi="Times New Roman"/>
                <w:color w:val="000000" w:themeColor="text1"/>
                <w:sz w:val="20"/>
                <w:szCs w:val="20"/>
              </w:rPr>
              <w:t xml:space="preserve"> Nr. 16.1-95(2017) </w:t>
            </w:r>
            <w:proofErr w:type="spellStart"/>
            <w:r w:rsidRPr="00E95EC1">
              <w:rPr>
                <w:rFonts w:ascii="Times New Roman" w:hAnsi="Times New Roman"/>
                <w:color w:val="000000" w:themeColor="text1"/>
                <w:sz w:val="20"/>
                <w:szCs w:val="20"/>
              </w:rPr>
              <w:t>statyti</w:t>
            </w:r>
            <w:proofErr w:type="spellEnd"/>
            <w:r w:rsidRPr="00E95EC1">
              <w:rPr>
                <w:rFonts w:ascii="Times New Roman" w:hAnsi="Times New Roman"/>
                <w:color w:val="000000" w:themeColor="text1"/>
                <w:sz w:val="20"/>
                <w:szCs w:val="20"/>
              </w:rPr>
              <w:t xml:space="preserve"> ir </w:t>
            </w:r>
            <w:proofErr w:type="spellStart"/>
            <w:r w:rsidRPr="00E95EC1">
              <w:rPr>
                <w:rFonts w:ascii="Times New Roman" w:hAnsi="Times New Roman"/>
                <w:color w:val="000000" w:themeColor="text1"/>
                <w:sz w:val="20"/>
                <w:szCs w:val="20"/>
              </w:rPr>
              <w:t>eksploatuoti</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mažo</w:t>
            </w:r>
            <w:proofErr w:type="spellEnd"/>
            <w:r w:rsidRPr="00E95EC1">
              <w:rPr>
                <w:rFonts w:ascii="Times New Roman" w:hAnsi="Times New Roman"/>
                <w:color w:val="000000" w:themeColor="text1"/>
                <w:sz w:val="20"/>
                <w:szCs w:val="20"/>
              </w:rPr>
              <w:t xml:space="preserve"> ir </w:t>
            </w:r>
            <w:proofErr w:type="spellStart"/>
            <w:r w:rsidRPr="00E95EC1">
              <w:rPr>
                <w:rFonts w:ascii="Times New Roman" w:hAnsi="Times New Roman"/>
                <w:color w:val="000000" w:themeColor="text1"/>
                <w:sz w:val="20"/>
                <w:szCs w:val="20"/>
              </w:rPr>
              <w:t>vidutinio</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aktyvumo</w:t>
            </w:r>
            <w:proofErr w:type="spellEnd"/>
            <w:r w:rsidRPr="00E95EC1">
              <w:rPr>
                <w:rFonts w:ascii="Times New Roman" w:hAnsi="Times New Roman"/>
                <w:color w:val="000000" w:themeColor="text1"/>
                <w:sz w:val="20"/>
                <w:szCs w:val="20"/>
              </w:rPr>
              <w:t xml:space="preserve"> </w:t>
            </w:r>
            <w:proofErr w:type="spellStart"/>
            <w:proofErr w:type="gramStart"/>
            <w:r w:rsidRPr="00E95EC1">
              <w:rPr>
                <w:rFonts w:ascii="Times New Roman" w:hAnsi="Times New Roman"/>
                <w:color w:val="000000" w:themeColor="text1"/>
                <w:sz w:val="20"/>
                <w:szCs w:val="20"/>
              </w:rPr>
              <w:t>trumpaamžių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radioaktyviųjų</w:t>
            </w:r>
            <w:proofErr w:type="spellEnd"/>
            <w:proofErr w:type="gram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atliekų</w:t>
            </w:r>
            <w:proofErr w:type="spellEnd"/>
            <w:r w:rsidRPr="00E95EC1">
              <w:rPr>
                <w:rFonts w:ascii="Times New Roman" w:hAnsi="Times New Roman"/>
                <w:color w:val="000000" w:themeColor="text1"/>
                <w:sz w:val="20"/>
                <w:szCs w:val="20"/>
              </w:rPr>
              <w:t xml:space="preserve"> </w:t>
            </w:r>
            <w:proofErr w:type="spellStart"/>
            <w:r w:rsidRPr="00E95EC1">
              <w:rPr>
                <w:rFonts w:ascii="Times New Roman" w:hAnsi="Times New Roman"/>
                <w:color w:val="000000" w:themeColor="text1"/>
                <w:sz w:val="20"/>
                <w:szCs w:val="20"/>
              </w:rPr>
              <w:t>atliekyną</w:t>
            </w:r>
            <w:proofErr w:type="spellEnd"/>
            <w:r w:rsidRPr="00E95EC1">
              <w:rPr>
                <w:rFonts w:ascii="Times New Roman" w:hAnsi="Times New Roman"/>
                <w:color w:val="000000" w:themeColor="text1"/>
                <w:sz w:val="20"/>
                <w:szCs w:val="20"/>
              </w:rPr>
              <w:t>, B25</w:t>
            </w:r>
          </w:p>
        </w:tc>
        <w:tc>
          <w:tcPr>
            <w:tcW w:w="2340" w:type="dxa"/>
            <w:vAlign w:val="center"/>
          </w:tcPr>
          <w:p w14:paraId="149E547D" w14:textId="77777777" w:rsidR="007139D6" w:rsidRPr="00E95EC1" w:rsidRDefault="007139D6" w:rsidP="002F3DF3">
            <w:pPr>
              <w:shd w:val="clear" w:color="auto" w:fill="FFFFFF" w:themeFill="background1"/>
              <w:jc w:val="center"/>
              <w:rPr>
                <w:sz w:val="20"/>
                <w:szCs w:val="20"/>
              </w:rPr>
            </w:pPr>
            <w:proofErr w:type="spellStart"/>
            <w:r w:rsidRPr="00E95EC1">
              <w:rPr>
                <w:rFonts w:ascii="Times New Roman" w:hAnsi="Times New Roman"/>
                <w:color w:val="000000" w:themeColor="text1"/>
                <w:sz w:val="20"/>
                <w:szCs w:val="20"/>
              </w:rPr>
              <w:t>galioja</w:t>
            </w:r>
            <w:proofErr w:type="spellEnd"/>
          </w:p>
        </w:tc>
      </w:tr>
      <w:tr w:rsidR="007139D6" w:rsidRPr="0043362A" w14:paraId="55AABE2A" w14:textId="77777777" w:rsidTr="002F3DF3">
        <w:trPr>
          <w:trHeight w:val="340"/>
        </w:trPr>
        <w:tc>
          <w:tcPr>
            <w:tcW w:w="534" w:type="dxa"/>
            <w:shd w:val="clear" w:color="auto" w:fill="FFFFFF" w:themeFill="background1"/>
          </w:tcPr>
          <w:p w14:paraId="5FFCC33D" w14:textId="77777777" w:rsidR="007139D6" w:rsidRPr="000657D6" w:rsidRDefault="007139D6" w:rsidP="002F3DF3">
            <w:pPr>
              <w:shd w:val="clear" w:color="auto" w:fill="FFFFFF" w:themeFill="background1"/>
              <w:jc w:val="center"/>
              <w:rPr>
                <w:rFonts w:ascii="Times New Roman" w:hAnsi="Times New Roman"/>
                <w:color w:val="000000" w:themeColor="text1"/>
                <w:sz w:val="20"/>
                <w:szCs w:val="20"/>
              </w:rPr>
            </w:pPr>
            <w:r w:rsidRPr="000657D6">
              <w:rPr>
                <w:rFonts w:ascii="Times New Roman" w:hAnsi="Times New Roman"/>
                <w:color w:val="000000" w:themeColor="text1"/>
                <w:sz w:val="20"/>
                <w:szCs w:val="20"/>
              </w:rPr>
              <w:lastRenderedPageBreak/>
              <w:t>12.</w:t>
            </w:r>
          </w:p>
        </w:tc>
        <w:tc>
          <w:tcPr>
            <w:tcW w:w="10914" w:type="dxa"/>
            <w:shd w:val="clear" w:color="auto" w:fill="FFFFFF" w:themeFill="background1"/>
          </w:tcPr>
          <w:p w14:paraId="7EDAEABA" w14:textId="77777777" w:rsidR="007139D6" w:rsidRPr="000657D6" w:rsidRDefault="007139D6" w:rsidP="002F3DF3">
            <w:pPr>
              <w:shd w:val="clear" w:color="auto" w:fill="FFFFFF" w:themeFill="background1"/>
              <w:rPr>
                <w:rFonts w:ascii="Times New Roman" w:hAnsi="Times New Roman"/>
                <w:color w:val="000000" w:themeColor="text1"/>
                <w:sz w:val="20"/>
                <w:szCs w:val="20"/>
              </w:rPr>
            </w:pPr>
            <w:proofErr w:type="spellStart"/>
            <w:r w:rsidRPr="000657D6">
              <w:rPr>
                <w:rFonts w:ascii="Times New Roman" w:hAnsi="Times New Roman"/>
                <w:color w:val="000000" w:themeColor="text1"/>
                <w:sz w:val="20"/>
                <w:szCs w:val="20"/>
              </w:rPr>
              <w:t>Licencija</w:t>
            </w:r>
            <w:proofErr w:type="spellEnd"/>
            <w:r w:rsidRPr="000657D6">
              <w:rPr>
                <w:rFonts w:ascii="Times New Roman" w:hAnsi="Times New Roman"/>
                <w:color w:val="000000" w:themeColor="text1"/>
                <w:sz w:val="20"/>
                <w:szCs w:val="20"/>
              </w:rPr>
              <w:t xml:space="preserve"> </w:t>
            </w:r>
            <w:proofErr w:type="spellStart"/>
            <w:r w:rsidRPr="000657D6">
              <w:rPr>
                <w:rFonts w:ascii="Times New Roman" w:hAnsi="Times New Roman"/>
                <w:color w:val="000000" w:themeColor="text1"/>
                <w:sz w:val="20"/>
                <w:szCs w:val="20"/>
              </w:rPr>
              <w:t>naudoti</w:t>
            </w:r>
            <w:proofErr w:type="spellEnd"/>
            <w:r w:rsidRPr="000657D6">
              <w:rPr>
                <w:rFonts w:ascii="Times New Roman" w:hAnsi="Times New Roman"/>
                <w:color w:val="000000" w:themeColor="text1"/>
                <w:sz w:val="20"/>
                <w:szCs w:val="20"/>
              </w:rPr>
              <w:t xml:space="preserve"> ir </w:t>
            </w:r>
            <w:proofErr w:type="spellStart"/>
            <w:r w:rsidRPr="000657D6">
              <w:rPr>
                <w:rFonts w:ascii="Times New Roman" w:hAnsi="Times New Roman"/>
                <w:color w:val="000000" w:themeColor="text1"/>
                <w:sz w:val="20"/>
                <w:szCs w:val="20"/>
              </w:rPr>
              <w:t>saugoti</w:t>
            </w:r>
            <w:proofErr w:type="spellEnd"/>
            <w:r w:rsidRPr="000657D6">
              <w:rPr>
                <w:rFonts w:ascii="Times New Roman" w:hAnsi="Times New Roman"/>
                <w:color w:val="000000" w:themeColor="text1"/>
                <w:sz w:val="20"/>
                <w:szCs w:val="20"/>
              </w:rPr>
              <w:t xml:space="preserve"> </w:t>
            </w:r>
            <w:proofErr w:type="spellStart"/>
            <w:r w:rsidRPr="000657D6">
              <w:rPr>
                <w:rFonts w:ascii="Times New Roman" w:hAnsi="Times New Roman"/>
                <w:color w:val="000000" w:themeColor="text1"/>
                <w:sz w:val="20"/>
                <w:szCs w:val="20"/>
              </w:rPr>
              <w:t>jonizuojančiosios</w:t>
            </w:r>
            <w:proofErr w:type="spellEnd"/>
            <w:r w:rsidRPr="000657D6">
              <w:rPr>
                <w:rFonts w:ascii="Times New Roman" w:hAnsi="Times New Roman"/>
                <w:color w:val="000000" w:themeColor="text1"/>
                <w:sz w:val="20"/>
                <w:szCs w:val="20"/>
              </w:rPr>
              <w:t xml:space="preserve"> </w:t>
            </w:r>
            <w:proofErr w:type="spellStart"/>
            <w:r w:rsidRPr="000657D6">
              <w:rPr>
                <w:rFonts w:ascii="Times New Roman" w:hAnsi="Times New Roman"/>
                <w:color w:val="000000" w:themeColor="text1"/>
                <w:sz w:val="20"/>
                <w:szCs w:val="20"/>
              </w:rPr>
              <w:t>spinduliuotės</w:t>
            </w:r>
            <w:proofErr w:type="spellEnd"/>
            <w:r w:rsidRPr="000657D6">
              <w:rPr>
                <w:rFonts w:ascii="Times New Roman" w:hAnsi="Times New Roman"/>
                <w:color w:val="000000" w:themeColor="text1"/>
                <w:sz w:val="20"/>
                <w:szCs w:val="20"/>
              </w:rPr>
              <w:t xml:space="preserve"> </w:t>
            </w:r>
            <w:proofErr w:type="spellStart"/>
            <w:r w:rsidRPr="000657D6">
              <w:rPr>
                <w:rFonts w:ascii="Times New Roman" w:hAnsi="Times New Roman"/>
                <w:color w:val="000000" w:themeColor="text1"/>
                <w:sz w:val="20"/>
                <w:szCs w:val="20"/>
              </w:rPr>
              <w:t>šaltinius</w:t>
            </w:r>
            <w:proofErr w:type="spellEnd"/>
            <w:r w:rsidRPr="000657D6">
              <w:rPr>
                <w:rFonts w:ascii="Times New Roman" w:hAnsi="Times New Roman"/>
                <w:color w:val="000000" w:themeColor="text1"/>
                <w:sz w:val="20"/>
                <w:szCs w:val="20"/>
              </w:rPr>
              <w:t>, Nr. LI-3</w:t>
            </w:r>
          </w:p>
        </w:tc>
        <w:tc>
          <w:tcPr>
            <w:tcW w:w="2340" w:type="dxa"/>
            <w:shd w:val="clear" w:color="auto" w:fill="FFFFFF" w:themeFill="background1"/>
            <w:vAlign w:val="center"/>
          </w:tcPr>
          <w:p w14:paraId="2F6BCD2B" w14:textId="77777777" w:rsidR="007139D6" w:rsidRPr="009A574F" w:rsidRDefault="007139D6" w:rsidP="002F3DF3">
            <w:pPr>
              <w:shd w:val="clear" w:color="auto" w:fill="FFFFFF" w:themeFill="background1"/>
              <w:jc w:val="center"/>
              <w:rPr>
                <w:sz w:val="20"/>
                <w:szCs w:val="20"/>
              </w:rPr>
            </w:pPr>
            <w:proofErr w:type="spellStart"/>
            <w:r>
              <w:rPr>
                <w:rFonts w:ascii="Times New Roman" w:hAnsi="Times New Roman"/>
                <w:color w:val="000000" w:themeColor="text1"/>
                <w:sz w:val="20"/>
                <w:szCs w:val="20"/>
              </w:rPr>
              <w:t>galioja</w:t>
            </w:r>
            <w:proofErr w:type="spellEnd"/>
          </w:p>
        </w:tc>
      </w:tr>
      <w:tr w:rsidR="007139D6" w:rsidRPr="0043362A" w14:paraId="72C38209" w14:textId="77777777" w:rsidTr="002F3DF3">
        <w:trPr>
          <w:trHeight w:val="340"/>
        </w:trPr>
        <w:tc>
          <w:tcPr>
            <w:tcW w:w="534" w:type="dxa"/>
            <w:shd w:val="clear" w:color="auto" w:fill="FFFFFF" w:themeFill="background1"/>
          </w:tcPr>
          <w:p w14:paraId="124E3F68" w14:textId="77777777" w:rsidR="007139D6" w:rsidRPr="000657D6" w:rsidRDefault="007139D6" w:rsidP="002F3DF3">
            <w:pPr>
              <w:shd w:val="clear" w:color="auto" w:fill="FFFFFF" w:themeFill="background1"/>
              <w:jc w:val="center"/>
              <w:rPr>
                <w:rFonts w:ascii="Times New Roman" w:hAnsi="Times New Roman"/>
                <w:color w:val="000000" w:themeColor="text1"/>
                <w:sz w:val="20"/>
                <w:szCs w:val="20"/>
              </w:rPr>
            </w:pPr>
            <w:r w:rsidRPr="000657D6">
              <w:rPr>
                <w:rFonts w:ascii="Times New Roman" w:hAnsi="Times New Roman"/>
                <w:color w:val="000000" w:themeColor="text1"/>
                <w:sz w:val="20"/>
                <w:szCs w:val="20"/>
              </w:rPr>
              <w:t>13.</w:t>
            </w:r>
          </w:p>
        </w:tc>
        <w:tc>
          <w:tcPr>
            <w:tcW w:w="10914" w:type="dxa"/>
            <w:shd w:val="clear" w:color="auto" w:fill="FFFFFF" w:themeFill="background1"/>
          </w:tcPr>
          <w:p w14:paraId="5EE32CB4" w14:textId="77777777" w:rsidR="007139D6" w:rsidRPr="000657D6" w:rsidRDefault="007139D6" w:rsidP="002F3DF3">
            <w:pPr>
              <w:shd w:val="clear" w:color="auto" w:fill="FFFFFF" w:themeFill="background1"/>
              <w:rPr>
                <w:rFonts w:ascii="Times New Roman" w:hAnsi="Times New Roman"/>
                <w:color w:val="000000" w:themeColor="text1"/>
                <w:sz w:val="20"/>
                <w:szCs w:val="20"/>
              </w:rPr>
            </w:pPr>
            <w:proofErr w:type="spellStart"/>
            <w:r w:rsidRPr="000657D6">
              <w:rPr>
                <w:rFonts w:ascii="Times New Roman" w:hAnsi="Times New Roman"/>
                <w:color w:val="000000" w:themeColor="text1"/>
                <w:sz w:val="20"/>
                <w:szCs w:val="20"/>
              </w:rPr>
              <w:t>Licencija</w:t>
            </w:r>
            <w:proofErr w:type="spellEnd"/>
            <w:r w:rsidRPr="000657D6">
              <w:rPr>
                <w:rFonts w:ascii="Times New Roman" w:hAnsi="Times New Roman"/>
                <w:color w:val="000000" w:themeColor="text1"/>
                <w:sz w:val="20"/>
                <w:szCs w:val="20"/>
              </w:rPr>
              <w:t xml:space="preserve"> </w:t>
            </w:r>
            <w:proofErr w:type="spellStart"/>
            <w:r w:rsidRPr="000657D6">
              <w:rPr>
                <w:rFonts w:ascii="Times New Roman" w:hAnsi="Times New Roman"/>
                <w:color w:val="000000" w:themeColor="text1"/>
                <w:sz w:val="20"/>
                <w:szCs w:val="20"/>
              </w:rPr>
              <w:t>vežti</w:t>
            </w:r>
            <w:proofErr w:type="spellEnd"/>
            <w:r w:rsidRPr="000657D6">
              <w:rPr>
                <w:rFonts w:ascii="Times New Roman" w:hAnsi="Times New Roman"/>
                <w:color w:val="000000" w:themeColor="text1"/>
                <w:sz w:val="20"/>
                <w:szCs w:val="20"/>
              </w:rPr>
              <w:t xml:space="preserve"> </w:t>
            </w:r>
            <w:proofErr w:type="spellStart"/>
            <w:r w:rsidRPr="000657D6">
              <w:rPr>
                <w:rFonts w:ascii="Times New Roman" w:hAnsi="Times New Roman"/>
                <w:color w:val="000000" w:themeColor="text1"/>
                <w:sz w:val="20"/>
                <w:szCs w:val="20"/>
              </w:rPr>
              <w:t>radioaktyviąsias</w:t>
            </w:r>
            <w:proofErr w:type="spellEnd"/>
            <w:r w:rsidRPr="000657D6">
              <w:rPr>
                <w:rFonts w:ascii="Times New Roman" w:hAnsi="Times New Roman"/>
                <w:color w:val="000000" w:themeColor="text1"/>
                <w:sz w:val="20"/>
                <w:szCs w:val="20"/>
              </w:rPr>
              <w:t xml:space="preserve"> </w:t>
            </w:r>
            <w:proofErr w:type="spellStart"/>
            <w:r w:rsidRPr="000657D6">
              <w:rPr>
                <w:rFonts w:ascii="Times New Roman" w:hAnsi="Times New Roman"/>
                <w:color w:val="000000" w:themeColor="text1"/>
                <w:sz w:val="20"/>
                <w:szCs w:val="20"/>
              </w:rPr>
              <w:t>medžiagas</w:t>
            </w:r>
            <w:proofErr w:type="spellEnd"/>
            <w:r w:rsidRPr="000657D6">
              <w:rPr>
                <w:rFonts w:ascii="Times New Roman" w:hAnsi="Times New Roman"/>
                <w:color w:val="000000" w:themeColor="text1"/>
                <w:sz w:val="20"/>
                <w:szCs w:val="20"/>
              </w:rPr>
              <w:t>, Nr. LI-1</w:t>
            </w:r>
          </w:p>
        </w:tc>
        <w:tc>
          <w:tcPr>
            <w:tcW w:w="2340" w:type="dxa"/>
            <w:shd w:val="clear" w:color="auto" w:fill="FFFFFF" w:themeFill="background1"/>
            <w:vAlign w:val="center"/>
          </w:tcPr>
          <w:p w14:paraId="4C36F0DF" w14:textId="77777777" w:rsidR="007139D6" w:rsidRPr="009A574F" w:rsidRDefault="007139D6" w:rsidP="002F3DF3">
            <w:pPr>
              <w:shd w:val="clear" w:color="auto" w:fill="FFFFFF" w:themeFill="background1"/>
              <w:jc w:val="center"/>
              <w:rPr>
                <w:sz w:val="20"/>
                <w:szCs w:val="20"/>
              </w:rPr>
            </w:pPr>
            <w:proofErr w:type="spellStart"/>
            <w:r>
              <w:rPr>
                <w:rFonts w:ascii="Times New Roman" w:hAnsi="Times New Roman"/>
                <w:color w:val="000000" w:themeColor="text1"/>
                <w:sz w:val="20"/>
                <w:szCs w:val="20"/>
              </w:rPr>
              <w:t>galioja</w:t>
            </w:r>
            <w:proofErr w:type="spellEnd"/>
          </w:p>
        </w:tc>
      </w:tr>
    </w:tbl>
    <w:p w14:paraId="51608A1B" w14:textId="77777777" w:rsidR="007139D6" w:rsidRDefault="007139D6" w:rsidP="007139D6">
      <w:pPr>
        <w:shd w:val="clear" w:color="auto" w:fill="FFFFFF" w:themeFill="background1"/>
        <w:rPr>
          <w:rFonts w:ascii="Times New Roman" w:hAnsi="Times New Roman"/>
          <w:sz w:val="20"/>
          <w:szCs w:val="20"/>
        </w:rPr>
      </w:pPr>
    </w:p>
    <w:p w14:paraId="7F9F0AF1" w14:textId="77777777" w:rsidR="007139D6" w:rsidRDefault="007139D6" w:rsidP="007139D6">
      <w:pPr>
        <w:shd w:val="clear" w:color="auto" w:fill="FFFFFF" w:themeFill="background1"/>
        <w:rPr>
          <w:rFonts w:ascii="Times New Roman" w:hAnsi="Times New Roman"/>
          <w:sz w:val="20"/>
          <w:szCs w:val="20"/>
        </w:rPr>
      </w:pPr>
    </w:p>
    <w:p w14:paraId="1373B74A" w14:textId="55D92009" w:rsidR="007139D6" w:rsidRPr="007139D6" w:rsidRDefault="007139D6" w:rsidP="007139D6">
      <w:pPr>
        <w:shd w:val="clear" w:color="auto" w:fill="FFFFFF" w:themeFill="background1"/>
        <w:rPr>
          <w:rFonts w:ascii="Times New Roman" w:hAnsi="Times New Roman"/>
          <w:b/>
          <w:bCs/>
          <w:sz w:val="20"/>
          <w:szCs w:val="20"/>
        </w:rPr>
      </w:pPr>
    </w:p>
    <w:p w14:paraId="2FFA485F" w14:textId="77777777" w:rsidR="00451A59" w:rsidRPr="00451A59" w:rsidRDefault="00451A59" w:rsidP="00451A59">
      <w:pPr>
        <w:rPr>
          <w:b/>
          <w:sz w:val="20"/>
          <w:szCs w:val="20"/>
          <w:lang w:val="lt-LT"/>
        </w:rPr>
      </w:pPr>
    </w:p>
    <w:p w14:paraId="106A5BEF" w14:textId="77777777" w:rsidR="00FD79B7" w:rsidRPr="00451A59" w:rsidRDefault="00FD79B7">
      <w:pPr>
        <w:rPr>
          <w:lang w:val="lt-LT"/>
        </w:rPr>
      </w:pPr>
    </w:p>
    <w:sectPr w:rsidR="00FD79B7" w:rsidRPr="00451A59" w:rsidSect="00451A59">
      <w:headerReference w:type="default" r:id="rId1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022A3" w14:textId="77777777" w:rsidR="002F3DF3" w:rsidRDefault="002F3DF3" w:rsidP="00451A59">
      <w:r>
        <w:separator/>
      </w:r>
    </w:p>
  </w:endnote>
  <w:endnote w:type="continuationSeparator" w:id="0">
    <w:p w14:paraId="56FB30FF" w14:textId="77777777" w:rsidR="002F3DF3" w:rsidRDefault="002F3DF3" w:rsidP="0045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6F303" w14:textId="77777777" w:rsidR="002F3DF3" w:rsidRDefault="002F3DF3" w:rsidP="00451A59">
      <w:r>
        <w:separator/>
      </w:r>
    </w:p>
  </w:footnote>
  <w:footnote w:type="continuationSeparator" w:id="0">
    <w:p w14:paraId="55807F95" w14:textId="77777777" w:rsidR="002F3DF3" w:rsidRDefault="002F3DF3" w:rsidP="00451A59">
      <w:r>
        <w:continuationSeparator/>
      </w:r>
    </w:p>
  </w:footnote>
  <w:footnote w:id="1">
    <w:p w14:paraId="15CB626F" w14:textId="77777777" w:rsidR="002F3DF3" w:rsidRPr="00FF398E" w:rsidRDefault="002F3DF3" w:rsidP="00451A59">
      <w:pPr>
        <w:pStyle w:val="FootnoteText"/>
        <w:jc w:val="both"/>
        <w:rPr>
          <w:sz w:val="17"/>
          <w:szCs w:val="17"/>
          <w:lang w:val="lt-LT"/>
        </w:rPr>
      </w:pPr>
      <w:r w:rsidRPr="008D725A">
        <w:rPr>
          <w:rStyle w:val="FootnoteReference"/>
          <w:sz w:val="18"/>
          <w:szCs w:val="18"/>
        </w:rPr>
        <w:footnoteRef/>
      </w:r>
      <w:r w:rsidRPr="008D725A">
        <w:rPr>
          <w:sz w:val="18"/>
          <w:szCs w:val="18"/>
          <w:lang w:val="lt-LT"/>
        </w:rPr>
        <w:t xml:space="preserve"> </w:t>
      </w:r>
      <w:r w:rsidRPr="00FF398E">
        <w:rPr>
          <w:sz w:val="17"/>
          <w:szCs w:val="17"/>
          <w:lang w:val="lt-LT"/>
        </w:rPr>
        <w:t>Šių rodiklių vykdymas priklauso nuo EEA Grants - Norway Grants, Financial Mechanism Office ir CPVA sprendimų</w:t>
      </w:r>
      <w:r>
        <w:rPr>
          <w:sz w:val="17"/>
          <w:szCs w:val="17"/>
          <w:lang w:val="lt-LT"/>
        </w:rPr>
        <w:t>.</w:t>
      </w:r>
    </w:p>
  </w:footnote>
  <w:footnote w:id="2">
    <w:p w14:paraId="368C023C" w14:textId="77777777" w:rsidR="002F3DF3" w:rsidRPr="00EB18C9" w:rsidRDefault="002F3DF3" w:rsidP="00451A59">
      <w:pPr>
        <w:pStyle w:val="FootnoteText"/>
        <w:rPr>
          <w:lang w:val="lt-LT"/>
        </w:rPr>
      </w:pPr>
      <w:r>
        <w:rPr>
          <w:rStyle w:val="FootnoteReference"/>
        </w:rPr>
        <w:footnoteRef/>
      </w:r>
      <w:r w:rsidRPr="00CC06C3">
        <w:rPr>
          <w:lang w:val="lt-LT"/>
        </w:rPr>
        <w:t xml:space="preserve"> </w:t>
      </w:r>
      <w:r>
        <w:rPr>
          <w:lang w:val="lt-LT"/>
        </w:rPr>
        <w:t>Įdiegimas – 2020 m.</w:t>
      </w:r>
    </w:p>
  </w:footnote>
  <w:footnote w:id="3">
    <w:p w14:paraId="343E7D55" w14:textId="77777777" w:rsidR="002F3DF3" w:rsidRPr="000903A0" w:rsidRDefault="002F3DF3" w:rsidP="00451A59">
      <w:pPr>
        <w:pStyle w:val="FootnoteText"/>
        <w:rPr>
          <w:lang w:val="lt-LT"/>
        </w:rPr>
      </w:pPr>
      <w:r>
        <w:rPr>
          <w:rStyle w:val="FootnoteReference"/>
        </w:rPr>
        <w:footnoteRef/>
      </w:r>
      <w:r w:rsidRPr="000903A0">
        <w:rPr>
          <w:lang w:val="lt-LT"/>
        </w:rPr>
        <w:t xml:space="preserve"> </w:t>
      </w:r>
      <w:r>
        <w:rPr>
          <w:lang w:val="lt-LT"/>
        </w:rPr>
        <w:t>Rodiklio reikšmė nustatyta su prielaida, kad bus pristatytas metalas pažeisto branduolinio kuro krepšių gamybai.</w:t>
      </w:r>
    </w:p>
  </w:footnote>
  <w:footnote w:id="4">
    <w:p w14:paraId="5C5AEEEF" w14:textId="77777777" w:rsidR="002F3DF3" w:rsidRPr="00FF398E" w:rsidRDefault="002F3DF3" w:rsidP="00451A59">
      <w:pPr>
        <w:pStyle w:val="FootnoteText"/>
        <w:rPr>
          <w:sz w:val="17"/>
          <w:szCs w:val="17"/>
          <w:lang w:val="lt-LT"/>
        </w:rPr>
      </w:pPr>
      <w:r>
        <w:rPr>
          <w:rStyle w:val="FootnoteReference"/>
        </w:rPr>
        <w:footnoteRef/>
      </w:r>
      <w:r w:rsidRPr="00136D64">
        <w:rPr>
          <w:lang w:val="en-US"/>
        </w:rPr>
        <w:t xml:space="preserve"> </w:t>
      </w:r>
      <w:proofErr w:type="spellStart"/>
      <w:r w:rsidRPr="00FF398E">
        <w:rPr>
          <w:sz w:val="17"/>
          <w:szCs w:val="17"/>
          <w:lang w:val="en-US"/>
        </w:rPr>
        <w:t>Preliminariam</w:t>
      </w:r>
      <w:proofErr w:type="spellEnd"/>
      <w:r w:rsidRPr="00FF398E">
        <w:rPr>
          <w:sz w:val="17"/>
          <w:szCs w:val="17"/>
          <w:lang w:val="en-US"/>
        </w:rPr>
        <w:t xml:space="preserve"> </w:t>
      </w:r>
      <w:proofErr w:type="spellStart"/>
      <w:r w:rsidRPr="00FF398E">
        <w:rPr>
          <w:sz w:val="17"/>
          <w:szCs w:val="17"/>
          <w:lang w:val="en-US"/>
        </w:rPr>
        <w:t>aptarimui</w:t>
      </w:r>
      <w:proofErr w:type="spellEnd"/>
      <w:r w:rsidRPr="00FF398E">
        <w:rPr>
          <w:sz w:val="17"/>
          <w:szCs w:val="17"/>
          <w:lang w:val="en-US"/>
        </w:rPr>
        <w:t xml:space="preserve"> </w:t>
      </w:r>
      <w:proofErr w:type="spellStart"/>
      <w:r w:rsidRPr="00FF398E">
        <w:rPr>
          <w:sz w:val="17"/>
          <w:szCs w:val="17"/>
          <w:lang w:val="en-US"/>
        </w:rPr>
        <w:t>Valdybai</w:t>
      </w:r>
      <w:proofErr w:type="spellEnd"/>
      <w:r w:rsidRPr="00FF398E">
        <w:rPr>
          <w:sz w:val="17"/>
          <w:szCs w:val="17"/>
          <w:lang w:val="en-US"/>
        </w:rPr>
        <w:t xml:space="preserve"> </w:t>
      </w:r>
      <w:proofErr w:type="spellStart"/>
      <w:r w:rsidRPr="00FF398E">
        <w:rPr>
          <w:sz w:val="17"/>
          <w:szCs w:val="17"/>
          <w:lang w:val="en-US"/>
        </w:rPr>
        <w:t>turi</w:t>
      </w:r>
      <w:proofErr w:type="spellEnd"/>
      <w:r w:rsidRPr="00FF398E">
        <w:rPr>
          <w:sz w:val="17"/>
          <w:szCs w:val="17"/>
          <w:lang w:val="en-US"/>
        </w:rPr>
        <w:t xml:space="preserve"> </w:t>
      </w:r>
      <w:proofErr w:type="spellStart"/>
      <w:r w:rsidRPr="00FF398E">
        <w:rPr>
          <w:sz w:val="17"/>
          <w:szCs w:val="17"/>
          <w:lang w:val="en-US"/>
        </w:rPr>
        <w:t>būti</w:t>
      </w:r>
      <w:proofErr w:type="spellEnd"/>
      <w:r w:rsidRPr="00FF398E">
        <w:rPr>
          <w:sz w:val="17"/>
          <w:szCs w:val="17"/>
          <w:lang w:val="en-US"/>
        </w:rPr>
        <w:t xml:space="preserve"> </w:t>
      </w:r>
      <w:proofErr w:type="spellStart"/>
      <w:r w:rsidRPr="00FF398E">
        <w:rPr>
          <w:sz w:val="17"/>
          <w:szCs w:val="17"/>
          <w:lang w:val="en-US"/>
        </w:rPr>
        <w:t>pateikta</w:t>
      </w:r>
      <w:proofErr w:type="spellEnd"/>
      <w:r w:rsidRPr="00FF398E">
        <w:rPr>
          <w:sz w:val="17"/>
          <w:szCs w:val="17"/>
          <w:lang w:val="en-US"/>
        </w:rPr>
        <w:t xml:space="preserve"> III </w:t>
      </w:r>
      <w:proofErr w:type="spellStart"/>
      <w:r w:rsidRPr="00FF398E">
        <w:rPr>
          <w:sz w:val="17"/>
          <w:szCs w:val="17"/>
          <w:lang w:val="en-US"/>
        </w:rPr>
        <w:t>ketv</w:t>
      </w:r>
      <w:proofErr w:type="spellEnd"/>
      <w:r w:rsidRPr="00FF398E">
        <w:rPr>
          <w:sz w:val="17"/>
          <w:szCs w:val="17"/>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9676388"/>
      <w:docPartObj>
        <w:docPartGallery w:val="Page Numbers (Top of Page)"/>
        <w:docPartUnique/>
      </w:docPartObj>
    </w:sdtPr>
    <w:sdtContent>
      <w:p w14:paraId="7D8B5E7C" w14:textId="3E32BB6A" w:rsidR="006446D5" w:rsidRDefault="006446D5">
        <w:pPr>
          <w:pStyle w:val="Header"/>
          <w:jc w:val="center"/>
        </w:pPr>
        <w:r>
          <w:fldChar w:fldCharType="begin"/>
        </w:r>
        <w:r>
          <w:instrText>PAGE   \* MERGEFORMAT</w:instrText>
        </w:r>
        <w:r>
          <w:fldChar w:fldCharType="separate"/>
        </w:r>
        <w:r>
          <w:t>2</w:t>
        </w:r>
        <w:r>
          <w:fldChar w:fldCharType="end"/>
        </w:r>
      </w:p>
    </w:sdtContent>
  </w:sdt>
  <w:p w14:paraId="12B1D668" w14:textId="77777777" w:rsidR="006446D5" w:rsidRDefault="00644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E01"/>
    <w:multiLevelType w:val="hybridMultilevel"/>
    <w:tmpl w:val="BEBE2F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70A4495"/>
    <w:multiLevelType w:val="hybridMultilevel"/>
    <w:tmpl w:val="D6C25B8A"/>
    <w:lvl w:ilvl="0" w:tplc="07A22F2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04F6491"/>
    <w:multiLevelType w:val="hybridMultilevel"/>
    <w:tmpl w:val="A0824AC8"/>
    <w:lvl w:ilvl="0" w:tplc="0419000F">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 w15:restartNumberingAfterBreak="0">
    <w:nsid w:val="165612E7"/>
    <w:multiLevelType w:val="hybridMultilevel"/>
    <w:tmpl w:val="9D82F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F43F1"/>
    <w:multiLevelType w:val="hybridMultilevel"/>
    <w:tmpl w:val="3DFA2CE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EB5048"/>
    <w:multiLevelType w:val="hybridMultilevel"/>
    <w:tmpl w:val="3490BF94"/>
    <w:lvl w:ilvl="0" w:tplc="6ED09D7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 w15:restartNumberingAfterBreak="0">
    <w:nsid w:val="1C8C6B7A"/>
    <w:multiLevelType w:val="hybridMultilevel"/>
    <w:tmpl w:val="060E9AEE"/>
    <w:lvl w:ilvl="0" w:tplc="6766135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F74099"/>
    <w:multiLevelType w:val="hybridMultilevel"/>
    <w:tmpl w:val="0BD68DD6"/>
    <w:lvl w:ilvl="0" w:tplc="83E67946">
      <w:start w:val="1"/>
      <w:numFmt w:val="decimal"/>
      <w:lvlText w:val="%1."/>
      <w:lvlJc w:val="left"/>
      <w:pPr>
        <w:ind w:left="467" w:hanging="360"/>
      </w:pPr>
      <w:rPr>
        <w:rFonts w:hint="default"/>
        <w:color w:val="000000"/>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8" w15:restartNumberingAfterBreak="0">
    <w:nsid w:val="268B5F8B"/>
    <w:multiLevelType w:val="hybridMultilevel"/>
    <w:tmpl w:val="50B8241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E628A5"/>
    <w:multiLevelType w:val="hybridMultilevel"/>
    <w:tmpl w:val="0EE4A250"/>
    <w:lvl w:ilvl="0" w:tplc="BBF405EA">
      <w:start w:val="126"/>
      <w:numFmt w:val="decimal"/>
      <w:lvlText w:val="%1."/>
      <w:lvlJc w:val="left"/>
      <w:pPr>
        <w:ind w:left="360"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0" w15:restartNumberingAfterBreak="0">
    <w:nsid w:val="2B535CC9"/>
    <w:multiLevelType w:val="hybridMultilevel"/>
    <w:tmpl w:val="B56EB2CE"/>
    <w:lvl w:ilvl="0" w:tplc="EC66A9A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0C2C2E"/>
    <w:multiLevelType w:val="hybridMultilevel"/>
    <w:tmpl w:val="104200F4"/>
    <w:lvl w:ilvl="0" w:tplc="68FE71B6">
      <w:start w:val="2"/>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2" w15:restartNumberingAfterBreak="0">
    <w:nsid w:val="31C93564"/>
    <w:multiLevelType w:val="hybridMultilevel"/>
    <w:tmpl w:val="171CD338"/>
    <w:lvl w:ilvl="0" w:tplc="041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FA7CB1"/>
    <w:multiLevelType w:val="hybridMultilevel"/>
    <w:tmpl w:val="A7588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2D11F3"/>
    <w:multiLevelType w:val="hybridMultilevel"/>
    <w:tmpl w:val="B670778A"/>
    <w:lvl w:ilvl="0" w:tplc="3466BA30">
      <w:start w:val="3"/>
      <w:numFmt w:val="decimal"/>
      <w:lvlText w:val="%1."/>
      <w:lvlJc w:val="left"/>
      <w:pPr>
        <w:ind w:left="46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A24096"/>
    <w:multiLevelType w:val="hybridMultilevel"/>
    <w:tmpl w:val="0E04F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50F9D"/>
    <w:multiLevelType w:val="hybridMultilevel"/>
    <w:tmpl w:val="49AA925E"/>
    <w:lvl w:ilvl="0" w:tplc="3B7EB272">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7" w15:restartNumberingAfterBreak="0">
    <w:nsid w:val="47165274"/>
    <w:multiLevelType w:val="hybridMultilevel"/>
    <w:tmpl w:val="E10E9BC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E663B"/>
    <w:multiLevelType w:val="hybridMultilevel"/>
    <w:tmpl w:val="43BC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57A75"/>
    <w:multiLevelType w:val="hybridMultilevel"/>
    <w:tmpl w:val="B7DC1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B92F02"/>
    <w:multiLevelType w:val="hybridMultilevel"/>
    <w:tmpl w:val="14C41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4E030F"/>
    <w:multiLevelType w:val="hybridMultilevel"/>
    <w:tmpl w:val="09707854"/>
    <w:lvl w:ilvl="0" w:tplc="041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2" w15:restartNumberingAfterBreak="0">
    <w:nsid w:val="606014A0"/>
    <w:multiLevelType w:val="hybridMultilevel"/>
    <w:tmpl w:val="D7043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B13367"/>
    <w:multiLevelType w:val="hybridMultilevel"/>
    <w:tmpl w:val="6576B7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C56C64"/>
    <w:multiLevelType w:val="hybridMultilevel"/>
    <w:tmpl w:val="12D6225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76488B"/>
    <w:multiLevelType w:val="hybridMultilevel"/>
    <w:tmpl w:val="4C62D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A67AC"/>
    <w:multiLevelType w:val="hybridMultilevel"/>
    <w:tmpl w:val="63D2092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966BF8"/>
    <w:multiLevelType w:val="hybridMultilevel"/>
    <w:tmpl w:val="C9647752"/>
    <w:lvl w:ilvl="0" w:tplc="7E646A4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6D6C048A"/>
    <w:multiLevelType w:val="hybridMultilevel"/>
    <w:tmpl w:val="D690D7A2"/>
    <w:lvl w:ilvl="0" w:tplc="1618EE08">
      <w:start w:val="1"/>
      <w:numFmt w:val="bullet"/>
      <w:lvlText w:val=""/>
      <w:lvlJc w:val="left"/>
      <w:pPr>
        <w:ind w:left="1088" w:hanging="360"/>
      </w:pPr>
      <w:rPr>
        <w:rFonts w:ascii="Symbol" w:hAnsi="Symbol" w:hint="default"/>
        <w:sz w:val="20"/>
        <w:szCs w:val="20"/>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9" w15:restartNumberingAfterBreak="0">
    <w:nsid w:val="7AFE3FB9"/>
    <w:multiLevelType w:val="hybridMultilevel"/>
    <w:tmpl w:val="C352A5C2"/>
    <w:lvl w:ilvl="0" w:tplc="0419000F">
      <w:start w:val="1"/>
      <w:numFmt w:val="decimal"/>
      <w:lvlText w:val="%1."/>
      <w:lvlJc w:val="left"/>
      <w:pPr>
        <w:ind w:left="928" w:hanging="360"/>
      </w:pPr>
    </w:lvl>
    <w:lvl w:ilvl="1" w:tplc="04190019">
      <w:start w:val="1"/>
      <w:numFmt w:val="decimal"/>
      <w:lvlText w:val="%2."/>
      <w:lvlJc w:val="left"/>
      <w:pPr>
        <w:tabs>
          <w:tab w:val="num" w:pos="1430"/>
        </w:tabs>
        <w:ind w:left="1430" w:hanging="360"/>
      </w:pPr>
    </w:lvl>
    <w:lvl w:ilvl="2" w:tplc="0419001B">
      <w:start w:val="1"/>
      <w:numFmt w:val="decimal"/>
      <w:lvlText w:val="%3."/>
      <w:lvlJc w:val="left"/>
      <w:pPr>
        <w:tabs>
          <w:tab w:val="num" w:pos="2150"/>
        </w:tabs>
        <w:ind w:left="2150" w:hanging="360"/>
      </w:pPr>
    </w:lvl>
    <w:lvl w:ilvl="3" w:tplc="0419000F">
      <w:start w:val="1"/>
      <w:numFmt w:val="decimal"/>
      <w:lvlText w:val="%4."/>
      <w:lvlJc w:val="left"/>
      <w:pPr>
        <w:tabs>
          <w:tab w:val="num" w:pos="2870"/>
        </w:tabs>
        <w:ind w:left="2870" w:hanging="360"/>
      </w:pPr>
    </w:lvl>
    <w:lvl w:ilvl="4" w:tplc="04190019">
      <w:start w:val="1"/>
      <w:numFmt w:val="decimal"/>
      <w:lvlText w:val="%5."/>
      <w:lvlJc w:val="left"/>
      <w:pPr>
        <w:tabs>
          <w:tab w:val="num" w:pos="3590"/>
        </w:tabs>
        <w:ind w:left="3590" w:hanging="360"/>
      </w:pPr>
    </w:lvl>
    <w:lvl w:ilvl="5" w:tplc="0419001B">
      <w:start w:val="1"/>
      <w:numFmt w:val="decimal"/>
      <w:lvlText w:val="%6."/>
      <w:lvlJc w:val="left"/>
      <w:pPr>
        <w:tabs>
          <w:tab w:val="num" w:pos="4310"/>
        </w:tabs>
        <w:ind w:left="4310" w:hanging="360"/>
      </w:pPr>
    </w:lvl>
    <w:lvl w:ilvl="6" w:tplc="0419000F">
      <w:start w:val="1"/>
      <w:numFmt w:val="decimal"/>
      <w:lvlText w:val="%7."/>
      <w:lvlJc w:val="left"/>
      <w:pPr>
        <w:tabs>
          <w:tab w:val="num" w:pos="5030"/>
        </w:tabs>
        <w:ind w:left="5030" w:hanging="360"/>
      </w:pPr>
    </w:lvl>
    <w:lvl w:ilvl="7" w:tplc="04190019">
      <w:start w:val="1"/>
      <w:numFmt w:val="decimal"/>
      <w:lvlText w:val="%8."/>
      <w:lvlJc w:val="left"/>
      <w:pPr>
        <w:tabs>
          <w:tab w:val="num" w:pos="5750"/>
        </w:tabs>
        <w:ind w:left="5750" w:hanging="360"/>
      </w:pPr>
    </w:lvl>
    <w:lvl w:ilvl="8" w:tplc="0419001B">
      <w:start w:val="1"/>
      <w:numFmt w:val="decimal"/>
      <w:lvlText w:val="%9."/>
      <w:lvlJc w:val="left"/>
      <w:pPr>
        <w:tabs>
          <w:tab w:val="num" w:pos="6470"/>
        </w:tabs>
        <w:ind w:left="6470" w:hanging="360"/>
      </w:pPr>
    </w:lvl>
  </w:abstractNum>
  <w:abstractNum w:abstractNumId="30" w15:restartNumberingAfterBreak="0">
    <w:nsid w:val="7C5100CA"/>
    <w:multiLevelType w:val="hybridMultilevel"/>
    <w:tmpl w:val="36B6477E"/>
    <w:lvl w:ilvl="0" w:tplc="732A78E4">
      <w:start w:val="1"/>
      <w:numFmt w:val="decimal"/>
      <w:lvlText w:val="%1."/>
      <w:lvlJc w:val="left"/>
      <w:pPr>
        <w:ind w:left="467" w:hanging="360"/>
      </w:pPr>
      <w:rPr>
        <w:rFonts w:hint="default"/>
        <w:color w:val="000000"/>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29"/>
  </w:num>
  <w:num w:numId="2">
    <w:abstractNumId w:val="2"/>
  </w:num>
  <w:num w:numId="3">
    <w:abstractNumId w:val="21"/>
  </w:num>
  <w:num w:numId="4">
    <w:abstractNumId w:val="12"/>
  </w:num>
  <w:num w:numId="5">
    <w:abstractNumId w:val="28"/>
  </w:num>
  <w:num w:numId="6">
    <w:abstractNumId w:val="20"/>
  </w:num>
  <w:num w:numId="7">
    <w:abstractNumId w:val="6"/>
  </w:num>
  <w:num w:numId="8">
    <w:abstractNumId w:val="15"/>
  </w:num>
  <w:num w:numId="9">
    <w:abstractNumId w:val="3"/>
  </w:num>
  <w:num w:numId="10">
    <w:abstractNumId w:val="18"/>
  </w:num>
  <w:num w:numId="11">
    <w:abstractNumId w:val="17"/>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6"/>
  </w:num>
  <w:num w:numId="16">
    <w:abstractNumId w:val="19"/>
  </w:num>
  <w:num w:numId="17">
    <w:abstractNumId w:val="24"/>
  </w:num>
  <w:num w:numId="18">
    <w:abstractNumId w:val="5"/>
  </w:num>
  <w:num w:numId="19">
    <w:abstractNumId w:val="11"/>
  </w:num>
  <w:num w:numId="20">
    <w:abstractNumId w:val="16"/>
  </w:num>
  <w:num w:numId="21">
    <w:abstractNumId w:val="14"/>
  </w:num>
  <w:num w:numId="22">
    <w:abstractNumId w:val="10"/>
  </w:num>
  <w:num w:numId="23">
    <w:abstractNumId w:val="25"/>
  </w:num>
  <w:num w:numId="24">
    <w:abstractNumId w:val="9"/>
  </w:num>
  <w:num w:numId="25">
    <w:abstractNumId w:val="27"/>
  </w:num>
  <w:num w:numId="26">
    <w:abstractNumId w:val="1"/>
  </w:num>
  <w:num w:numId="27">
    <w:abstractNumId w:val="7"/>
  </w:num>
  <w:num w:numId="28">
    <w:abstractNumId w:val="30"/>
  </w:num>
  <w:num w:numId="29">
    <w:abstractNumId w:val="4"/>
  </w:num>
  <w:num w:numId="30">
    <w:abstractNumId w:val="2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59"/>
    <w:rsid w:val="00057453"/>
    <w:rsid w:val="000C63D2"/>
    <w:rsid w:val="00101814"/>
    <w:rsid w:val="00111521"/>
    <w:rsid w:val="00152463"/>
    <w:rsid w:val="0018154E"/>
    <w:rsid w:val="00217997"/>
    <w:rsid w:val="002D6C0F"/>
    <w:rsid w:val="002F3DF3"/>
    <w:rsid w:val="00325A95"/>
    <w:rsid w:val="00327C6B"/>
    <w:rsid w:val="00340184"/>
    <w:rsid w:val="00354853"/>
    <w:rsid w:val="00393DC9"/>
    <w:rsid w:val="00451A59"/>
    <w:rsid w:val="0050515F"/>
    <w:rsid w:val="005D6FFE"/>
    <w:rsid w:val="00600CA2"/>
    <w:rsid w:val="00640A18"/>
    <w:rsid w:val="006446D5"/>
    <w:rsid w:val="00651C00"/>
    <w:rsid w:val="00662081"/>
    <w:rsid w:val="00697B5D"/>
    <w:rsid w:val="006A1559"/>
    <w:rsid w:val="007139D6"/>
    <w:rsid w:val="00817D5B"/>
    <w:rsid w:val="00832107"/>
    <w:rsid w:val="009D0B20"/>
    <w:rsid w:val="00AD6CDE"/>
    <w:rsid w:val="00B8626C"/>
    <w:rsid w:val="00BE2D3F"/>
    <w:rsid w:val="00D24300"/>
    <w:rsid w:val="00D663CF"/>
    <w:rsid w:val="00D7567A"/>
    <w:rsid w:val="00D91D16"/>
    <w:rsid w:val="00DD2099"/>
    <w:rsid w:val="00E50C8F"/>
    <w:rsid w:val="00E934B0"/>
    <w:rsid w:val="00F746D8"/>
    <w:rsid w:val="00F83512"/>
    <w:rsid w:val="00FD79B7"/>
    <w:rsid w:val="00FF114E"/>
    <w:rsid w:val="00FF2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B8BA5D"/>
  <w15:chartTrackingRefBased/>
  <w15:docId w15:val="{B793BAEA-B8FD-4725-8332-53FD79BA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1A59"/>
    <w:pPr>
      <w:spacing w:after="0" w:line="240" w:lineRule="auto"/>
    </w:pPr>
    <w:rPr>
      <w:rFonts w:ascii="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1A59"/>
    <w:pPr>
      <w:ind w:left="720"/>
      <w:contextualSpacing/>
    </w:pPr>
    <w:rPr>
      <w:lang w:val="lt-LT"/>
    </w:rPr>
  </w:style>
  <w:style w:type="character" w:customStyle="1" w:styleId="ListParagraphChar">
    <w:name w:val="List Paragraph Char"/>
    <w:link w:val="ListParagraph"/>
    <w:uiPriority w:val="34"/>
    <w:locked/>
    <w:rsid w:val="00451A59"/>
    <w:rPr>
      <w:rFonts w:ascii="Calibri" w:hAnsi="Calibri" w:cs="Times New Roman"/>
    </w:rPr>
  </w:style>
  <w:style w:type="paragraph" w:styleId="Header">
    <w:name w:val="header"/>
    <w:basedOn w:val="Normal"/>
    <w:link w:val="HeaderChar"/>
    <w:uiPriority w:val="99"/>
    <w:unhideWhenUsed/>
    <w:rsid w:val="00451A59"/>
    <w:pPr>
      <w:tabs>
        <w:tab w:val="center" w:pos="4844"/>
        <w:tab w:val="right" w:pos="9689"/>
      </w:tabs>
    </w:pPr>
    <w:rPr>
      <w:lang w:val="lt-LT"/>
    </w:rPr>
  </w:style>
  <w:style w:type="character" w:customStyle="1" w:styleId="HeaderChar">
    <w:name w:val="Header Char"/>
    <w:basedOn w:val="DefaultParagraphFont"/>
    <w:link w:val="Header"/>
    <w:uiPriority w:val="99"/>
    <w:rsid w:val="00451A59"/>
    <w:rPr>
      <w:rFonts w:ascii="Calibri" w:hAnsi="Calibri" w:cs="Times New Roman"/>
    </w:rPr>
  </w:style>
  <w:style w:type="paragraph" w:styleId="Footer">
    <w:name w:val="footer"/>
    <w:basedOn w:val="Normal"/>
    <w:link w:val="FooterChar"/>
    <w:uiPriority w:val="99"/>
    <w:unhideWhenUsed/>
    <w:rsid w:val="00451A59"/>
    <w:pPr>
      <w:tabs>
        <w:tab w:val="center" w:pos="4844"/>
        <w:tab w:val="right" w:pos="9689"/>
      </w:tabs>
    </w:pPr>
    <w:rPr>
      <w:lang w:val="lt-LT"/>
    </w:rPr>
  </w:style>
  <w:style w:type="character" w:customStyle="1" w:styleId="FooterChar">
    <w:name w:val="Footer Char"/>
    <w:basedOn w:val="DefaultParagraphFont"/>
    <w:link w:val="Footer"/>
    <w:uiPriority w:val="99"/>
    <w:rsid w:val="00451A59"/>
    <w:rPr>
      <w:rFonts w:ascii="Calibri" w:hAnsi="Calibri" w:cs="Times New Roman"/>
    </w:rPr>
  </w:style>
  <w:style w:type="paragraph" w:styleId="NoSpacing">
    <w:name w:val="No Spacing"/>
    <w:link w:val="NoSpacingChar"/>
    <w:uiPriority w:val="1"/>
    <w:qFormat/>
    <w:rsid w:val="00451A5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51A59"/>
    <w:rPr>
      <w:rFonts w:eastAsiaTheme="minorEastAsia"/>
      <w:lang w:val="en-US" w:eastAsia="ja-JP"/>
    </w:rPr>
  </w:style>
  <w:style w:type="character" w:customStyle="1" w:styleId="BalloonTextChar">
    <w:name w:val="Balloon Text Char"/>
    <w:basedOn w:val="DefaultParagraphFont"/>
    <w:link w:val="BalloonText"/>
    <w:uiPriority w:val="99"/>
    <w:semiHidden/>
    <w:rsid w:val="00451A59"/>
    <w:rPr>
      <w:rFonts w:ascii="Tahoma" w:hAnsi="Tahoma" w:cs="Tahoma"/>
      <w:sz w:val="16"/>
      <w:szCs w:val="16"/>
    </w:rPr>
  </w:style>
  <w:style w:type="paragraph" w:styleId="BalloonText">
    <w:name w:val="Balloon Text"/>
    <w:basedOn w:val="Normal"/>
    <w:link w:val="BalloonTextChar"/>
    <w:uiPriority w:val="99"/>
    <w:semiHidden/>
    <w:unhideWhenUsed/>
    <w:rsid w:val="00451A59"/>
    <w:rPr>
      <w:rFonts w:ascii="Tahoma" w:hAnsi="Tahoma" w:cs="Tahoma"/>
      <w:sz w:val="16"/>
      <w:szCs w:val="16"/>
      <w:lang w:val="lt-LT"/>
    </w:rPr>
  </w:style>
  <w:style w:type="paragraph" w:customStyle="1" w:styleId="Lentelsturinys">
    <w:name w:val="Lentelės turinys"/>
    <w:basedOn w:val="Normal"/>
    <w:rsid w:val="00451A59"/>
    <w:pPr>
      <w:widowControl w:val="0"/>
      <w:suppressLineNumbers/>
      <w:suppressAutoHyphens/>
    </w:pPr>
    <w:rPr>
      <w:rFonts w:ascii="Times New Roman" w:eastAsia="SimSun" w:hAnsi="Times New Roman" w:cs="Lucida Sans"/>
      <w:kern w:val="1"/>
      <w:sz w:val="24"/>
      <w:szCs w:val="24"/>
      <w:lang w:val="lt-LT" w:eastAsia="hi-IN" w:bidi="hi-IN"/>
    </w:rPr>
  </w:style>
  <w:style w:type="character" w:customStyle="1" w:styleId="CommentTextChar">
    <w:name w:val="Comment Text Char"/>
    <w:basedOn w:val="DefaultParagraphFont"/>
    <w:link w:val="CommentText"/>
    <w:uiPriority w:val="99"/>
    <w:semiHidden/>
    <w:rsid w:val="00451A59"/>
    <w:rPr>
      <w:rFonts w:ascii="Calibri" w:hAnsi="Calibri" w:cs="Times New Roman"/>
      <w:sz w:val="20"/>
      <w:szCs w:val="20"/>
    </w:rPr>
  </w:style>
  <w:style w:type="paragraph" w:styleId="CommentText">
    <w:name w:val="annotation text"/>
    <w:basedOn w:val="Normal"/>
    <w:link w:val="CommentTextChar"/>
    <w:uiPriority w:val="99"/>
    <w:semiHidden/>
    <w:unhideWhenUsed/>
    <w:rsid w:val="00451A59"/>
    <w:rPr>
      <w:sz w:val="20"/>
      <w:szCs w:val="20"/>
      <w:lang w:val="lt-LT"/>
    </w:rPr>
  </w:style>
  <w:style w:type="character" w:customStyle="1" w:styleId="CommentSubjectChar">
    <w:name w:val="Comment Subject Char"/>
    <w:basedOn w:val="CommentTextChar"/>
    <w:link w:val="CommentSubject"/>
    <w:uiPriority w:val="99"/>
    <w:semiHidden/>
    <w:rsid w:val="00451A59"/>
    <w:rPr>
      <w:rFonts w:ascii="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51A59"/>
    <w:rPr>
      <w:b/>
      <w:bCs/>
    </w:rPr>
  </w:style>
  <w:style w:type="table" w:styleId="TableGrid">
    <w:name w:val="Table Grid"/>
    <w:basedOn w:val="TableNormal"/>
    <w:uiPriority w:val="59"/>
    <w:rsid w:val="00451A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51A59"/>
    <w:pPr>
      <w:widowControl w:val="0"/>
      <w:autoSpaceDE w:val="0"/>
      <w:autoSpaceDN w:val="0"/>
      <w:adjustRightInd w:val="0"/>
    </w:pPr>
    <w:rPr>
      <w:rFonts w:ascii="Times New Roman" w:eastAsia="Times New Roman" w:hAnsi="Times New Roman"/>
      <w:sz w:val="20"/>
      <w:szCs w:val="20"/>
      <w:lang w:val="ru-RU" w:eastAsia="ru-RU"/>
    </w:rPr>
  </w:style>
  <w:style w:type="character" w:customStyle="1" w:styleId="FootnoteTextChar">
    <w:name w:val="Footnote Text Char"/>
    <w:basedOn w:val="DefaultParagraphFont"/>
    <w:link w:val="FootnoteText"/>
    <w:uiPriority w:val="99"/>
    <w:rsid w:val="00451A59"/>
    <w:rPr>
      <w:rFonts w:ascii="Times New Roman" w:eastAsia="Times New Roman" w:hAnsi="Times New Roman" w:cs="Times New Roman"/>
      <w:sz w:val="20"/>
      <w:szCs w:val="20"/>
      <w:lang w:val="ru-RU" w:eastAsia="ru-RU"/>
    </w:rPr>
  </w:style>
  <w:style w:type="character" w:styleId="FootnoteReference">
    <w:name w:val="footnote reference"/>
    <w:uiPriority w:val="99"/>
    <w:rsid w:val="00451A59"/>
    <w:rPr>
      <w:rFonts w:cs="Times New Roman"/>
      <w:vertAlign w:val="superscript"/>
    </w:rPr>
  </w:style>
  <w:style w:type="character" w:styleId="PlaceholderText">
    <w:name w:val="Placeholder Text"/>
    <w:basedOn w:val="DefaultParagraphFont"/>
    <w:uiPriority w:val="99"/>
    <w:semiHidden/>
    <w:rsid w:val="00DD2099"/>
    <w:rPr>
      <w:color w:val="808080"/>
    </w:rPr>
  </w:style>
  <w:style w:type="character" w:styleId="CommentReference">
    <w:name w:val="annotation reference"/>
    <w:basedOn w:val="DefaultParagraphFont"/>
    <w:uiPriority w:val="99"/>
    <w:semiHidden/>
    <w:unhideWhenUsed/>
    <w:rsid w:val="00E934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5"/>
        <w:category>
          <w:name w:val="General"/>
          <w:gallery w:val="placeholder"/>
        </w:category>
        <w:types>
          <w:type w:val="bbPlcHdr"/>
        </w:types>
        <w:behaviors>
          <w:behavior w:val="content"/>
        </w:behaviors>
        <w:guid w:val="{3BC43CAA-1732-4AA5-9A20-BC16D872873A}"/>
      </w:docPartPr>
      <w:docPartBody>
        <w:p w:rsidR="00C03154" w:rsidRDefault="00CF2EA0">
          <w:r w:rsidRPr="00A956B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A0"/>
    <w:rsid w:val="004C5FAB"/>
    <w:rsid w:val="00884265"/>
    <w:rsid w:val="00C03154"/>
    <w:rsid w:val="00CF2EA0"/>
    <w:rsid w:val="00F63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EA0"/>
    <w:rPr>
      <w:color w:val="808080"/>
    </w:rPr>
  </w:style>
  <w:style w:type="paragraph" w:customStyle="1" w:styleId="7A583315FB6E40A9A8FEE36807B3B1FF">
    <w:name w:val="7A583315FB6E40A9A8FEE36807B3B1FF"/>
    <w:rsid w:val="00CF2EA0"/>
  </w:style>
  <w:style w:type="paragraph" w:customStyle="1" w:styleId="6D18AB4999644E809806EA3E5661F657">
    <w:name w:val="6D18AB4999644E809806EA3E5661F657"/>
    <w:rsid w:val="00CF2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66F126C13AD0E4E9937C51576AA30DE" ma:contentTypeVersion="13" ma:contentTypeDescription="Kurkite naują dokumentą." ma:contentTypeScope="" ma:versionID="12e6b800163282d01413dbf24ecc9a66">
  <xsd:schema xmlns:xsd="http://www.w3.org/2001/XMLSchema" xmlns:xs="http://www.w3.org/2001/XMLSchema" xmlns:p="http://schemas.microsoft.com/office/2006/metadata/properties" xmlns:ns3="0cd5e55e-b2af-469a-8a35-36206e1d3da9" xmlns:ns4="4f6c81c7-87f1-47e2-92cb-7e2f4400e2ff" targetNamespace="http://schemas.microsoft.com/office/2006/metadata/properties" ma:root="true" ma:fieldsID="5bffcfd5bd3940edcff6dea114fd35ab" ns3:_="" ns4:_="">
    <xsd:import namespace="0cd5e55e-b2af-469a-8a35-36206e1d3da9"/>
    <xsd:import namespace="4f6c81c7-87f1-47e2-92cb-7e2f4400e2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e55e-b2af-469a-8a35-36206e1d3d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81c7-87f1-47e2-92cb-7e2f4400e2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BA08E-F134-4620-9FAE-CEC9B8BF94D9}">
  <ds:schemaRefs>
    <ds:schemaRef ds:uri="http://schemas.microsoft.com/sharepoint/v3/contenttype/forms"/>
  </ds:schemaRefs>
</ds:datastoreItem>
</file>

<file path=customXml/itemProps2.xml><?xml version="1.0" encoding="utf-8"?>
<ds:datastoreItem xmlns:ds="http://schemas.openxmlformats.org/officeDocument/2006/customXml" ds:itemID="{81B12551-C2A5-44BB-8F40-1F25563C36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3C0720-D038-434B-9EEC-7F8D79547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e55e-b2af-469a-8a35-36206e1d3da9"/>
    <ds:schemaRef ds:uri="4f6c81c7-87f1-47e2-92cb-7e2f4400e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21526</Words>
  <Characters>12271</Characters>
  <Application>Microsoft Office Word</Application>
  <DocSecurity>4</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Jakubėnaitė</dc:creator>
  <cp:keywords/>
  <dc:description/>
  <cp:lastModifiedBy>Inga Jakubėnaitė</cp:lastModifiedBy>
  <cp:revision>2</cp:revision>
  <dcterms:created xsi:type="dcterms:W3CDTF">2020-07-09T12:18:00Z</dcterms:created>
  <dcterms:modified xsi:type="dcterms:W3CDTF">2020-07-09T12:18:00Z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0x010100B66F126C13AD0E4E9937C51576AA30DE</vt:lpwstr>
  </property>
</Properties>
</file>