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9559E" w14:textId="5CAE68FA" w:rsidR="00A744E8" w:rsidRPr="002051C1" w:rsidRDefault="00E76296" w:rsidP="00DF462E">
      <w:pPr>
        <w:jc w:val="center"/>
        <w:rPr>
          <w:b/>
          <w:lang w:eastAsia="lt-LT"/>
        </w:rPr>
      </w:pPr>
      <w:r w:rsidRPr="002051C1">
        <w:rPr>
          <w:b/>
          <w:caps/>
          <w:color w:val="000000"/>
        </w:rPr>
        <w:t xml:space="preserve">Lietuvos Respublikos Vyriausybės nutarimo </w:t>
      </w:r>
      <w:r w:rsidR="00457DF3" w:rsidRPr="002051C1">
        <w:rPr>
          <w:b/>
          <w:color w:val="000000"/>
        </w:rPr>
        <w:t>„</w:t>
      </w:r>
      <w:r w:rsidR="00827C4A" w:rsidRPr="00827C4A">
        <w:rPr>
          <w:b/>
          <w:color w:val="000000"/>
        </w:rPr>
        <w:t>DĖL ĮGALIOJIMO ŠVIETIMO, MOKSLO IR SPORTO MINISTRUI ALGIRDUI MONKEVIČIUI SUDARYTI PRISIJUNGIMO PRIE INTEGRUOTOS STRUKTŪRINĖS BIOLOGIJOS INFRASTRUKTŪROS EUROPOS MOKSLINIŲ TYRIMŲ INFRASTRUKTŪROS KONSORCIUMO, BIOBANKŲ IR BIOMOLEKULINIŲ IŠTEKLIŲ INFRASTRUKTŪROS EUROPOS MOKSLINIŲ TYRIMŲ INFRASTRUKTŪROS KONSORCIUMO IR EKSTREMALIOS ŠVIESOS INFRASTRUKTŪROS EUROPOS MOKSLINIŲ TYRIMŲ INFRASTRUKTŪROS KONSORCIUMO SUSITARIMUS</w:t>
      </w:r>
      <w:r w:rsidR="00825722" w:rsidRPr="002051C1">
        <w:rPr>
          <w:b/>
          <w:lang w:eastAsia="lt-LT"/>
        </w:rPr>
        <w:t>“</w:t>
      </w:r>
      <w:r w:rsidR="007C0CC5" w:rsidRPr="002051C1">
        <w:rPr>
          <w:b/>
          <w:lang w:eastAsia="lt-LT"/>
        </w:rPr>
        <w:t xml:space="preserve"> </w:t>
      </w:r>
    </w:p>
    <w:p w14:paraId="31767E6B" w14:textId="3448523F" w:rsidR="00833122" w:rsidRPr="002051C1" w:rsidRDefault="00E76296" w:rsidP="001315D9">
      <w:pPr>
        <w:jc w:val="center"/>
        <w:rPr>
          <w:b/>
          <w:caps/>
        </w:rPr>
      </w:pPr>
      <w:r w:rsidRPr="002051C1">
        <w:rPr>
          <w:b/>
          <w:caps/>
          <w:color w:val="000000"/>
        </w:rPr>
        <w:t>projekto</w:t>
      </w:r>
      <w:r w:rsidR="00825722" w:rsidRPr="002051C1">
        <w:rPr>
          <w:b/>
          <w:caps/>
          <w:color w:val="000000"/>
        </w:rPr>
        <w:t xml:space="preserve"> </w:t>
      </w:r>
      <w:r w:rsidR="0068786C" w:rsidRPr="002051C1">
        <w:rPr>
          <w:b/>
          <w:caps/>
        </w:rPr>
        <w:t>DERINIMO PAŽYMA</w:t>
      </w:r>
    </w:p>
    <w:p w14:paraId="29DC978E" w14:textId="77777777" w:rsidR="00480E52" w:rsidRPr="002051C1" w:rsidRDefault="00480E52" w:rsidP="001315D9">
      <w:pPr>
        <w:jc w:val="center"/>
        <w:rPr>
          <w:b/>
          <w:caps/>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6841"/>
        <w:gridCol w:w="5954"/>
      </w:tblGrid>
      <w:tr w:rsidR="00480E52" w:rsidRPr="002051C1" w14:paraId="293A9DC9" w14:textId="77777777" w:rsidTr="00491197">
        <w:tc>
          <w:tcPr>
            <w:tcW w:w="1523" w:type="dxa"/>
          </w:tcPr>
          <w:p w14:paraId="0EAEDD68" w14:textId="77777777" w:rsidR="00480E52" w:rsidRPr="002051C1" w:rsidRDefault="00480E52" w:rsidP="00A744E8">
            <w:pPr>
              <w:jc w:val="center"/>
              <w:rPr>
                <w:bCs/>
              </w:rPr>
            </w:pPr>
            <w:r w:rsidRPr="002051C1">
              <w:t>Minister</w:t>
            </w:r>
            <w:r w:rsidR="00A744E8" w:rsidRPr="002051C1">
              <w:t>ijos, Vyriausybės įstaigos ir kt.</w:t>
            </w:r>
            <w:r w:rsidRPr="002051C1">
              <w:t xml:space="preserve"> organizacijos</w:t>
            </w:r>
          </w:p>
        </w:tc>
        <w:tc>
          <w:tcPr>
            <w:tcW w:w="6841" w:type="dxa"/>
            <w:vAlign w:val="center"/>
          </w:tcPr>
          <w:p w14:paraId="6570A8CF" w14:textId="77777777" w:rsidR="00480E52" w:rsidRPr="002051C1" w:rsidRDefault="00480E52" w:rsidP="00A744E8">
            <w:pPr>
              <w:jc w:val="center"/>
              <w:rPr>
                <w:bCs/>
              </w:rPr>
            </w:pPr>
            <w:r w:rsidRPr="002051C1">
              <w:t>Pastabos ir pasiūlymai</w:t>
            </w:r>
          </w:p>
        </w:tc>
        <w:tc>
          <w:tcPr>
            <w:tcW w:w="5954" w:type="dxa"/>
            <w:vAlign w:val="center"/>
          </w:tcPr>
          <w:p w14:paraId="2E08F8B9" w14:textId="77777777" w:rsidR="00480E52" w:rsidRPr="002051C1" w:rsidRDefault="00480E52" w:rsidP="00A744E8">
            <w:pPr>
              <w:jc w:val="center"/>
              <w:rPr>
                <w:bCs/>
              </w:rPr>
            </w:pPr>
            <w:r w:rsidRPr="002051C1">
              <w:t>Žyma apie nepriimtas ir iš dalies nepriimtas pastabas ir pasiūlymus</w:t>
            </w:r>
          </w:p>
        </w:tc>
      </w:tr>
      <w:tr w:rsidR="00163902" w:rsidRPr="002051C1" w14:paraId="62B25A00" w14:textId="77777777" w:rsidTr="00491197">
        <w:trPr>
          <w:trHeight w:val="1742"/>
        </w:trPr>
        <w:tc>
          <w:tcPr>
            <w:tcW w:w="1523" w:type="dxa"/>
            <w:vMerge w:val="restart"/>
          </w:tcPr>
          <w:p w14:paraId="454A0F5D" w14:textId="619EA536" w:rsidR="00163902" w:rsidRDefault="00D4428B" w:rsidP="00AA07D7">
            <w:r>
              <w:t>Lietuvos mokslo tarybos 2019-11-28 raštas Nr.</w:t>
            </w:r>
          </w:p>
          <w:p w14:paraId="20717EA7" w14:textId="12270EE7" w:rsidR="00D4428B" w:rsidRPr="002051C1" w:rsidRDefault="00D4428B" w:rsidP="00AA07D7">
            <w:r>
              <w:t>R-10368</w:t>
            </w:r>
          </w:p>
        </w:tc>
        <w:tc>
          <w:tcPr>
            <w:tcW w:w="6841" w:type="dxa"/>
          </w:tcPr>
          <w:p w14:paraId="3D147EF2" w14:textId="180100C0" w:rsidR="003978AF" w:rsidRPr="002051C1" w:rsidRDefault="003978AF" w:rsidP="003978AF">
            <w:pPr>
              <w:tabs>
                <w:tab w:val="left" w:pos="1418"/>
              </w:tabs>
              <w:jc w:val="both"/>
            </w:pPr>
            <w:r>
              <w:t xml:space="preserve">Pažymima, kad Nutarimo projekte </w:t>
            </w:r>
            <w:r w:rsidRPr="003978AF">
              <w:t xml:space="preserve">nurodyta, kad valstybės biudžeto asignavimai narystės išlaidoms </w:t>
            </w:r>
            <w:proofErr w:type="spellStart"/>
            <w:r w:rsidRPr="003978AF">
              <w:t>Instruct</w:t>
            </w:r>
            <w:proofErr w:type="spellEnd"/>
            <w:r w:rsidRPr="003978AF">
              <w:t xml:space="preserve"> ERIC, ELI ir BBMRI-ERIC</w:t>
            </w:r>
            <w:r w:rsidR="00D33D81">
              <w:t xml:space="preserve"> (toliau – Infrastruktūros)</w:t>
            </w:r>
            <w:r w:rsidRPr="003978AF">
              <w:t xml:space="preserve"> finansuoti būtų kasmet būtų numatomi </w:t>
            </w:r>
            <w:r w:rsidR="00A47A68">
              <w:t>Lietuvos mokslo t</w:t>
            </w:r>
            <w:r w:rsidRPr="003978AF">
              <w:t>arybos</w:t>
            </w:r>
            <w:r w:rsidR="00A47A68">
              <w:t xml:space="preserve"> (toliau – Taryba)</w:t>
            </w:r>
            <w:r w:rsidRPr="003978AF">
              <w:t xml:space="preserve"> biudžete</w:t>
            </w:r>
            <w:r>
              <w:t>, nors Tarybai lėšų</w:t>
            </w:r>
            <w:r w:rsidRPr="003978AF">
              <w:t>, skirtų dalyvavimui tarptautinėse mokslinių tyrimų infrastruktūrose</w:t>
            </w:r>
            <w:r w:rsidR="00A47A68">
              <w:t xml:space="preserve"> (toliau </w:t>
            </w:r>
            <w:r w:rsidR="00A47A68">
              <w:rPr>
                <w:rFonts w:hint="eastAsia"/>
              </w:rPr>
              <w:t xml:space="preserve">– </w:t>
            </w:r>
            <w:r w:rsidR="00A47A68">
              <w:t>MTI)</w:t>
            </w:r>
            <w:r w:rsidRPr="003978AF">
              <w:t xml:space="preserve"> užtikrinti, neskiriama</w:t>
            </w:r>
            <w:r w:rsidR="00E2790C">
              <w:t xml:space="preserve">, todėl abejojama dėl galimybės užtikrinti </w:t>
            </w:r>
            <w:r w:rsidR="00A47A68">
              <w:t xml:space="preserve">MTI </w:t>
            </w:r>
            <w:r w:rsidR="00E2790C">
              <w:t>narysčių finansinių įsipareigojimų vykdymą.</w:t>
            </w:r>
          </w:p>
        </w:tc>
        <w:tc>
          <w:tcPr>
            <w:tcW w:w="5954" w:type="dxa"/>
          </w:tcPr>
          <w:p w14:paraId="22FC47E5" w14:textId="00F35AC5" w:rsidR="00A47A68" w:rsidRPr="002051C1" w:rsidRDefault="00A47A68" w:rsidP="00A47A68">
            <w:pPr>
              <w:jc w:val="both"/>
              <w:rPr>
                <w:rFonts w:eastAsia="Arial"/>
                <w:lang w:eastAsia="lt-LT"/>
              </w:rPr>
            </w:pPr>
            <w:r w:rsidRPr="002051C1">
              <w:rPr>
                <w:rFonts w:eastAsia="Arial"/>
                <w:b/>
                <w:lang w:eastAsia="lt-LT"/>
              </w:rPr>
              <w:t>Atsižvelgta</w:t>
            </w:r>
            <w:r w:rsidRPr="002051C1">
              <w:rPr>
                <w:rFonts w:eastAsia="Arial"/>
                <w:lang w:eastAsia="lt-LT"/>
              </w:rPr>
              <w:t>.</w:t>
            </w:r>
          </w:p>
          <w:p w14:paraId="316AA114" w14:textId="3E98E63F" w:rsidR="00163902" w:rsidRPr="00A47A68" w:rsidRDefault="00B00B83" w:rsidP="001C54C1">
            <w:pPr>
              <w:spacing w:after="20"/>
              <w:jc w:val="both"/>
            </w:pPr>
            <w:r>
              <w:t>Nutarimo projektas papildytas darbo tvarka</w:t>
            </w:r>
            <w:r w:rsidR="001C54C1">
              <w:t xml:space="preserve"> Tarybos</w:t>
            </w:r>
            <w:r>
              <w:t xml:space="preserve"> pasiūlytomis nuostatomis, </w:t>
            </w:r>
            <w:r w:rsidR="001C54C1">
              <w:t>dėl turtinių teisių ir lėšų joms užtikrinimo.</w:t>
            </w:r>
          </w:p>
        </w:tc>
      </w:tr>
      <w:tr w:rsidR="00163902" w:rsidRPr="002051C1" w14:paraId="56F8CE2A" w14:textId="77777777" w:rsidTr="00491197">
        <w:trPr>
          <w:trHeight w:val="1742"/>
        </w:trPr>
        <w:tc>
          <w:tcPr>
            <w:tcW w:w="1523" w:type="dxa"/>
            <w:vMerge/>
          </w:tcPr>
          <w:p w14:paraId="4F8CD1B9" w14:textId="77777777" w:rsidR="00163902" w:rsidRPr="002051C1" w:rsidRDefault="00163902" w:rsidP="00A744E8"/>
        </w:tc>
        <w:tc>
          <w:tcPr>
            <w:tcW w:w="6841" w:type="dxa"/>
          </w:tcPr>
          <w:p w14:paraId="685691F4" w14:textId="54BE69D5" w:rsidR="00163902" w:rsidRPr="002051C1" w:rsidRDefault="00D33D81" w:rsidP="0026670E">
            <w:pPr>
              <w:tabs>
                <w:tab w:val="left" w:pos="1134"/>
              </w:tabs>
              <w:spacing w:line="276" w:lineRule="auto"/>
              <w:jc w:val="both"/>
            </w:pPr>
            <w:r>
              <w:t xml:space="preserve">Pažymima, kad Infrastruktūros yra finansuojamos Europos Sąjungos investicijų fondų (toliau – ESIF) lėšomis todėl narystės Infrastruktūrose turės būti tęsiamos dar 5 metus po </w:t>
            </w:r>
            <w:r w:rsidR="00471E50">
              <w:t>finansavimo</w:t>
            </w:r>
            <w:r>
              <w:t xml:space="preserve"> ESIF</w:t>
            </w:r>
            <w:r w:rsidR="00471E50">
              <w:t xml:space="preserve"> lėšomis ir pažymima</w:t>
            </w:r>
            <w:r>
              <w:t xml:space="preserve">, kad </w:t>
            </w:r>
            <w:r w:rsidR="00471E50">
              <w:t>n</w:t>
            </w:r>
            <w:r w:rsidRPr="00D33D81">
              <w:t>eaišku, ar partneriai, nurodyti narystės</w:t>
            </w:r>
            <w:r w:rsidR="00471E50">
              <w:t xml:space="preserve"> Infrastruktūrose</w:t>
            </w:r>
            <w:r w:rsidRPr="00D33D81">
              <w:t xml:space="preserve"> planų projektuose prisidės prie narystės mokesčio po 2024 m</w:t>
            </w:r>
            <w:r w:rsidR="00471E50">
              <w:t>.</w:t>
            </w:r>
          </w:p>
        </w:tc>
        <w:tc>
          <w:tcPr>
            <w:tcW w:w="5954" w:type="dxa"/>
          </w:tcPr>
          <w:p w14:paraId="1B26AFAA" w14:textId="5E433868" w:rsidR="00163902" w:rsidRDefault="00471E50" w:rsidP="00471E50">
            <w:pPr>
              <w:jc w:val="both"/>
              <w:rPr>
                <w:rFonts w:eastAsia="Arial"/>
                <w:b/>
                <w:lang w:eastAsia="lt-LT"/>
              </w:rPr>
            </w:pPr>
            <w:r w:rsidRPr="002051C1">
              <w:rPr>
                <w:rFonts w:eastAsia="Arial"/>
                <w:b/>
                <w:lang w:eastAsia="lt-LT"/>
              </w:rPr>
              <w:t>Atsižvelgta</w:t>
            </w:r>
            <w:r>
              <w:rPr>
                <w:rFonts w:eastAsia="Arial"/>
                <w:b/>
                <w:lang w:eastAsia="lt-LT"/>
              </w:rPr>
              <w:t>.</w:t>
            </w:r>
          </w:p>
          <w:p w14:paraId="53D7DCD3" w14:textId="41B5E7F2" w:rsidR="001C54C1" w:rsidRPr="001C54C1" w:rsidRDefault="001C54C1" w:rsidP="00471E50">
            <w:pPr>
              <w:jc w:val="both"/>
              <w:rPr>
                <w:rFonts w:eastAsia="Arial"/>
                <w:lang w:eastAsia="lt-LT"/>
              </w:rPr>
            </w:pPr>
            <w:r>
              <w:rPr>
                <w:rFonts w:eastAsia="Arial"/>
                <w:lang w:eastAsia="lt-LT"/>
              </w:rPr>
              <w:t>Ši informacija buvo-yra lydraštyje.</w:t>
            </w:r>
          </w:p>
          <w:p w14:paraId="5C2A1F1F" w14:textId="6DF2556F" w:rsidR="00471E50" w:rsidRPr="00471E50" w:rsidRDefault="001C54C1" w:rsidP="00471E50">
            <w:pPr>
              <w:jc w:val="both"/>
              <w:rPr>
                <w:rFonts w:eastAsia="Arial"/>
                <w:lang w:eastAsia="lt-LT"/>
              </w:rPr>
            </w:pPr>
            <w:r>
              <w:rPr>
                <w:rFonts w:eastAsia="Arial"/>
                <w:lang w:eastAsia="lt-LT"/>
              </w:rPr>
              <w:t>L</w:t>
            </w:r>
            <w:r w:rsidR="00471E50" w:rsidRPr="00401A97">
              <w:rPr>
                <w:rFonts w:eastAsia="Arial"/>
                <w:lang w:eastAsia="lt-LT"/>
              </w:rPr>
              <w:t>ydraštyje išdėstyta kokiu laikotarpiu partneriai, nurodyti narystės Infrastruktūrose planų projektuose yra įsipareigoję prisidėti prie narystės mokesčio apmokėjimo</w:t>
            </w:r>
            <w:r w:rsidR="00401A97" w:rsidRPr="00401A97">
              <w:rPr>
                <w:rFonts w:eastAsia="Arial"/>
                <w:lang w:eastAsia="lt-LT"/>
              </w:rPr>
              <w:t>.</w:t>
            </w:r>
          </w:p>
        </w:tc>
      </w:tr>
      <w:tr w:rsidR="00163902" w:rsidRPr="002051C1" w14:paraId="78BDB91D" w14:textId="77777777" w:rsidTr="00491197">
        <w:trPr>
          <w:trHeight w:val="474"/>
        </w:trPr>
        <w:tc>
          <w:tcPr>
            <w:tcW w:w="1523" w:type="dxa"/>
            <w:vMerge/>
          </w:tcPr>
          <w:p w14:paraId="6F3394C1" w14:textId="77777777" w:rsidR="00163902" w:rsidRPr="002051C1" w:rsidRDefault="00163902" w:rsidP="00480E52">
            <w:pPr>
              <w:rPr>
                <w:b/>
              </w:rPr>
            </w:pPr>
          </w:p>
        </w:tc>
        <w:tc>
          <w:tcPr>
            <w:tcW w:w="6841" w:type="dxa"/>
          </w:tcPr>
          <w:p w14:paraId="7EAF4CBE" w14:textId="4C3DBECF" w:rsidR="00163902" w:rsidRPr="002051C1" w:rsidRDefault="00B61ECD" w:rsidP="00B61ECD">
            <w:pPr>
              <w:tabs>
                <w:tab w:val="left" w:pos="1418"/>
              </w:tabs>
              <w:jc w:val="both"/>
            </w:pPr>
            <w:r w:rsidRPr="00B61ECD">
              <w:t xml:space="preserve">Projekto Numatomo teisinio reguliavimo poveikio pažymoje nurodyta: „Lietuvai </w:t>
            </w:r>
            <w:proofErr w:type="spellStart"/>
            <w:r w:rsidRPr="00B61ECD">
              <w:t>Instruct</w:t>
            </w:r>
            <w:proofErr w:type="spellEnd"/>
            <w:r w:rsidRPr="00B61ECD">
              <w:t>-ERIC, ELI ir BBMRI-ERIC atstovautų Lietuvos mokslo tarybos nustatyta tvarka atrinkta mokslo ir studijų institucija, kurią įsakymu kaip Lietuvai atstovaujančią instituciją paskirtų švietimo, mokslo ir sporto ministras“. Taryba</w:t>
            </w:r>
            <w:r>
              <w:t xml:space="preserve"> pažymi, kad</w:t>
            </w:r>
            <w:r w:rsidRPr="00B61ECD">
              <w:t xml:space="preserve"> </w:t>
            </w:r>
            <w:r w:rsidRPr="00B61ECD">
              <w:lastRenderedPageBreak/>
              <w:t>neturi tvarkos, kuria vadovaujantis būtų paskiriama atstovaujanti institucija.</w:t>
            </w:r>
          </w:p>
        </w:tc>
        <w:tc>
          <w:tcPr>
            <w:tcW w:w="5954" w:type="dxa"/>
          </w:tcPr>
          <w:p w14:paraId="3587F909" w14:textId="18592ADC" w:rsidR="00163902" w:rsidRDefault="00B10669" w:rsidP="00A744E8">
            <w:pPr>
              <w:jc w:val="both"/>
              <w:rPr>
                <w:b/>
                <w:lang w:eastAsia="lt-LT"/>
              </w:rPr>
            </w:pPr>
            <w:r>
              <w:rPr>
                <w:b/>
                <w:lang w:eastAsia="lt-LT"/>
              </w:rPr>
              <w:lastRenderedPageBreak/>
              <w:t>Atsižvelgta</w:t>
            </w:r>
            <w:r w:rsidR="00B61ECD">
              <w:rPr>
                <w:b/>
                <w:lang w:eastAsia="lt-LT"/>
              </w:rPr>
              <w:t>.</w:t>
            </w:r>
          </w:p>
          <w:p w14:paraId="38178107" w14:textId="4D1135DF" w:rsidR="00B61ECD" w:rsidRPr="00B61ECD" w:rsidRDefault="003F7C41" w:rsidP="00401A97">
            <w:pPr>
              <w:jc w:val="both"/>
              <w:rPr>
                <w:lang w:eastAsia="lt-LT"/>
              </w:rPr>
            </w:pPr>
            <w:r>
              <w:rPr>
                <w:lang w:eastAsia="lt-LT"/>
              </w:rPr>
              <w:t>Numatomo teisinio reguliavimo pažymoje patikslinta formuluotė dėl Tarybos atrankos tvarkos</w:t>
            </w:r>
            <w:r w:rsidR="00401A97">
              <w:rPr>
                <w:lang w:eastAsia="lt-LT"/>
              </w:rPr>
              <w:t>.</w:t>
            </w:r>
          </w:p>
        </w:tc>
      </w:tr>
      <w:tr w:rsidR="00163902" w:rsidRPr="002051C1" w14:paraId="771372DD" w14:textId="77777777" w:rsidTr="00491197">
        <w:trPr>
          <w:trHeight w:val="474"/>
        </w:trPr>
        <w:tc>
          <w:tcPr>
            <w:tcW w:w="1523" w:type="dxa"/>
            <w:vMerge/>
          </w:tcPr>
          <w:p w14:paraId="3999CE50" w14:textId="77777777" w:rsidR="00163902" w:rsidRPr="002051C1" w:rsidRDefault="00163902" w:rsidP="00480E52">
            <w:pPr>
              <w:rPr>
                <w:b/>
              </w:rPr>
            </w:pPr>
          </w:p>
        </w:tc>
        <w:tc>
          <w:tcPr>
            <w:tcW w:w="6841" w:type="dxa"/>
          </w:tcPr>
          <w:p w14:paraId="5C8CA64E" w14:textId="478E1714" w:rsidR="00163902" w:rsidRPr="002051C1" w:rsidRDefault="004A45CF" w:rsidP="0026670E">
            <w:pPr>
              <w:tabs>
                <w:tab w:val="left" w:pos="1560"/>
              </w:tabs>
              <w:spacing w:line="276" w:lineRule="auto"/>
              <w:jc w:val="both"/>
            </w:pPr>
            <w:r w:rsidRPr="004A45CF">
              <w:t>Dėl teisinio reguliavimo kolizijų ir finansavimo klausimų Taryba jau atkreipė ŠMSM dėmesį 2019 m. spalio 31 d. raštu Nr. 4 S-926 bei siūlė neteikti derinti teisės aktų projektų, kol nebus išspręsti šie, Tarybos nuomone, esminiai klausimai.</w:t>
            </w:r>
          </w:p>
        </w:tc>
        <w:tc>
          <w:tcPr>
            <w:tcW w:w="5954" w:type="dxa"/>
          </w:tcPr>
          <w:p w14:paraId="68E1DA97" w14:textId="17FA3AE6" w:rsidR="004A45CF" w:rsidRDefault="004A45CF" w:rsidP="004A45CF">
            <w:pPr>
              <w:jc w:val="both"/>
              <w:rPr>
                <w:b/>
                <w:lang w:eastAsia="lt-LT"/>
              </w:rPr>
            </w:pPr>
            <w:r>
              <w:rPr>
                <w:b/>
                <w:lang w:eastAsia="lt-LT"/>
              </w:rPr>
              <w:t>Atsižvelgta</w:t>
            </w:r>
            <w:r w:rsidR="00401A97">
              <w:rPr>
                <w:b/>
                <w:lang w:eastAsia="lt-LT"/>
              </w:rPr>
              <w:t xml:space="preserve"> iš dalies</w:t>
            </w:r>
            <w:r>
              <w:rPr>
                <w:b/>
                <w:lang w:eastAsia="lt-LT"/>
              </w:rPr>
              <w:t>.</w:t>
            </w:r>
          </w:p>
          <w:p w14:paraId="1AD4F6F9" w14:textId="2E49289D" w:rsidR="00163902" w:rsidRPr="002051C1" w:rsidRDefault="009A22A8" w:rsidP="004A45CF">
            <w:pPr>
              <w:jc w:val="both"/>
              <w:rPr>
                <w:b/>
                <w:lang w:eastAsia="lt-LT"/>
              </w:rPr>
            </w:pPr>
            <w:r w:rsidRPr="00B00B83">
              <w:rPr>
                <w:lang w:eastAsia="lt-LT"/>
              </w:rPr>
              <w:t>Lydraštis papildytas aktualia informacija dėl teisinio regulia</w:t>
            </w:r>
            <w:r w:rsidR="0018136C">
              <w:rPr>
                <w:lang w:eastAsia="lt-LT"/>
              </w:rPr>
              <w:t>v</w:t>
            </w:r>
            <w:r w:rsidRPr="00B00B83">
              <w:rPr>
                <w:lang w:eastAsia="lt-LT"/>
              </w:rPr>
              <w:t>imo kolizijų ir jų prevencijos</w:t>
            </w:r>
            <w:r w:rsidR="00454158" w:rsidRPr="00B00B83">
              <w:rPr>
                <w:lang w:eastAsia="lt-LT"/>
              </w:rPr>
              <w:t>. Finansavimo klausimas</w:t>
            </w:r>
            <w:r w:rsidR="0018136C">
              <w:rPr>
                <w:lang w:eastAsia="lt-LT"/>
              </w:rPr>
              <w:t xml:space="preserve"> jau</w:t>
            </w:r>
            <w:r w:rsidR="00454158" w:rsidRPr="00B00B83">
              <w:rPr>
                <w:lang w:eastAsia="lt-LT"/>
              </w:rPr>
              <w:t xml:space="preserve"> patikslintas pagal ankstesnę pastabą.</w:t>
            </w:r>
            <w:r w:rsidR="004A45CF" w:rsidRPr="00B00B83">
              <w:rPr>
                <w:lang w:eastAsia="lt-LT"/>
              </w:rPr>
              <w:t xml:space="preserve"> </w:t>
            </w:r>
          </w:p>
        </w:tc>
      </w:tr>
      <w:tr w:rsidR="004A45CF" w:rsidRPr="002051C1" w14:paraId="7247670C" w14:textId="77777777" w:rsidTr="004A45CF">
        <w:trPr>
          <w:trHeight w:val="1443"/>
        </w:trPr>
        <w:tc>
          <w:tcPr>
            <w:tcW w:w="1523" w:type="dxa"/>
          </w:tcPr>
          <w:p w14:paraId="470BBB30" w14:textId="77777777" w:rsidR="004A45CF" w:rsidRPr="002051C1" w:rsidRDefault="004A45CF" w:rsidP="00480E52">
            <w:pPr>
              <w:rPr>
                <w:b/>
              </w:rPr>
            </w:pPr>
          </w:p>
        </w:tc>
        <w:tc>
          <w:tcPr>
            <w:tcW w:w="6841" w:type="dxa"/>
          </w:tcPr>
          <w:p w14:paraId="2818EB98" w14:textId="51279F87" w:rsidR="004A45CF" w:rsidRPr="004A45CF" w:rsidRDefault="004A45CF" w:rsidP="004A45CF">
            <w:pPr>
              <w:tabs>
                <w:tab w:val="left" w:pos="1560"/>
              </w:tabs>
              <w:spacing w:line="276" w:lineRule="auto"/>
              <w:jc w:val="both"/>
            </w:pPr>
            <w:r>
              <w:t xml:space="preserve">Pažymima, kad daugėjant </w:t>
            </w:r>
            <w:proofErr w:type="spellStart"/>
            <w:r>
              <w:t>įsijungimams</w:t>
            </w:r>
            <w:proofErr w:type="spellEnd"/>
            <w:r w:rsidRPr="004A45CF">
              <w:t xml:space="preserve"> į tarptautines </w:t>
            </w:r>
            <w:r>
              <w:t>MTI</w:t>
            </w:r>
            <w:r w:rsidRPr="004A45CF">
              <w:t xml:space="preserve"> </w:t>
            </w:r>
            <w:r>
              <w:t>didėja</w:t>
            </w:r>
            <w:r w:rsidRPr="004A45CF">
              <w:t xml:space="preserve"> </w:t>
            </w:r>
            <w:r>
              <w:t>ir</w:t>
            </w:r>
            <w:r w:rsidRPr="004A45CF">
              <w:t xml:space="preserve"> administracinė našta Tarybai</w:t>
            </w:r>
            <w:r>
              <w:t>, tad siekiant sklandžiai vykdyti funkcijas Tarybai reikalingi papildomi žmogiškieji (o kartu ir finansiniai) ištekliai.</w:t>
            </w:r>
          </w:p>
        </w:tc>
        <w:tc>
          <w:tcPr>
            <w:tcW w:w="5954" w:type="dxa"/>
          </w:tcPr>
          <w:p w14:paraId="073C00D6" w14:textId="67B139F5" w:rsidR="004A45CF" w:rsidRDefault="003148AB" w:rsidP="004A45CF">
            <w:pPr>
              <w:jc w:val="both"/>
              <w:rPr>
                <w:rFonts w:eastAsia="Arial"/>
                <w:lang w:eastAsia="lt-LT"/>
              </w:rPr>
            </w:pPr>
            <w:r>
              <w:rPr>
                <w:rFonts w:eastAsia="Arial"/>
                <w:b/>
                <w:lang w:eastAsia="lt-LT"/>
              </w:rPr>
              <w:t>A</w:t>
            </w:r>
            <w:r w:rsidR="008925A6">
              <w:rPr>
                <w:rFonts w:eastAsia="Arial"/>
                <w:b/>
                <w:lang w:eastAsia="lt-LT"/>
              </w:rPr>
              <w:t>tsižvelgta</w:t>
            </w:r>
            <w:r w:rsidR="004A45CF" w:rsidRPr="002051C1">
              <w:rPr>
                <w:rFonts w:eastAsia="Arial"/>
                <w:lang w:eastAsia="lt-LT"/>
              </w:rPr>
              <w:t>.</w:t>
            </w:r>
          </w:p>
          <w:p w14:paraId="5F12E0D0" w14:textId="49BC3E51" w:rsidR="004A45CF" w:rsidRPr="00C75BD1" w:rsidRDefault="00C75BD1" w:rsidP="00C75BD1">
            <w:pPr>
              <w:jc w:val="both"/>
              <w:rPr>
                <w:rFonts w:eastAsia="Arial"/>
                <w:lang w:eastAsia="lt-LT"/>
              </w:rPr>
            </w:pPr>
            <w:r w:rsidRPr="00C75BD1">
              <w:rPr>
                <w:rFonts w:eastAsia="Arial"/>
                <w:lang w:eastAsia="lt-LT"/>
              </w:rPr>
              <w:t>Nutarimo projektas patikslintas ir neturtin</w:t>
            </w:r>
            <w:r>
              <w:rPr>
                <w:rFonts w:eastAsia="Arial"/>
                <w:lang w:eastAsia="lt-LT"/>
              </w:rPr>
              <w:t>ė</w:t>
            </w:r>
            <w:r w:rsidRPr="00C75BD1">
              <w:rPr>
                <w:rFonts w:eastAsia="Arial"/>
                <w:lang w:eastAsia="lt-LT"/>
              </w:rPr>
              <w:t>s teisės, tarp jų ir administravimas, pavedamas švietimo, mokslo ir sporto ministerijai.</w:t>
            </w:r>
          </w:p>
        </w:tc>
      </w:tr>
      <w:tr w:rsidR="004A45CF" w:rsidRPr="002051C1" w14:paraId="14FA9336" w14:textId="77777777" w:rsidTr="00316163">
        <w:trPr>
          <w:trHeight w:val="1705"/>
        </w:trPr>
        <w:tc>
          <w:tcPr>
            <w:tcW w:w="1523" w:type="dxa"/>
          </w:tcPr>
          <w:p w14:paraId="4A3D03BE" w14:textId="77777777" w:rsidR="004A45CF" w:rsidRPr="002051C1" w:rsidRDefault="004A45CF" w:rsidP="00480E52">
            <w:pPr>
              <w:rPr>
                <w:b/>
              </w:rPr>
            </w:pPr>
          </w:p>
        </w:tc>
        <w:tc>
          <w:tcPr>
            <w:tcW w:w="6841" w:type="dxa"/>
          </w:tcPr>
          <w:p w14:paraId="21C57029" w14:textId="1B19D038" w:rsidR="004A45CF" w:rsidRDefault="004A45CF" w:rsidP="00316163">
            <w:pPr>
              <w:overflowPunct w:val="0"/>
              <w:autoSpaceDE w:val="0"/>
              <w:autoSpaceDN w:val="0"/>
              <w:adjustRightInd w:val="0"/>
              <w:spacing w:after="120"/>
              <w:jc w:val="both"/>
            </w:pPr>
            <w:r>
              <w:t>Manoma</w:t>
            </w:r>
            <w:r w:rsidRPr="00EF184B">
              <w:t>, kad poveikis valstybės finansams, ypač pasibaigus mokslo ir studijų institucijų įgyvendinamiems Europos Sąjungos investicijų fondų lėšomis finansuojamiems projektams</w:t>
            </w:r>
            <w:r>
              <w:t>, kuriuose numatyta projektų</w:t>
            </w:r>
            <w:r w:rsidRPr="00EF184B">
              <w:t xml:space="preserve"> įgyvendinimo laikotarpiu mokėti narystės mokesčius, yra atskleistas nepakankamai, neatlikta analizė, nesuplanuotas galimas lėšų poreikis.</w:t>
            </w:r>
          </w:p>
        </w:tc>
        <w:tc>
          <w:tcPr>
            <w:tcW w:w="5954" w:type="dxa"/>
          </w:tcPr>
          <w:p w14:paraId="23F066EA" w14:textId="52A3AA85" w:rsidR="00830105" w:rsidRDefault="007E4DC3" w:rsidP="008479F6">
            <w:pPr>
              <w:jc w:val="both"/>
              <w:rPr>
                <w:b/>
                <w:lang w:eastAsia="lt-LT"/>
              </w:rPr>
            </w:pPr>
            <w:r>
              <w:rPr>
                <w:b/>
                <w:lang w:eastAsia="lt-LT"/>
              </w:rPr>
              <w:t>A</w:t>
            </w:r>
            <w:r w:rsidR="008479F6">
              <w:rPr>
                <w:b/>
                <w:lang w:eastAsia="lt-LT"/>
              </w:rPr>
              <w:t>tsižvelgta.</w:t>
            </w:r>
          </w:p>
          <w:p w14:paraId="38F03555" w14:textId="2A31BECA" w:rsidR="00830105" w:rsidRPr="00C75BD1" w:rsidRDefault="008479F6" w:rsidP="00830105">
            <w:pPr>
              <w:jc w:val="both"/>
              <w:rPr>
                <w:rFonts w:eastAsia="Arial"/>
                <w:lang w:eastAsia="lt-LT"/>
              </w:rPr>
            </w:pPr>
            <w:r w:rsidRPr="00C75BD1">
              <w:rPr>
                <w:rFonts w:eastAsia="Arial"/>
                <w:lang w:eastAsia="lt-LT"/>
              </w:rPr>
              <w:t xml:space="preserve">ŠMSM </w:t>
            </w:r>
            <w:r w:rsidR="00316163" w:rsidRPr="00C75BD1">
              <w:rPr>
                <w:rFonts w:eastAsia="Arial"/>
                <w:lang w:eastAsia="lt-LT"/>
              </w:rPr>
              <w:t xml:space="preserve">lydraštyje </w:t>
            </w:r>
            <w:r w:rsidR="00830105" w:rsidRPr="00C75BD1">
              <w:rPr>
                <w:rFonts w:eastAsia="Arial"/>
                <w:lang w:eastAsia="lt-LT"/>
              </w:rPr>
              <w:t xml:space="preserve">išdėstė </w:t>
            </w:r>
            <w:r w:rsidR="00316163" w:rsidRPr="00C75BD1">
              <w:rPr>
                <w:rFonts w:eastAsia="Arial"/>
                <w:lang w:eastAsia="lt-LT"/>
              </w:rPr>
              <w:t xml:space="preserve">Infrastruktūrų narystės mokesčių skaičiavimo </w:t>
            </w:r>
            <w:r w:rsidR="00830105" w:rsidRPr="00C75BD1">
              <w:rPr>
                <w:rFonts w:eastAsia="Arial"/>
                <w:lang w:eastAsia="lt-LT"/>
              </w:rPr>
              <w:t xml:space="preserve">principus </w:t>
            </w:r>
            <w:r w:rsidR="00316163" w:rsidRPr="00C75BD1">
              <w:rPr>
                <w:rFonts w:eastAsia="Arial"/>
                <w:lang w:eastAsia="lt-LT"/>
              </w:rPr>
              <w:t xml:space="preserve">ir </w:t>
            </w:r>
            <w:r w:rsidR="00830105" w:rsidRPr="00C75BD1">
              <w:rPr>
                <w:rFonts w:eastAsia="Arial"/>
                <w:lang w:eastAsia="lt-LT"/>
              </w:rPr>
              <w:t>sumas</w:t>
            </w:r>
            <w:r w:rsidR="00316163" w:rsidRPr="00C75BD1">
              <w:rPr>
                <w:rFonts w:eastAsia="Arial"/>
                <w:lang w:eastAsia="lt-LT"/>
              </w:rPr>
              <w:t xml:space="preserve">, bei kitų narystės išlaidų </w:t>
            </w:r>
            <w:r w:rsidR="00830105" w:rsidRPr="00C75BD1">
              <w:rPr>
                <w:rFonts w:eastAsia="Arial"/>
                <w:lang w:eastAsia="lt-LT"/>
              </w:rPr>
              <w:t>poreikius</w:t>
            </w:r>
            <w:r w:rsidR="00316163" w:rsidRPr="00C75BD1">
              <w:rPr>
                <w:rFonts w:eastAsia="Arial"/>
                <w:lang w:eastAsia="lt-LT"/>
              </w:rPr>
              <w:t xml:space="preserve">, </w:t>
            </w:r>
            <w:r w:rsidR="00830105" w:rsidRPr="00C75BD1">
              <w:rPr>
                <w:rFonts w:eastAsia="Arial"/>
                <w:lang w:eastAsia="lt-LT"/>
              </w:rPr>
              <w:t xml:space="preserve">leidžiančius </w:t>
            </w:r>
            <w:r w:rsidR="00316163" w:rsidRPr="00C75BD1">
              <w:rPr>
                <w:rFonts w:eastAsia="Arial"/>
                <w:lang w:eastAsia="lt-LT"/>
              </w:rPr>
              <w:t>suprasti</w:t>
            </w:r>
            <w:r w:rsidR="00B515AB" w:rsidRPr="00C75BD1">
              <w:rPr>
                <w:rFonts w:eastAsia="Arial"/>
                <w:lang w:eastAsia="lt-LT"/>
              </w:rPr>
              <w:t xml:space="preserve"> ir </w:t>
            </w:r>
            <w:r w:rsidR="008925A6" w:rsidRPr="00C75BD1">
              <w:rPr>
                <w:rFonts w:eastAsia="Arial"/>
                <w:lang w:eastAsia="lt-LT"/>
              </w:rPr>
              <w:t>planuoti</w:t>
            </w:r>
            <w:r w:rsidR="00316163" w:rsidRPr="00C75BD1">
              <w:rPr>
                <w:rFonts w:eastAsia="Arial"/>
                <w:lang w:eastAsia="lt-LT"/>
              </w:rPr>
              <w:t xml:space="preserve"> </w:t>
            </w:r>
            <w:r w:rsidR="00830105" w:rsidRPr="00C75BD1">
              <w:rPr>
                <w:rFonts w:eastAsia="Arial"/>
                <w:lang w:eastAsia="lt-LT"/>
              </w:rPr>
              <w:t>lėšų</w:t>
            </w:r>
            <w:r w:rsidR="00316163" w:rsidRPr="00C75BD1">
              <w:rPr>
                <w:rFonts w:eastAsia="Arial"/>
                <w:lang w:eastAsia="lt-LT"/>
              </w:rPr>
              <w:t xml:space="preserve"> poreikius.</w:t>
            </w:r>
          </w:p>
          <w:p w14:paraId="2E6C8A18" w14:textId="0E6C63FE" w:rsidR="004A45CF" w:rsidRPr="008479F6" w:rsidRDefault="00830105" w:rsidP="00C75BD1">
            <w:pPr>
              <w:jc w:val="both"/>
              <w:rPr>
                <w:rFonts w:eastAsia="Arial"/>
                <w:lang w:eastAsia="lt-LT"/>
              </w:rPr>
            </w:pPr>
            <w:r w:rsidRPr="00C75BD1">
              <w:rPr>
                <w:rFonts w:eastAsia="Arial"/>
                <w:lang w:eastAsia="lt-LT"/>
              </w:rPr>
              <w:t>Lėšų poreikiai yra analizuojami, planuojami, o jų poreikis yra teikiamas atsakingoms institucijoms</w:t>
            </w:r>
            <w:r w:rsidR="00C75BD1" w:rsidRPr="00C75BD1">
              <w:rPr>
                <w:rFonts w:eastAsia="Arial"/>
                <w:lang w:eastAsia="lt-LT"/>
              </w:rPr>
              <w:t>.</w:t>
            </w:r>
          </w:p>
        </w:tc>
      </w:tr>
      <w:tr w:rsidR="00316163" w:rsidRPr="002051C1" w14:paraId="73DA7678" w14:textId="77777777" w:rsidTr="00F54784">
        <w:trPr>
          <w:trHeight w:val="699"/>
        </w:trPr>
        <w:tc>
          <w:tcPr>
            <w:tcW w:w="1523" w:type="dxa"/>
          </w:tcPr>
          <w:p w14:paraId="7FED6809" w14:textId="77777777" w:rsidR="00316163" w:rsidRPr="002051C1" w:rsidRDefault="00316163" w:rsidP="00480E52">
            <w:pPr>
              <w:rPr>
                <w:b/>
              </w:rPr>
            </w:pPr>
          </w:p>
        </w:tc>
        <w:tc>
          <w:tcPr>
            <w:tcW w:w="6841" w:type="dxa"/>
          </w:tcPr>
          <w:p w14:paraId="51BD11D0" w14:textId="6FC3D92C" w:rsidR="00316163" w:rsidRDefault="000E7DE1" w:rsidP="000E7DE1">
            <w:pPr>
              <w:overflowPunct w:val="0"/>
              <w:autoSpaceDE w:val="0"/>
              <w:autoSpaceDN w:val="0"/>
              <w:adjustRightInd w:val="0"/>
              <w:spacing w:after="120"/>
              <w:jc w:val="both"/>
            </w:pPr>
            <w:r>
              <w:t xml:space="preserve">Pažymėtina, kad Tarybos įvertintame ir ŠMSM pateiktame narystės </w:t>
            </w:r>
            <w:proofErr w:type="spellStart"/>
            <w:r>
              <w:t>Instruct</w:t>
            </w:r>
            <w:proofErr w:type="spellEnd"/>
            <w:r>
              <w:t>-ERIC plano projekte nebuvo įvertintas kasmetinis narystės mokesčio padidėjimas po 2 proc. dėl infliacijos. Projekte 1 lentelėje „</w:t>
            </w:r>
            <w:proofErr w:type="spellStart"/>
            <w:r>
              <w:t>Instruct</w:t>
            </w:r>
            <w:proofErr w:type="spellEnd"/>
            <w:r>
              <w:t xml:space="preserve">-ERIC kaštai“ narystės mokestis nurodytas jau įvertinus šį padidėjimą, tačiau nėra aišku, ar šių išlaidų padidėjimas yra numatytas Vilniaus universiteto (toliau –VU) įgyvendinamame projekte Nr. 01.1.1-CPVA-V-701-07-0001. Be to, </w:t>
            </w:r>
            <w:r w:rsidRPr="004B30DE">
              <w:t xml:space="preserve">Tarybos įvertintame ir Projekte pateiktame narystės plano projekte nurodyta, kad ŠMSM skirs biudžeto lėšas narystės mokesčiams EMBL ir </w:t>
            </w:r>
            <w:proofErr w:type="spellStart"/>
            <w:r w:rsidRPr="004B30DE">
              <w:t>Instruct</w:t>
            </w:r>
            <w:proofErr w:type="spellEnd"/>
            <w:r w:rsidRPr="004B30DE">
              <w:t>-ERIC ap</w:t>
            </w:r>
            <w:r w:rsidRPr="00FE629C">
              <w:t>mokėti projekto tęstinumo laikotarpiu, t. y. 2023–2024 m. ir vėlesniais metais (ŠMSM 2018 m. vasario 14 d. raštas viešajai įstaigai Centrinė projektų valdymo agentūra). Todėl neaišku, kodėl Tarybai pavedamas turtinių teisių įgyvendinimas.</w:t>
            </w:r>
          </w:p>
        </w:tc>
        <w:tc>
          <w:tcPr>
            <w:tcW w:w="5954" w:type="dxa"/>
          </w:tcPr>
          <w:p w14:paraId="5D410227" w14:textId="1ACFAE6D" w:rsidR="00316163" w:rsidRDefault="00CB2D43" w:rsidP="008479F6">
            <w:pPr>
              <w:jc w:val="both"/>
              <w:rPr>
                <w:b/>
                <w:lang w:eastAsia="lt-LT"/>
              </w:rPr>
            </w:pPr>
            <w:r>
              <w:rPr>
                <w:b/>
                <w:lang w:eastAsia="lt-LT"/>
              </w:rPr>
              <w:t>Atsižvelgta</w:t>
            </w:r>
            <w:r w:rsidR="008860FF">
              <w:rPr>
                <w:b/>
                <w:lang w:eastAsia="lt-LT"/>
              </w:rPr>
              <w:t>.</w:t>
            </w:r>
          </w:p>
          <w:p w14:paraId="2C63515B" w14:textId="3A985F0A" w:rsidR="00747A16" w:rsidRDefault="00747A16" w:rsidP="008479F6">
            <w:pPr>
              <w:jc w:val="both"/>
              <w:rPr>
                <w:b/>
                <w:lang w:eastAsia="lt-LT"/>
              </w:rPr>
            </w:pPr>
            <w:r w:rsidRPr="002C71B7">
              <w:rPr>
                <w:lang w:eastAsia="lt-LT"/>
              </w:rPr>
              <w:t xml:space="preserve">Lydraštis papildytas aktualia informacija </w:t>
            </w:r>
            <w:r>
              <w:rPr>
                <w:lang w:eastAsia="lt-LT"/>
              </w:rPr>
              <w:t xml:space="preserve">dėl suderinimo su VU padengti narystės mokestį įskaitant </w:t>
            </w:r>
            <w:r w:rsidR="00C75BD1">
              <w:rPr>
                <w:lang w:eastAsia="lt-LT"/>
              </w:rPr>
              <w:t>kas</w:t>
            </w:r>
            <w:r>
              <w:rPr>
                <w:lang w:eastAsia="lt-LT"/>
              </w:rPr>
              <w:t>metinę infliaciją</w:t>
            </w:r>
            <w:r w:rsidRPr="002C71B7">
              <w:rPr>
                <w:lang w:eastAsia="lt-LT"/>
              </w:rPr>
              <w:t>.</w:t>
            </w:r>
          </w:p>
          <w:p w14:paraId="5D612BCE" w14:textId="373C22CE" w:rsidR="008B210E" w:rsidRPr="008860FF" w:rsidRDefault="00747A16" w:rsidP="00F54784">
            <w:pPr>
              <w:jc w:val="both"/>
              <w:rPr>
                <w:lang w:eastAsia="lt-LT"/>
              </w:rPr>
            </w:pPr>
            <w:r w:rsidRPr="002E3B6A">
              <w:rPr>
                <w:lang w:eastAsia="lt-LT"/>
              </w:rPr>
              <w:t>Lydraštis papildytas informacija kodėl siekiama</w:t>
            </w:r>
            <w:r w:rsidR="007D58C0" w:rsidRPr="002E3B6A">
              <w:rPr>
                <w:lang w:eastAsia="lt-LT"/>
              </w:rPr>
              <w:t xml:space="preserve"> pavesti turtinių teisių įgyvendinimą Lietuvos mokslo tarybai.</w:t>
            </w:r>
          </w:p>
        </w:tc>
      </w:tr>
      <w:tr w:rsidR="00F54784" w:rsidRPr="002051C1" w14:paraId="4CB1FC86" w14:textId="77777777" w:rsidTr="00F54784">
        <w:trPr>
          <w:trHeight w:val="699"/>
        </w:trPr>
        <w:tc>
          <w:tcPr>
            <w:tcW w:w="1523" w:type="dxa"/>
          </w:tcPr>
          <w:p w14:paraId="53910DB0" w14:textId="77777777" w:rsidR="00F54784" w:rsidRPr="002051C1" w:rsidRDefault="00F54784" w:rsidP="00480E52">
            <w:pPr>
              <w:rPr>
                <w:b/>
              </w:rPr>
            </w:pPr>
          </w:p>
        </w:tc>
        <w:tc>
          <w:tcPr>
            <w:tcW w:w="6841" w:type="dxa"/>
          </w:tcPr>
          <w:p w14:paraId="7EC6F120" w14:textId="6FD0FF6A" w:rsidR="00F54784" w:rsidRDefault="001F488A" w:rsidP="000E7DE1">
            <w:pPr>
              <w:overflowPunct w:val="0"/>
              <w:autoSpaceDE w:val="0"/>
              <w:autoSpaceDN w:val="0"/>
              <w:adjustRightInd w:val="0"/>
              <w:spacing w:after="120"/>
              <w:jc w:val="both"/>
            </w:pPr>
            <w:r w:rsidRPr="00EF184B">
              <w:t>Projekte nurodyta, kad Narystė</w:t>
            </w:r>
            <w:r w:rsidR="00DD3528">
              <w:t>s</w:t>
            </w:r>
            <w:r w:rsidRPr="00EF184B">
              <w:t xml:space="preserve"> </w:t>
            </w:r>
            <w:proofErr w:type="spellStart"/>
            <w:r w:rsidRPr="00EF184B">
              <w:t>Ins</w:t>
            </w:r>
            <w:r>
              <w:t>truct</w:t>
            </w:r>
            <w:proofErr w:type="spellEnd"/>
            <w:r>
              <w:t>–ERIC kaštai 2020–2024 m. y</w:t>
            </w:r>
            <w:r w:rsidRPr="00EF184B">
              <w:t xml:space="preserve">ra 376 470 </w:t>
            </w:r>
            <w:proofErr w:type="spellStart"/>
            <w:r w:rsidRPr="00EF184B">
              <w:t>Eur</w:t>
            </w:r>
            <w:proofErr w:type="spellEnd"/>
            <w:r w:rsidRPr="00EF184B">
              <w:t xml:space="preserve">, tačiau pagal 1 lentelėje pateiktus skaičius – 373 450 </w:t>
            </w:r>
            <w:proofErr w:type="spellStart"/>
            <w:r w:rsidRPr="00EF184B">
              <w:t>Eur</w:t>
            </w:r>
            <w:proofErr w:type="spellEnd"/>
          </w:p>
        </w:tc>
        <w:tc>
          <w:tcPr>
            <w:tcW w:w="5954" w:type="dxa"/>
          </w:tcPr>
          <w:p w14:paraId="6DED67F8" w14:textId="77777777" w:rsidR="00F54784" w:rsidRDefault="00DD3528" w:rsidP="008479F6">
            <w:pPr>
              <w:jc w:val="both"/>
              <w:rPr>
                <w:b/>
                <w:lang w:eastAsia="lt-LT"/>
              </w:rPr>
            </w:pPr>
            <w:r>
              <w:rPr>
                <w:b/>
                <w:lang w:eastAsia="lt-LT"/>
              </w:rPr>
              <w:t>Atsižvelgta.</w:t>
            </w:r>
          </w:p>
          <w:p w14:paraId="311D50D0" w14:textId="166C168D" w:rsidR="00DD3528" w:rsidRPr="00DD3528" w:rsidRDefault="007E1BAB" w:rsidP="008479F6">
            <w:pPr>
              <w:jc w:val="both"/>
              <w:rPr>
                <w:lang w:eastAsia="lt-LT"/>
              </w:rPr>
            </w:pPr>
            <w:r w:rsidRPr="00C75E3C">
              <w:rPr>
                <w:lang w:eastAsia="lt-LT"/>
              </w:rPr>
              <w:t>Lydraštyje</w:t>
            </w:r>
            <w:r w:rsidR="00DD3528" w:rsidRPr="00C75E3C">
              <w:rPr>
                <w:lang w:eastAsia="lt-LT"/>
              </w:rPr>
              <w:t xml:space="preserve"> nurodyta suma patikslinta pagal 1 lentelę (</w:t>
            </w:r>
            <w:r w:rsidR="00DD3528" w:rsidRPr="00C75E3C">
              <w:t xml:space="preserve">373 450 </w:t>
            </w:r>
            <w:proofErr w:type="spellStart"/>
            <w:r w:rsidR="00DD3528" w:rsidRPr="00C75E3C">
              <w:t>Eur</w:t>
            </w:r>
            <w:proofErr w:type="spellEnd"/>
            <w:r w:rsidR="00DD3528" w:rsidRPr="00C75E3C">
              <w:t>)</w:t>
            </w:r>
          </w:p>
        </w:tc>
      </w:tr>
      <w:tr w:rsidR="0037287F" w:rsidRPr="002051C1" w14:paraId="75624004" w14:textId="77777777" w:rsidTr="00F54784">
        <w:trPr>
          <w:trHeight w:val="699"/>
        </w:trPr>
        <w:tc>
          <w:tcPr>
            <w:tcW w:w="1523" w:type="dxa"/>
          </w:tcPr>
          <w:p w14:paraId="062EC970" w14:textId="77777777" w:rsidR="0037287F" w:rsidRPr="002051C1" w:rsidRDefault="0037287F" w:rsidP="00480E52">
            <w:pPr>
              <w:rPr>
                <w:b/>
              </w:rPr>
            </w:pPr>
          </w:p>
        </w:tc>
        <w:tc>
          <w:tcPr>
            <w:tcW w:w="6841" w:type="dxa"/>
          </w:tcPr>
          <w:p w14:paraId="4BF28A15" w14:textId="29352031" w:rsidR="0037287F" w:rsidRPr="00EF184B" w:rsidRDefault="007E1BAB" w:rsidP="000E7DE1">
            <w:pPr>
              <w:overflowPunct w:val="0"/>
              <w:autoSpaceDE w:val="0"/>
              <w:autoSpaceDN w:val="0"/>
              <w:adjustRightInd w:val="0"/>
              <w:spacing w:after="120"/>
              <w:jc w:val="both"/>
            </w:pPr>
            <w:r w:rsidRPr="007E1BAB">
              <w:t xml:space="preserve">Projekte nurodyta, kad ELI pritarė priimti Lietuvą kaip steigiančią valstybę (pilnateisį narį) mokant narystės mokestį mažesnį, nei įstatuose numatytas stebėtojo mokestis – 200 000 </w:t>
            </w:r>
            <w:proofErr w:type="spellStart"/>
            <w:r w:rsidRPr="007E1BAB">
              <w:t>Eur</w:t>
            </w:r>
            <w:proofErr w:type="spellEnd"/>
            <w:r w:rsidRPr="007E1BAB">
              <w:t xml:space="preserve">. Tokį mokestį numatoma taikyti 5 m. nuo narystės pradžios. Pažymėtina, kad Tarybai vertinant narystės plano projektą, buvo vertintas dalyvavimas stebėtojo teisėmis, mokant tokį pat mokestį, kuris šiuo metu siūlomas pilnateisei narystei – 200 000 </w:t>
            </w:r>
            <w:proofErr w:type="spellStart"/>
            <w:r w:rsidRPr="007E1BAB">
              <w:t>Eur</w:t>
            </w:r>
            <w:proofErr w:type="spellEnd"/>
            <w:r w:rsidRPr="007E1BAB">
              <w:t xml:space="preserve"> – pirmuosius 6 m. Narystės plano projekte nurodyta, kad praėjus šiam laikotarpiui, narystės mokestis turėtų augti 50 proc., o vėliau tikimasi apie 1 proc. ELI metinių eksploatacinių išlaidų padengimo, </w:t>
            </w:r>
            <w:proofErr w:type="spellStart"/>
            <w:r w:rsidRPr="007E1BAB">
              <w:t>t.y</w:t>
            </w:r>
            <w:proofErr w:type="spellEnd"/>
            <w:r w:rsidRPr="007E1BAB">
              <w:t xml:space="preserve">. apie 0,8 – 1 mln. </w:t>
            </w:r>
            <w:proofErr w:type="spellStart"/>
            <w:r w:rsidRPr="007E1BAB">
              <w:t>Eur</w:t>
            </w:r>
            <w:proofErr w:type="spellEnd"/>
            <w:r w:rsidRPr="007E1BAB">
              <w:t>. Projekte pažymėti pilnateisės narystės mokesčio apskaičiavimo principai suteikus infrastruktūrai ERIC statusą, nurodyta, kad narystės mokestis bus didesnis nei pirmus 5 metus, tačiau nenurodyta net tikėtina suma.</w:t>
            </w:r>
          </w:p>
        </w:tc>
        <w:tc>
          <w:tcPr>
            <w:tcW w:w="5954" w:type="dxa"/>
          </w:tcPr>
          <w:p w14:paraId="5953AC08" w14:textId="66500D25" w:rsidR="007E1BAB" w:rsidRDefault="007E1BAB" w:rsidP="007E1BAB">
            <w:pPr>
              <w:jc w:val="both"/>
              <w:rPr>
                <w:rFonts w:eastAsia="Arial"/>
                <w:lang w:eastAsia="lt-LT"/>
              </w:rPr>
            </w:pPr>
            <w:r w:rsidRPr="002051C1">
              <w:rPr>
                <w:rFonts w:eastAsia="Arial"/>
                <w:b/>
                <w:lang w:eastAsia="lt-LT"/>
              </w:rPr>
              <w:t>Atsižvelgta iš dalies</w:t>
            </w:r>
            <w:r w:rsidRPr="002051C1">
              <w:rPr>
                <w:rFonts w:eastAsia="Arial"/>
                <w:lang w:eastAsia="lt-LT"/>
              </w:rPr>
              <w:t>.</w:t>
            </w:r>
          </w:p>
          <w:p w14:paraId="28153FB3" w14:textId="4EA53150" w:rsidR="00FE629C" w:rsidRDefault="00FE629C" w:rsidP="007E1BAB">
            <w:pPr>
              <w:jc w:val="both"/>
              <w:rPr>
                <w:rFonts w:eastAsia="Arial"/>
                <w:lang w:eastAsia="lt-LT"/>
              </w:rPr>
            </w:pPr>
            <w:r>
              <w:rPr>
                <w:rFonts w:eastAsia="Arial"/>
                <w:lang w:eastAsia="lt-LT"/>
              </w:rPr>
              <w:t xml:space="preserve">Lydraštyje jau </w:t>
            </w:r>
            <w:r w:rsidR="00423F5D">
              <w:rPr>
                <w:rFonts w:eastAsia="Arial"/>
                <w:lang w:eastAsia="lt-LT"/>
              </w:rPr>
              <w:t>paminėtas</w:t>
            </w:r>
            <w:r>
              <w:rPr>
                <w:rFonts w:eastAsia="Arial"/>
                <w:lang w:eastAsia="lt-LT"/>
              </w:rPr>
              <w:t xml:space="preserve"> vėlesnių metų (po 5 metų narystės) narystės mokesčio skaičiavimo principa</w:t>
            </w:r>
            <w:r w:rsidR="00423F5D">
              <w:rPr>
                <w:rFonts w:eastAsia="Arial"/>
                <w:lang w:eastAsia="lt-LT"/>
              </w:rPr>
              <w:t>s</w:t>
            </w:r>
            <w:r>
              <w:rPr>
                <w:rFonts w:eastAsia="Arial"/>
                <w:lang w:eastAsia="lt-LT"/>
              </w:rPr>
              <w:t>.</w:t>
            </w:r>
          </w:p>
          <w:p w14:paraId="32A8160A" w14:textId="4F1E0AD2" w:rsidR="00D613CF" w:rsidRPr="0018763D" w:rsidRDefault="00FE629C" w:rsidP="0018763D">
            <w:pPr>
              <w:jc w:val="both"/>
              <w:rPr>
                <w:lang w:eastAsia="lt-LT"/>
              </w:rPr>
            </w:pPr>
            <w:r>
              <w:rPr>
                <w:rFonts w:eastAsia="Arial"/>
                <w:lang w:eastAsia="lt-LT"/>
              </w:rPr>
              <w:t>Lydraštis papildytas ŠMSM nuomone apie preliminarią narystės mokesčio sumą</w:t>
            </w:r>
            <w:r w:rsidR="00416046">
              <w:rPr>
                <w:rFonts w:eastAsia="Arial"/>
                <w:lang w:eastAsia="lt-LT"/>
              </w:rPr>
              <w:t xml:space="preserve"> (priklausančią nuo naudojimo masto)</w:t>
            </w:r>
            <w:r>
              <w:rPr>
                <w:rFonts w:eastAsia="Arial"/>
                <w:lang w:eastAsia="lt-LT"/>
              </w:rPr>
              <w:t xml:space="preserve"> po </w:t>
            </w:r>
            <w:r>
              <w:rPr>
                <w:lang w:eastAsia="lt-LT"/>
              </w:rPr>
              <w:t>5</w:t>
            </w:r>
            <w:r w:rsidRPr="0018763D">
              <w:rPr>
                <w:lang w:eastAsia="lt-LT"/>
              </w:rPr>
              <w:t xml:space="preserve"> metų</w:t>
            </w:r>
            <w:r>
              <w:rPr>
                <w:lang w:eastAsia="lt-LT"/>
              </w:rPr>
              <w:t xml:space="preserve"> </w:t>
            </w:r>
            <w:r w:rsidRPr="0018763D">
              <w:rPr>
                <w:lang w:eastAsia="lt-LT"/>
              </w:rPr>
              <w:t>narystės</w:t>
            </w:r>
            <w:r>
              <w:rPr>
                <w:lang w:eastAsia="lt-LT"/>
              </w:rPr>
              <w:t xml:space="preserve"> ELI-ERIC.</w:t>
            </w:r>
          </w:p>
        </w:tc>
      </w:tr>
      <w:tr w:rsidR="00D613CF" w:rsidRPr="002051C1" w14:paraId="02A49F08" w14:textId="77777777" w:rsidTr="00F54784">
        <w:trPr>
          <w:trHeight w:val="699"/>
        </w:trPr>
        <w:tc>
          <w:tcPr>
            <w:tcW w:w="1523" w:type="dxa"/>
          </w:tcPr>
          <w:p w14:paraId="48D15909" w14:textId="77777777" w:rsidR="00D613CF" w:rsidRPr="002051C1" w:rsidRDefault="00D613CF" w:rsidP="00480E52">
            <w:pPr>
              <w:rPr>
                <w:b/>
              </w:rPr>
            </w:pPr>
          </w:p>
        </w:tc>
        <w:tc>
          <w:tcPr>
            <w:tcW w:w="6841" w:type="dxa"/>
          </w:tcPr>
          <w:p w14:paraId="22518124" w14:textId="2C2C9B32" w:rsidR="00D613CF" w:rsidRPr="007E1BAB" w:rsidRDefault="00D613CF" w:rsidP="00C84CE6">
            <w:pPr>
              <w:overflowPunct w:val="0"/>
              <w:autoSpaceDE w:val="0"/>
              <w:autoSpaceDN w:val="0"/>
              <w:adjustRightInd w:val="0"/>
              <w:spacing w:after="120"/>
              <w:jc w:val="both"/>
            </w:pPr>
            <w:r>
              <w:t>Pažymima, kad s</w:t>
            </w:r>
            <w:r w:rsidRPr="00D613CF">
              <w:t>iekiant visateisės</w:t>
            </w:r>
            <w:r w:rsidR="00C84CE6">
              <w:t xml:space="preserve"> ELI-ERIC</w:t>
            </w:r>
            <w:r w:rsidRPr="00D613CF">
              <w:t xml:space="preserve"> narystės būtina įvertinti, kad padi</w:t>
            </w:r>
            <w:r>
              <w:t>dėjimas gali būti labai ženklus ir kad po 5 metų</w:t>
            </w:r>
            <w:r w:rsidR="00C84CE6">
              <w:t xml:space="preserve"> narystės visa finansinė našta teks Tarybai, taip pat pažymima, kad </w:t>
            </w:r>
            <w:r w:rsidR="00C84CE6" w:rsidRPr="00D613CF">
              <w:t>nėra aiškus mechanizmas, kokiu būdu</w:t>
            </w:r>
            <w:r w:rsidR="00C84CE6">
              <w:t xml:space="preserve"> ELI-ERIC narystės plane</w:t>
            </w:r>
            <w:r w:rsidR="00C84CE6" w:rsidRPr="00D613CF">
              <w:t xml:space="preserve"> nurodyti partneriai prisidėtų prie narystės mokesčio narystės plano projekte nurodyta suma, t. y. kokiu teisiniu pagrindu biudžetinė įstaiga</w:t>
            </w:r>
            <w:r w:rsidR="00C84CE6">
              <w:t xml:space="preserve"> (Taryba)</w:t>
            </w:r>
            <w:r w:rsidR="00C84CE6" w:rsidRPr="00D613CF">
              <w:t xml:space="preserve"> galėtų prašyti dalies lėšų narystės mokesčiui, jei teisės aktu jai būtų pavesta įgyvendinti valstybės, kaip vienos iš infrastruktūros dalyvių, turtines teises.</w:t>
            </w:r>
          </w:p>
        </w:tc>
        <w:tc>
          <w:tcPr>
            <w:tcW w:w="5954" w:type="dxa"/>
          </w:tcPr>
          <w:p w14:paraId="223DADCB" w14:textId="77777777" w:rsidR="00C84CE6" w:rsidRPr="002051C1" w:rsidRDefault="00C84CE6" w:rsidP="00C84CE6">
            <w:pPr>
              <w:jc w:val="both"/>
              <w:rPr>
                <w:rFonts w:eastAsia="Arial"/>
                <w:lang w:eastAsia="lt-LT"/>
              </w:rPr>
            </w:pPr>
            <w:r w:rsidRPr="002051C1">
              <w:rPr>
                <w:rFonts w:eastAsia="Arial"/>
                <w:b/>
                <w:lang w:eastAsia="lt-LT"/>
              </w:rPr>
              <w:t>Atsižvelgta iš dalies</w:t>
            </w:r>
            <w:r w:rsidRPr="002051C1">
              <w:rPr>
                <w:rFonts w:eastAsia="Arial"/>
                <w:lang w:eastAsia="lt-LT"/>
              </w:rPr>
              <w:t>.</w:t>
            </w:r>
          </w:p>
          <w:p w14:paraId="2BD417DF" w14:textId="4184BB1A" w:rsidR="00D613CF" w:rsidRPr="005C72AC" w:rsidRDefault="005C72AC" w:rsidP="00416046">
            <w:pPr>
              <w:jc w:val="both"/>
              <w:rPr>
                <w:rFonts w:eastAsia="Arial"/>
                <w:lang w:eastAsia="lt-LT"/>
              </w:rPr>
            </w:pPr>
            <w:r w:rsidRPr="00416046">
              <w:rPr>
                <w:rFonts w:eastAsia="Arial"/>
                <w:lang w:eastAsia="lt-LT"/>
              </w:rPr>
              <w:t>ŠMSM man</w:t>
            </w:r>
            <w:r w:rsidR="00416046" w:rsidRPr="00416046">
              <w:rPr>
                <w:rFonts w:eastAsia="Arial"/>
                <w:lang w:eastAsia="lt-LT"/>
              </w:rPr>
              <w:t>ymu</w:t>
            </w:r>
            <w:r w:rsidR="005D217E" w:rsidRPr="00416046">
              <w:rPr>
                <w:rFonts w:eastAsia="Arial"/>
                <w:lang w:eastAsia="lt-LT"/>
              </w:rPr>
              <w:t xml:space="preserve"> bendram mokesčio apmokėjimui gal</w:t>
            </w:r>
            <w:r w:rsidR="00416046" w:rsidRPr="00416046">
              <w:rPr>
                <w:rFonts w:eastAsia="Arial"/>
                <w:lang w:eastAsia="lt-LT"/>
              </w:rPr>
              <w:t>i</w:t>
            </w:r>
            <w:r w:rsidR="005D217E" w:rsidRPr="00416046">
              <w:rPr>
                <w:rFonts w:eastAsia="Arial"/>
                <w:lang w:eastAsia="lt-LT"/>
              </w:rPr>
              <w:t xml:space="preserve"> būt</w:t>
            </w:r>
            <w:r w:rsidR="00740A97" w:rsidRPr="00416046">
              <w:rPr>
                <w:rFonts w:eastAsia="Arial"/>
                <w:lang w:eastAsia="lt-LT"/>
              </w:rPr>
              <w:t>i sudaryt</w:t>
            </w:r>
            <w:r w:rsidR="00416046" w:rsidRPr="00416046">
              <w:rPr>
                <w:rFonts w:eastAsia="Arial"/>
                <w:lang w:eastAsia="lt-LT"/>
              </w:rPr>
              <w:t>i</w:t>
            </w:r>
            <w:r w:rsidR="00740A97" w:rsidRPr="00416046">
              <w:rPr>
                <w:rFonts w:eastAsia="Arial"/>
                <w:lang w:eastAsia="lt-LT"/>
              </w:rPr>
              <w:t xml:space="preserve"> šalių susitarima</w:t>
            </w:r>
            <w:r w:rsidR="00416046" w:rsidRPr="00416046">
              <w:rPr>
                <w:rFonts w:eastAsia="Arial"/>
                <w:lang w:eastAsia="lt-LT"/>
              </w:rPr>
              <w:t>i</w:t>
            </w:r>
            <w:r w:rsidR="00740A97" w:rsidRPr="00416046">
              <w:rPr>
                <w:rFonts w:eastAsia="Arial"/>
                <w:lang w:eastAsia="lt-LT"/>
              </w:rPr>
              <w:t xml:space="preserve"> </w:t>
            </w:r>
            <w:r w:rsidR="005D217E" w:rsidRPr="00416046">
              <w:rPr>
                <w:rFonts w:eastAsia="Arial"/>
                <w:lang w:eastAsia="lt-LT"/>
              </w:rPr>
              <w:t xml:space="preserve">dėl </w:t>
            </w:r>
            <w:r w:rsidR="00416046" w:rsidRPr="00416046">
              <w:rPr>
                <w:rFonts w:eastAsia="Arial"/>
                <w:lang w:eastAsia="lt-LT"/>
              </w:rPr>
              <w:t>bendradarbiavimo šiam</w:t>
            </w:r>
            <w:r w:rsidR="005D217E" w:rsidRPr="00416046">
              <w:rPr>
                <w:rFonts w:eastAsia="Arial"/>
                <w:lang w:eastAsia="lt-LT"/>
              </w:rPr>
              <w:t xml:space="preserve"> tiksl</w:t>
            </w:r>
            <w:r w:rsidR="00416046" w:rsidRPr="00416046">
              <w:rPr>
                <w:rFonts w:eastAsia="Arial"/>
                <w:lang w:eastAsia="lt-LT"/>
              </w:rPr>
              <w:t>ui</w:t>
            </w:r>
            <w:r w:rsidR="005D217E" w:rsidRPr="00416046">
              <w:rPr>
                <w:rFonts w:eastAsia="Arial"/>
                <w:lang w:eastAsia="lt-LT"/>
              </w:rPr>
              <w:t xml:space="preserve"> (kadangi yra </w:t>
            </w:r>
            <w:r w:rsidR="00740A97" w:rsidRPr="00416046">
              <w:rPr>
                <w:rFonts w:eastAsia="Arial"/>
                <w:lang w:eastAsia="lt-LT"/>
              </w:rPr>
              <w:t xml:space="preserve">partnerių </w:t>
            </w:r>
            <w:r w:rsidR="005D217E" w:rsidRPr="00416046">
              <w:rPr>
                <w:rFonts w:eastAsia="Arial"/>
                <w:lang w:eastAsia="lt-LT"/>
              </w:rPr>
              <w:t>įsipareigojimai</w:t>
            </w:r>
            <w:r w:rsidR="00740A97" w:rsidRPr="00416046">
              <w:rPr>
                <w:rFonts w:eastAsia="Arial"/>
                <w:lang w:eastAsia="lt-LT"/>
              </w:rPr>
              <w:t xml:space="preserve"> prisidėti prie apmokėjimo</w:t>
            </w:r>
            <w:r w:rsidR="005D217E" w:rsidRPr="00416046">
              <w:rPr>
                <w:rFonts w:eastAsia="Arial"/>
                <w:lang w:eastAsia="lt-LT"/>
              </w:rPr>
              <w:t>) arba derimasi su ELI-ERIC išskaidyti narystės mokestį šalims</w:t>
            </w:r>
            <w:r w:rsidR="00740A97" w:rsidRPr="00416046">
              <w:rPr>
                <w:rFonts w:eastAsia="Arial"/>
                <w:lang w:eastAsia="lt-LT"/>
              </w:rPr>
              <w:t xml:space="preserve"> (tarp jų ir partneriams)</w:t>
            </w:r>
            <w:r w:rsidR="005D217E" w:rsidRPr="00416046">
              <w:rPr>
                <w:rFonts w:eastAsia="Arial"/>
                <w:lang w:eastAsia="lt-LT"/>
              </w:rPr>
              <w:t xml:space="preserve"> pagal sumas, kurias jos įsipareigojo padengti.</w:t>
            </w:r>
          </w:p>
        </w:tc>
      </w:tr>
      <w:tr w:rsidR="006F66A2" w:rsidRPr="002051C1" w14:paraId="498D130E" w14:textId="77777777" w:rsidTr="00F54784">
        <w:trPr>
          <w:trHeight w:val="699"/>
        </w:trPr>
        <w:tc>
          <w:tcPr>
            <w:tcW w:w="1523" w:type="dxa"/>
          </w:tcPr>
          <w:p w14:paraId="5CE721C7" w14:textId="77777777" w:rsidR="006F66A2" w:rsidRPr="002051C1" w:rsidRDefault="006F66A2" w:rsidP="00480E52">
            <w:pPr>
              <w:rPr>
                <w:b/>
              </w:rPr>
            </w:pPr>
          </w:p>
        </w:tc>
        <w:tc>
          <w:tcPr>
            <w:tcW w:w="6841" w:type="dxa"/>
          </w:tcPr>
          <w:p w14:paraId="2A07C6F5" w14:textId="5C154378" w:rsidR="006F66A2" w:rsidRPr="009129A8" w:rsidRDefault="006F66A2" w:rsidP="00C84CE6">
            <w:pPr>
              <w:overflowPunct w:val="0"/>
              <w:autoSpaceDE w:val="0"/>
              <w:autoSpaceDN w:val="0"/>
              <w:adjustRightInd w:val="0"/>
              <w:spacing w:after="120"/>
              <w:jc w:val="both"/>
            </w:pPr>
            <w:r w:rsidRPr="00EF184B">
              <w:t xml:space="preserve">Taryba atkreipia dėmesį, kad Tarybos nuostatai, taip pat Lietuvos Respublikos mokslo ir studijų įstatymas nenustato Tarybai funkcijos, susijusios su dalyvavimu tarptautinėse mokslinių tyrimų </w:t>
            </w:r>
            <w:r w:rsidRPr="00EF184B">
              <w:lastRenderedPageBreak/>
              <w:t>infrastruktūrose. Tarybos nuomone, ši funkcija visų pirma tiesiogiai turi būti įtvirtinta Lietuvos Respublikos mokslo ir studijų įstatyme</w:t>
            </w:r>
          </w:p>
        </w:tc>
        <w:tc>
          <w:tcPr>
            <w:tcW w:w="5954" w:type="dxa"/>
          </w:tcPr>
          <w:p w14:paraId="22FC716E" w14:textId="77777777" w:rsidR="006F66A2" w:rsidRDefault="006F66A2" w:rsidP="00C84CE6">
            <w:pPr>
              <w:jc w:val="both"/>
              <w:rPr>
                <w:rFonts w:eastAsia="Arial"/>
                <w:b/>
                <w:lang w:eastAsia="lt-LT"/>
              </w:rPr>
            </w:pPr>
            <w:r>
              <w:rPr>
                <w:rFonts w:eastAsia="Arial"/>
                <w:b/>
                <w:lang w:eastAsia="lt-LT"/>
              </w:rPr>
              <w:lastRenderedPageBreak/>
              <w:t>Neatsižvelgta.</w:t>
            </w:r>
          </w:p>
          <w:p w14:paraId="07685B8E" w14:textId="5EDB23C6" w:rsidR="006F66A2" w:rsidRPr="006F66A2" w:rsidRDefault="006F66A2" w:rsidP="00222088">
            <w:pPr>
              <w:jc w:val="both"/>
              <w:rPr>
                <w:rFonts w:eastAsia="Arial"/>
                <w:lang w:eastAsia="lt-LT"/>
              </w:rPr>
            </w:pPr>
            <w:r>
              <w:rPr>
                <w:rFonts w:eastAsia="Arial"/>
                <w:lang w:eastAsia="lt-LT"/>
              </w:rPr>
              <w:t>ŠMSM manymu</w:t>
            </w:r>
            <w:r w:rsidR="00222088">
              <w:rPr>
                <w:rFonts w:eastAsia="Arial"/>
                <w:lang w:eastAsia="lt-LT"/>
              </w:rPr>
              <w:t xml:space="preserve"> </w:t>
            </w:r>
            <w:r w:rsidR="00222088" w:rsidRPr="00222088">
              <w:rPr>
                <w:rFonts w:eastAsia="Arial"/>
                <w:lang w:eastAsia="lt-LT"/>
              </w:rPr>
              <w:t xml:space="preserve">atsižvelgiant į Tarybos nuostatų </w:t>
            </w:r>
            <w:r w:rsidR="00222088" w:rsidRPr="00C065FD">
              <w:rPr>
                <w:rFonts w:eastAsia="Arial"/>
                <w:lang w:eastAsia="lt-LT"/>
              </w:rPr>
              <w:t>6 punkto 12 papunkt</w:t>
            </w:r>
            <w:r w:rsidR="00222088" w:rsidRPr="00704262">
              <w:rPr>
                <w:rFonts w:eastAsia="Arial"/>
                <w:lang w:eastAsia="lt-LT"/>
              </w:rPr>
              <w:t>į „</w:t>
            </w:r>
            <w:r w:rsidR="00222088" w:rsidRPr="00704262">
              <w:rPr>
                <w:color w:val="000000"/>
              </w:rPr>
              <w:t>atlieka kitas teisės aktų nustatytas bei Seimo ir Vyriausybės pavestas funkcijas ir pavedimus.“</w:t>
            </w:r>
            <w:r w:rsidR="00222088" w:rsidRPr="00704262">
              <w:rPr>
                <w:rFonts w:eastAsia="Arial"/>
                <w:lang w:eastAsia="lt-LT"/>
              </w:rPr>
              <w:t xml:space="preserve"> </w:t>
            </w:r>
            <w:r w:rsidR="009E1A69" w:rsidRPr="00222088">
              <w:rPr>
                <w:rFonts w:eastAsia="Arial"/>
                <w:lang w:eastAsia="lt-LT"/>
              </w:rPr>
              <w:t>pagrindui vy</w:t>
            </w:r>
            <w:r w:rsidR="009E1A69" w:rsidRPr="00704262">
              <w:rPr>
                <w:rFonts w:eastAsia="Arial"/>
                <w:lang w:eastAsia="lt-LT"/>
              </w:rPr>
              <w:t>k</w:t>
            </w:r>
            <w:r w:rsidR="00222088" w:rsidRPr="00704262">
              <w:rPr>
                <w:rFonts w:eastAsia="Arial"/>
                <w:lang w:eastAsia="lt-LT"/>
              </w:rPr>
              <w:t xml:space="preserve">dyti </w:t>
            </w:r>
            <w:r w:rsidR="00222088" w:rsidRPr="00704262">
              <w:t xml:space="preserve">funkcijas, susijusias su dalyvavimu tarptautinėse </w:t>
            </w:r>
            <w:r w:rsidR="00222088" w:rsidRPr="00704262">
              <w:lastRenderedPageBreak/>
              <w:t xml:space="preserve">mokslinių tyrimų </w:t>
            </w:r>
            <w:r w:rsidR="00222088" w:rsidRPr="00EB04DC">
              <w:t>infrastruktūrose pakanka Lietuvos Respublikos Vyriausybės pavedimo, o funkcijos įtvirtinimas Lietuvos Respublikos mokslo ir studijų įstatyme nėra būtinas.</w:t>
            </w:r>
          </w:p>
        </w:tc>
      </w:tr>
      <w:tr w:rsidR="00CB3721" w:rsidRPr="002051C1" w14:paraId="3C22898C" w14:textId="77777777" w:rsidTr="00F54784">
        <w:trPr>
          <w:trHeight w:val="699"/>
        </w:trPr>
        <w:tc>
          <w:tcPr>
            <w:tcW w:w="1523" w:type="dxa"/>
          </w:tcPr>
          <w:p w14:paraId="491D23AB" w14:textId="77777777" w:rsidR="00CB3721" w:rsidRPr="002051C1" w:rsidRDefault="00CB3721" w:rsidP="00480E52">
            <w:pPr>
              <w:rPr>
                <w:b/>
              </w:rPr>
            </w:pPr>
          </w:p>
        </w:tc>
        <w:tc>
          <w:tcPr>
            <w:tcW w:w="6841" w:type="dxa"/>
          </w:tcPr>
          <w:p w14:paraId="7DEE32C1" w14:textId="04CBDDB5" w:rsidR="00CB3721" w:rsidRDefault="009129A8" w:rsidP="00740A97">
            <w:pPr>
              <w:overflowPunct w:val="0"/>
              <w:autoSpaceDE w:val="0"/>
              <w:autoSpaceDN w:val="0"/>
              <w:adjustRightInd w:val="0"/>
              <w:spacing w:after="120"/>
              <w:jc w:val="both"/>
            </w:pPr>
            <w:r w:rsidRPr="009129A8">
              <w:t xml:space="preserve">Taryba prieštarauja Projekto nuostatoms, pavedančioms įgyvendinti valstybės, kaip vienos iš infrastruktūrų dalyvių, neturtines teises, taip pat užtikrinti turtines teises, prisiimtas pagal susitarimus po narystės finansavimo Europos Sąjungos struktūrinių fondų lėšomis, išskyrus tuos atvejus, kuomet atstovaujančiosios institucijos įsipareigojo visiškai arba iš dalies prisidėti prie narystės mokesčio apmokėjimo po finansavimo Europos Sąjungos struktūrinių fondų lėšomis. Kaip jau buvo minėta, </w:t>
            </w:r>
            <w:r w:rsidR="00740A97">
              <w:t xml:space="preserve">aprašas </w:t>
            </w:r>
            <w:r w:rsidR="00740A97" w:rsidRPr="00740A97">
              <w:t>patvirtint</w:t>
            </w:r>
            <w:r w:rsidR="00740A97">
              <w:t>as</w:t>
            </w:r>
            <w:r w:rsidR="00740A97" w:rsidRPr="00740A97">
              <w:t xml:space="preserve"> Lietuvos Respublikos švietimo ir mokslo ministro 2017 m. spalio 11 d. įsakymu Nr. V-769 „Dėl Lietuvos mokslinių tyrimų infrastruktūrų kelrodžio ir dalyvavimo tarptautinėse mokslinių tyrimų infrastruktūrose tvarkos aprašo patvirtinimo“ (toliau – Aprašas), </w:t>
            </w:r>
            <w:r w:rsidRPr="009129A8">
              <w:t>nenumato prisidėjimo prie narystės mokesčio išlaidų galimybės. Mokslo ir studijų institucijoms nustatyta prievolė sumokėti procentinę dalį visų su naryste tarptautinėje infrastruktūroje susijusių išlaidų, išskyrus narystės mokestį</w:t>
            </w:r>
          </w:p>
        </w:tc>
        <w:tc>
          <w:tcPr>
            <w:tcW w:w="5954" w:type="dxa"/>
          </w:tcPr>
          <w:p w14:paraId="548A6A06" w14:textId="7EFB09A4" w:rsidR="00CB3721" w:rsidRDefault="002E3B6A" w:rsidP="00C84CE6">
            <w:pPr>
              <w:jc w:val="both"/>
              <w:rPr>
                <w:rFonts w:eastAsia="Arial"/>
                <w:b/>
                <w:lang w:eastAsia="lt-LT"/>
              </w:rPr>
            </w:pPr>
            <w:r>
              <w:rPr>
                <w:rFonts w:eastAsia="Arial"/>
                <w:b/>
                <w:lang w:eastAsia="lt-LT"/>
              </w:rPr>
              <w:t>A</w:t>
            </w:r>
            <w:r w:rsidR="009129A8">
              <w:rPr>
                <w:rFonts w:eastAsia="Arial"/>
                <w:b/>
                <w:lang w:eastAsia="lt-LT"/>
              </w:rPr>
              <w:t>tsižvelgta.</w:t>
            </w:r>
          </w:p>
          <w:p w14:paraId="67904678" w14:textId="4B2E16D6" w:rsidR="008D3466" w:rsidRDefault="002E3B6A" w:rsidP="00C84CE6">
            <w:pPr>
              <w:jc w:val="both"/>
              <w:rPr>
                <w:rFonts w:eastAsia="Arial"/>
                <w:lang w:eastAsia="lt-LT"/>
              </w:rPr>
            </w:pPr>
            <w:r>
              <w:rPr>
                <w:rFonts w:eastAsia="Arial"/>
                <w:lang w:eastAsia="lt-LT"/>
              </w:rPr>
              <w:t xml:space="preserve">Darbo tvarka </w:t>
            </w:r>
            <w:r w:rsidR="008D3466">
              <w:rPr>
                <w:rFonts w:eastAsia="Arial"/>
                <w:lang w:eastAsia="lt-LT"/>
              </w:rPr>
              <w:t>suderinti ir priimti Tarybos siūlymai dėl jai tinkamų nuostatų, susijusių su turtinių ir neturtinių teisių įgyvendinimu</w:t>
            </w:r>
            <w:r>
              <w:rPr>
                <w:rFonts w:eastAsia="Arial"/>
                <w:lang w:eastAsia="lt-LT"/>
              </w:rPr>
              <w:t>.</w:t>
            </w:r>
          </w:p>
          <w:p w14:paraId="361E1BF0" w14:textId="00387BBD" w:rsidR="00740A97" w:rsidRPr="009129A8" w:rsidRDefault="00740A97" w:rsidP="001E52B6">
            <w:pPr>
              <w:jc w:val="both"/>
              <w:rPr>
                <w:rFonts w:eastAsia="Arial"/>
                <w:lang w:eastAsia="lt-LT"/>
              </w:rPr>
            </w:pPr>
            <w:r>
              <w:rPr>
                <w:rFonts w:eastAsia="Arial"/>
                <w:lang w:eastAsia="lt-LT"/>
              </w:rPr>
              <w:t xml:space="preserve">Po įsijungimo į infrastruktūras Apraše </w:t>
            </w:r>
            <w:r w:rsidR="001E52B6">
              <w:rPr>
                <w:rFonts w:eastAsia="Arial"/>
                <w:lang w:eastAsia="lt-LT"/>
              </w:rPr>
              <w:t>bus aprašyta prisidėjimo prie narystės mokesčio galimybė (prisidėjimas numatomas tik nuo 2023 m.)</w:t>
            </w:r>
            <w:r w:rsidR="008D3466">
              <w:rPr>
                <w:rFonts w:eastAsia="Arial"/>
                <w:lang w:eastAsia="lt-LT"/>
              </w:rPr>
              <w:t>, taip pat prisidėjimas bus numatomas susitarimuose, kuriuos sudarys švietimo, mokslo ir sporto ministras bei mokslo ir studijų institucijos</w:t>
            </w:r>
            <w:r w:rsidR="00416046">
              <w:rPr>
                <w:rFonts w:eastAsia="Arial"/>
                <w:lang w:eastAsia="lt-LT"/>
              </w:rPr>
              <w:t>.</w:t>
            </w:r>
          </w:p>
        </w:tc>
      </w:tr>
      <w:tr w:rsidR="006F66A2" w:rsidRPr="002051C1" w14:paraId="71DD7C37" w14:textId="77777777" w:rsidTr="00F54784">
        <w:trPr>
          <w:trHeight w:val="699"/>
        </w:trPr>
        <w:tc>
          <w:tcPr>
            <w:tcW w:w="1523" w:type="dxa"/>
          </w:tcPr>
          <w:p w14:paraId="18FFD121" w14:textId="77777777" w:rsidR="006F66A2" w:rsidRPr="002051C1" w:rsidRDefault="006F66A2" w:rsidP="00480E52">
            <w:pPr>
              <w:rPr>
                <w:b/>
              </w:rPr>
            </w:pPr>
          </w:p>
        </w:tc>
        <w:tc>
          <w:tcPr>
            <w:tcW w:w="6841" w:type="dxa"/>
          </w:tcPr>
          <w:p w14:paraId="29069CCE" w14:textId="3B61CAD8" w:rsidR="006F66A2" w:rsidRPr="00A856AB" w:rsidRDefault="006F66A2" w:rsidP="001E52B6">
            <w:pPr>
              <w:overflowPunct w:val="0"/>
              <w:autoSpaceDE w:val="0"/>
              <w:autoSpaceDN w:val="0"/>
              <w:adjustRightInd w:val="0"/>
              <w:spacing w:after="120"/>
              <w:jc w:val="both"/>
            </w:pPr>
            <w:r w:rsidRPr="00A856AB">
              <w:t xml:space="preserve">Pažymima, kad mokslo ir studijų institucijos yra pagrindiniai tarptautinių mokslinių tyrimų infrastruktūrų veiklų vykdytojai, būtent joms yra suteikta prerogatyvos teisė inicijuoti dalyvavimą konkrečioje mokslinių tyrimų infrastruktūroje. Pagal </w:t>
            </w:r>
            <w:r w:rsidR="00740A97" w:rsidRPr="00A856AB">
              <w:rPr>
                <w:color w:val="000000"/>
              </w:rPr>
              <w:t>A</w:t>
            </w:r>
            <w:r w:rsidRPr="00A856AB">
              <w:rPr>
                <w:color w:val="000000"/>
              </w:rPr>
              <w:t xml:space="preserve">prašą, </w:t>
            </w:r>
            <w:r w:rsidRPr="00A856AB">
              <w:t>Tarybai pavesta ekspertinio vertinimo funkcija teikiant išvadas dėl įsijungimo tikslingumo (Aprašo V skyrius), taip pat priežiūros (ekspertinė) funkcija – vertinant dalyvavimą infrastruktūrų veikloje (Aprašo VIII skyrius).</w:t>
            </w:r>
          </w:p>
        </w:tc>
        <w:tc>
          <w:tcPr>
            <w:tcW w:w="5954" w:type="dxa"/>
          </w:tcPr>
          <w:p w14:paraId="40FCF38C" w14:textId="6154A369" w:rsidR="006F66A2" w:rsidRDefault="006F66A2" w:rsidP="006F66A2">
            <w:pPr>
              <w:jc w:val="both"/>
              <w:rPr>
                <w:rFonts w:eastAsia="Arial"/>
                <w:lang w:eastAsia="lt-LT"/>
              </w:rPr>
            </w:pPr>
            <w:r w:rsidRPr="00A856AB">
              <w:rPr>
                <w:rFonts w:eastAsia="Arial"/>
                <w:b/>
                <w:lang w:eastAsia="lt-LT"/>
              </w:rPr>
              <w:t>Atsižvelgta iš dalies</w:t>
            </w:r>
            <w:r w:rsidRPr="00A856AB">
              <w:rPr>
                <w:rFonts w:eastAsia="Arial"/>
                <w:lang w:eastAsia="lt-LT"/>
              </w:rPr>
              <w:t>.</w:t>
            </w:r>
          </w:p>
          <w:p w14:paraId="070DE0B2" w14:textId="3B2F714B" w:rsidR="00C753FA" w:rsidRDefault="00C753FA" w:rsidP="006F66A2">
            <w:pPr>
              <w:jc w:val="both"/>
              <w:rPr>
                <w:rFonts w:eastAsia="Arial"/>
                <w:lang w:eastAsia="lt-LT"/>
              </w:rPr>
            </w:pPr>
            <w:r>
              <w:rPr>
                <w:rFonts w:eastAsia="Arial"/>
                <w:lang w:eastAsia="lt-LT"/>
              </w:rPr>
              <w:t xml:space="preserve">Pažymima, kad Taryba </w:t>
            </w:r>
            <w:r w:rsidRPr="001E660C">
              <w:t xml:space="preserve">jau įgyvendiną </w:t>
            </w:r>
            <w:r>
              <w:t>kitų infrastruktūrų turtines teises, vadovaudamasi ne Aprašu, o nutarimais ar įstatymais.</w:t>
            </w:r>
          </w:p>
          <w:p w14:paraId="6FBBD1C2" w14:textId="39F8058D" w:rsidR="00C753FA" w:rsidRPr="00A856AB" w:rsidRDefault="00C753FA" w:rsidP="006F66A2">
            <w:pPr>
              <w:jc w:val="both"/>
              <w:rPr>
                <w:rFonts w:eastAsia="Arial"/>
                <w:lang w:eastAsia="lt-LT"/>
              </w:rPr>
            </w:pPr>
          </w:p>
          <w:p w14:paraId="7DBA5F0D" w14:textId="6F6EAB7B" w:rsidR="006F66A2" w:rsidRPr="00A856AB" w:rsidRDefault="006F66A2" w:rsidP="00C753FA">
            <w:pPr>
              <w:jc w:val="both"/>
              <w:rPr>
                <w:rFonts w:eastAsia="Arial"/>
                <w:lang w:eastAsia="lt-LT"/>
              </w:rPr>
            </w:pPr>
            <w:r w:rsidRPr="00A856AB">
              <w:rPr>
                <w:rFonts w:eastAsia="Arial"/>
                <w:lang w:eastAsia="lt-LT"/>
              </w:rPr>
              <w:t>ŠMSM</w:t>
            </w:r>
            <w:r w:rsidR="00BA2AE4" w:rsidRPr="00A856AB">
              <w:rPr>
                <w:rFonts w:eastAsia="Arial"/>
                <w:lang w:eastAsia="lt-LT"/>
              </w:rPr>
              <w:t xml:space="preserve"> </w:t>
            </w:r>
            <w:r w:rsidR="00925EBB" w:rsidRPr="00A856AB">
              <w:rPr>
                <w:rFonts w:eastAsia="Arial"/>
                <w:lang w:eastAsia="lt-LT"/>
              </w:rPr>
              <w:t xml:space="preserve">gavusi </w:t>
            </w:r>
            <w:r w:rsidR="008D3466" w:rsidRPr="00A856AB">
              <w:rPr>
                <w:rFonts w:eastAsia="Arial"/>
                <w:lang w:eastAsia="lt-LT"/>
              </w:rPr>
              <w:t>visų</w:t>
            </w:r>
            <w:r w:rsidR="00925EBB" w:rsidRPr="00A856AB">
              <w:rPr>
                <w:rFonts w:eastAsia="Arial"/>
                <w:lang w:eastAsia="lt-LT"/>
              </w:rPr>
              <w:t xml:space="preserve"> </w:t>
            </w:r>
            <w:r w:rsidR="003641CB" w:rsidRPr="00A856AB">
              <w:rPr>
                <w:rFonts w:eastAsia="Arial"/>
                <w:lang w:eastAsia="lt-LT"/>
              </w:rPr>
              <w:t xml:space="preserve">institucijų </w:t>
            </w:r>
            <w:r w:rsidR="00925EBB" w:rsidRPr="00A856AB">
              <w:rPr>
                <w:rFonts w:eastAsia="Arial"/>
                <w:lang w:eastAsia="lt-LT"/>
              </w:rPr>
              <w:t>išvadas dėl Nutarimo projekto bei p</w:t>
            </w:r>
            <w:r w:rsidR="00C753FA">
              <w:rPr>
                <w:rFonts w:eastAsia="Arial"/>
                <w:lang w:eastAsia="lt-LT"/>
              </w:rPr>
              <w:t>lanuojamų sudaryti MTI sutarčių, papildys</w:t>
            </w:r>
            <w:r w:rsidR="00925EBB" w:rsidRPr="00A856AB">
              <w:rPr>
                <w:rFonts w:eastAsia="Arial"/>
                <w:lang w:eastAsia="lt-LT"/>
              </w:rPr>
              <w:t xml:space="preserve"> Apraš</w:t>
            </w:r>
            <w:r w:rsidR="00C753FA">
              <w:rPr>
                <w:rFonts w:eastAsia="Arial"/>
                <w:lang w:eastAsia="lt-LT"/>
              </w:rPr>
              <w:t>ą</w:t>
            </w:r>
            <w:r w:rsidR="00925EBB" w:rsidRPr="00A856AB">
              <w:rPr>
                <w:rFonts w:eastAsia="Arial"/>
                <w:lang w:eastAsia="lt-LT"/>
              </w:rPr>
              <w:t xml:space="preserve"> atsižvelg</w:t>
            </w:r>
            <w:r w:rsidR="00C753FA">
              <w:rPr>
                <w:rFonts w:eastAsia="Arial"/>
                <w:lang w:eastAsia="lt-LT"/>
              </w:rPr>
              <w:t>dama</w:t>
            </w:r>
            <w:r w:rsidR="00925EBB" w:rsidRPr="00A856AB">
              <w:rPr>
                <w:rFonts w:eastAsia="Arial"/>
                <w:lang w:eastAsia="lt-LT"/>
              </w:rPr>
              <w:t xml:space="preserve"> ir į Tarybos pastabas bei pasiūlymus – tai ŠMSM pažymėjo Tarybai 2019-10-31 rašte Nr. R-9244. </w:t>
            </w:r>
          </w:p>
        </w:tc>
      </w:tr>
      <w:tr w:rsidR="00BA2AE4" w:rsidRPr="002051C1" w14:paraId="0C365BBD" w14:textId="77777777" w:rsidTr="00F54784">
        <w:trPr>
          <w:trHeight w:val="699"/>
        </w:trPr>
        <w:tc>
          <w:tcPr>
            <w:tcW w:w="1523" w:type="dxa"/>
          </w:tcPr>
          <w:p w14:paraId="498A4941" w14:textId="77777777" w:rsidR="00BA2AE4" w:rsidRPr="002051C1" w:rsidRDefault="00BA2AE4" w:rsidP="00480E52">
            <w:pPr>
              <w:rPr>
                <w:b/>
              </w:rPr>
            </w:pPr>
          </w:p>
        </w:tc>
        <w:tc>
          <w:tcPr>
            <w:tcW w:w="6841" w:type="dxa"/>
          </w:tcPr>
          <w:p w14:paraId="59291C9A" w14:textId="24D459CD" w:rsidR="00BA2AE4" w:rsidRPr="00BA2AE4" w:rsidRDefault="00BA2AE4" w:rsidP="006F66A2">
            <w:pPr>
              <w:overflowPunct w:val="0"/>
              <w:autoSpaceDE w:val="0"/>
              <w:autoSpaceDN w:val="0"/>
              <w:adjustRightInd w:val="0"/>
              <w:spacing w:after="120"/>
              <w:jc w:val="both"/>
              <w:rPr>
                <w:i/>
              </w:rPr>
            </w:pPr>
            <w:r w:rsidRPr="00EF184B">
              <w:t xml:space="preserve">Manytume, kad valstybės, kaip vienos iš infrastruktūrų dalyvių, neturtines teises, taip pat užtikrinti turtines teises, prisiimtas pagal susitarimus, turėtų užtikrinti ŠMSM. Atstovaudama Lietuvai Europos molekulinės biologijos konferencijoje (EMBC) ir Europos </w:t>
            </w:r>
            <w:r w:rsidRPr="00EF184B">
              <w:lastRenderedPageBreak/>
              <w:t xml:space="preserve">molekulinės biologijos laboratorijoje (EMBL), Taryba pastebėjo, kad kitų valstybių narių atstovai (administratoriai) daugiausia yra ministerijų atstovai, kurie turi įgaliojimus pasisakyti finansų ir kitais klausimais valstybės vardu. Aprašas nustato, kad </w:t>
            </w:r>
            <w:r w:rsidRPr="00EF184B">
              <w:rPr>
                <w:color w:val="000000"/>
              </w:rPr>
              <w:t xml:space="preserve">Lietuvos Respublikai tarptautinėje mokslinių tyrimų infrastruktūroje atstovaujanti institucija turi teisę išreikšti Lietuvos Respublikos poziciją dalyvavimo tarptautinėje mokslinių tyrimų infrastruktūroje klausimais, dalyvauti mokslinių tyrimų infrastruktūros valdymo organų veikloje. Vadovaujantis Aprašo nuostatomis, strateginė funkcija mokslinių tyrimų infrastruktūrų klausimais pavesta ŠMSM mokslinių tyrimų infrastruktūrų komisijai. Š. m. spalio 15 d. ŠMSM mokslinių tyrimų infrastruktūrų komisijos posėdyje nuspręsta, kad valstybės vardu išsakomos pozicijos turi būti derinamos šioje komisijoje. </w:t>
            </w:r>
            <w:r w:rsidRPr="00EF184B">
              <w:t>Pozicijos turi būti strategiškai koordinuojamos, visa informacija, susijusi su mokslinių tyrimų infrastruktūromis turi būti renkama centralizuotai, operatyviai valdoma ir suteikiamas reikiamas grįžtamasis ryšys atstovaujančiai institucijai.</w:t>
            </w:r>
          </w:p>
        </w:tc>
        <w:tc>
          <w:tcPr>
            <w:tcW w:w="5954" w:type="dxa"/>
          </w:tcPr>
          <w:p w14:paraId="1F4BB7F9" w14:textId="77777777" w:rsidR="00751D5B" w:rsidRPr="002051C1" w:rsidRDefault="00751D5B" w:rsidP="00751D5B">
            <w:pPr>
              <w:jc w:val="both"/>
              <w:rPr>
                <w:rFonts w:eastAsia="Arial"/>
                <w:lang w:eastAsia="lt-LT"/>
              </w:rPr>
            </w:pPr>
            <w:r w:rsidRPr="002051C1">
              <w:rPr>
                <w:rFonts w:eastAsia="Arial"/>
                <w:b/>
                <w:lang w:eastAsia="lt-LT"/>
              </w:rPr>
              <w:lastRenderedPageBreak/>
              <w:t>Atsižvelgta iš dalies</w:t>
            </w:r>
            <w:r w:rsidRPr="002051C1">
              <w:rPr>
                <w:rFonts w:eastAsia="Arial"/>
                <w:lang w:eastAsia="lt-LT"/>
              </w:rPr>
              <w:t>.</w:t>
            </w:r>
          </w:p>
          <w:p w14:paraId="299E3AAE" w14:textId="7C2ADA55" w:rsidR="003641CB" w:rsidRDefault="00751D5B" w:rsidP="00262F18">
            <w:pPr>
              <w:jc w:val="both"/>
              <w:rPr>
                <w:rFonts w:eastAsia="Arial"/>
                <w:lang w:eastAsia="lt-LT"/>
              </w:rPr>
            </w:pPr>
            <w:r>
              <w:rPr>
                <w:rFonts w:eastAsia="Arial"/>
                <w:lang w:eastAsia="lt-LT"/>
              </w:rPr>
              <w:t xml:space="preserve">ŠMSM </w:t>
            </w:r>
            <w:r w:rsidR="00A856AB">
              <w:rPr>
                <w:rFonts w:eastAsia="Arial"/>
                <w:lang w:eastAsia="lt-LT"/>
              </w:rPr>
              <w:t xml:space="preserve">pritarė </w:t>
            </w:r>
            <w:r w:rsidR="002475DC">
              <w:rPr>
                <w:rFonts w:eastAsia="Arial"/>
                <w:lang w:eastAsia="lt-LT"/>
              </w:rPr>
              <w:t>T</w:t>
            </w:r>
            <w:r w:rsidR="00A856AB">
              <w:rPr>
                <w:rFonts w:eastAsia="Arial"/>
                <w:lang w:eastAsia="lt-LT"/>
              </w:rPr>
              <w:t xml:space="preserve">arybos siūlymams užtikrinti neturtines teises, bei </w:t>
            </w:r>
            <w:r w:rsidR="00C753FA">
              <w:rPr>
                <w:rFonts w:eastAsia="Arial"/>
                <w:lang w:eastAsia="lt-LT"/>
              </w:rPr>
              <w:t>pritarė</w:t>
            </w:r>
            <w:r w:rsidR="00A856AB">
              <w:rPr>
                <w:rFonts w:eastAsia="Arial"/>
                <w:lang w:eastAsia="lt-LT"/>
              </w:rPr>
              <w:t xml:space="preserve"> </w:t>
            </w:r>
            <w:r w:rsidR="00C753FA">
              <w:rPr>
                <w:rFonts w:eastAsia="Arial"/>
                <w:lang w:eastAsia="lt-LT"/>
              </w:rPr>
              <w:t>nuostatai dėl Turtinių teisių, kurią pasiūlė Taryba.</w:t>
            </w:r>
          </w:p>
          <w:p w14:paraId="32A6ADBB" w14:textId="49E10A3A" w:rsidR="00BA2AE4" w:rsidRDefault="0065394B" w:rsidP="00262F18">
            <w:pPr>
              <w:jc w:val="both"/>
              <w:rPr>
                <w:rFonts w:eastAsia="Arial"/>
                <w:lang w:eastAsia="lt-LT"/>
              </w:rPr>
            </w:pPr>
            <w:r>
              <w:rPr>
                <w:rFonts w:eastAsia="Arial"/>
                <w:lang w:eastAsia="lt-LT"/>
              </w:rPr>
              <w:lastRenderedPageBreak/>
              <w:t xml:space="preserve">ŠMSM </w:t>
            </w:r>
            <w:r w:rsidR="00925EBB">
              <w:rPr>
                <w:rFonts w:eastAsia="Arial"/>
                <w:lang w:eastAsia="lt-LT"/>
              </w:rPr>
              <w:t>2019-11-06 išsiuntė darbo tvarka Tarybai derinti siūlomus Aprašo pakeitimus, tarp jų, ir pakeitimus dėl atstovavimo ir pozicijų derinimo.</w:t>
            </w:r>
            <w:r w:rsidR="00726234">
              <w:rPr>
                <w:rFonts w:eastAsia="Arial"/>
                <w:lang w:eastAsia="lt-LT"/>
              </w:rPr>
              <w:t xml:space="preserve"> Tarybos pastabų</w:t>
            </w:r>
            <w:r w:rsidR="0028148C">
              <w:rPr>
                <w:rFonts w:eastAsia="Arial"/>
                <w:lang w:eastAsia="lt-LT"/>
              </w:rPr>
              <w:t xml:space="preserve"> šiam dokumentui</w:t>
            </w:r>
            <w:r w:rsidR="00726234">
              <w:rPr>
                <w:rFonts w:eastAsia="Arial"/>
                <w:lang w:eastAsia="lt-LT"/>
              </w:rPr>
              <w:t xml:space="preserve"> ir pasiūlymų dėl keitimų</w:t>
            </w:r>
            <w:r w:rsidR="002475DC">
              <w:rPr>
                <w:rFonts w:eastAsia="Arial"/>
                <w:lang w:eastAsia="lt-LT"/>
              </w:rPr>
              <w:t xml:space="preserve"> </w:t>
            </w:r>
            <w:r w:rsidR="00726234">
              <w:rPr>
                <w:rFonts w:eastAsia="Arial"/>
                <w:lang w:eastAsia="lt-LT"/>
              </w:rPr>
              <w:t>nebuvo gauta.</w:t>
            </w:r>
          </w:p>
          <w:p w14:paraId="193B1F8E" w14:textId="51F3CD55" w:rsidR="00262F18" w:rsidRPr="00751D5B" w:rsidRDefault="00262F18" w:rsidP="00262F18">
            <w:pPr>
              <w:jc w:val="both"/>
              <w:rPr>
                <w:rFonts w:eastAsia="Arial"/>
                <w:lang w:eastAsia="lt-LT"/>
              </w:rPr>
            </w:pPr>
          </w:p>
        </w:tc>
      </w:tr>
      <w:tr w:rsidR="00BA2AE4" w:rsidRPr="002051C1" w14:paraId="2CFFB592" w14:textId="77777777" w:rsidTr="00F54784">
        <w:trPr>
          <w:trHeight w:val="699"/>
        </w:trPr>
        <w:tc>
          <w:tcPr>
            <w:tcW w:w="1523" w:type="dxa"/>
          </w:tcPr>
          <w:p w14:paraId="448D9DEE" w14:textId="77777777" w:rsidR="00BA2AE4" w:rsidRPr="002051C1" w:rsidRDefault="00BA2AE4" w:rsidP="00480E52">
            <w:pPr>
              <w:rPr>
                <w:b/>
              </w:rPr>
            </w:pPr>
          </w:p>
        </w:tc>
        <w:tc>
          <w:tcPr>
            <w:tcW w:w="6841" w:type="dxa"/>
          </w:tcPr>
          <w:p w14:paraId="07F092A0" w14:textId="0C15872C" w:rsidR="00BA2AE4" w:rsidRPr="00EF184B" w:rsidRDefault="00BA2AE4" w:rsidP="002475DC">
            <w:pPr>
              <w:overflowPunct w:val="0"/>
              <w:autoSpaceDE w:val="0"/>
              <w:autoSpaceDN w:val="0"/>
              <w:adjustRightInd w:val="0"/>
              <w:spacing w:after="120"/>
              <w:jc w:val="both"/>
            </w:pPr>
            <w:r w:rsidRPr="00BA2AE4">
              <w:t>Taryba siūlytų teikti Projektą Vyriausybei tik atlikus reikiamų teisės aktų pakeitimus, kuriuose būtų aiškiai apibrėžtas institucijų, susijusių su Lietuvos dalyvavimu tarptautinėse mokslinių tyrimų infrastruktūrose, vaidmuo.</w:t>
            </w:r>
          </w:p>
        </w:tc>
        <w:tc>
          <w:tcPr>
            <w:tcW w:w="5954" w:type="dxa"/>
          </w:tcPr>
          <w:p w14:paraId="3127F973" w14:textId="4B9CCC7D" w:rsidR="00925EBB" w:rsidRPr="002051C1" w:rsidRDefault="00262F18" w:rsidP="00925EBB">
            <w:pPr>
              <w:jc w:val="both"/>
              <w:rPr>
                <w:rFonts w:eastAsia="Arial"/>
                <w:lang w:eastAsia="lt-LT"/>
              </w:rPr>
            </w:pPr>
            <w:r>
              <w:rPr>
                <w:rFonts w:eastAsia="Arial"/>
                <w:b/>
                <w:lang w:eastAsia="lt-LT"/>
              </w:rPr>
              <w:t>Neatsižvelgta</w:t>
            </w:r>
            <w:r w:rsidR="00925EBB" w:rsidRPr="002051C1">
              <w:rPr>
                <w:rFonts w:eastAsia="Arial"/>
                <w:lang w:eastAsia="lt-LT"/>
              </w:rPr>
              <w:t>.</w:t>
            </w:r>
          </w:p>
          <w:p w14:paraId="7419760A" w14:textId="14B4650E" w:rsidR="00A856AB" w:rsidRDefault="00E03738" w:rsidP="00925EBB">
            <w:pPr>
              <w:jc w:val="both"/>
              <w:rPr>
                <w:rFonts w:eastAsia="Arial"/>
                <w:lang w:eastAsia="lt-LT"/>
              </w:rPr>
            </w:pPr>
            <w:r>
              <w:rPr>
                <w:rFonts w:eastAsia="Arial"/>
                <w:lang w:eastAsia="lt-LT"/>
              </w:rPr>
              <w:t>Siekiant tiksliau apibrėžti tvarką ir procedūras Aprašo keitimas, įskaitant institucijų vaidmens patikslinimą, bus pradėtas gavus visų institucijų išvadas dėl nutarimo projekto ir numatomų sudarytį susitarimų.</w:t>
            </w:r>
          </w:p>
          <w:p w14:paraId="3335AB77" w14:textId="16259C48" w:rsidR="00BA2AE4" w:rsidRPr="00925EBB" w:rsidRDefault="00A856AB" w:rsidP="002475DC">
            <w:pPr>
              <w:jc w:val="both"/>
              <w:rPr>
                <w:rFonts w:eastAsia="Arial"/>
                <w:lang w:eastAsia="lt-LT"/>
              </w:rPr>
            </w:pPr>
            <w:r w:rsidRPr="002475DC">
              <w:rPr>
                <w:rFonts w:eastAsia="Arial"/>
                <w:lang w:eastAsia="lt-LT"/>
              </w:rPr>
              <w:t>Į</w:t>
            </w:r>
            <w:r w:rsidR="0043363C" w:rsidRPr="002475DC">
              <w:rPr>
                <w:rFonts w:eastAsia="Arial"/>
                <w:lang w:eastAsia="lt-LT"/>
              </w:rPr>
              <w:t>sijungimas į Infrastruktūras yra neatidėliotinas siekiant padengti trijų metų narystės išlaidas ESIF projektų lėšomis.</w:t>
            </w:r>
          </w:p>
        </w:tc>
      </w:tr>
      <w:tr w:rsidR="001637FA" w:rsidRPr="002051C1" w14:paraId="48A0CA98" w14:textId="77777777" w:rsidTr="00F54784">
        <w:trPr>
          <w:trHeight w:val="699"/>
        </w:trPr>
        <w:tc>
          <w:tcPr>
            <w:tcW w:w="1523" w:type="dxa"/>
          </w:tcPr>
          <w:p w14:paraId="05EAD23C" w14:textId="01969E98" w:rsidR="001637FA" w:rsidRPr="001637FA" w:rsidRDefault="001637FA" w:rsidP="00480E52">
            <w:r>
              <w:t xml:space="preserve">Teisingumo ministerijos 2019-12-03 raštas Nr. </w:t>
            </w:r>
            <w:r w:rsidRPr="001637FA">
              <w:t>19-13946</w:t>
            </w:r>
          </w:p>
        </w:tc>
        <w:tc>
          <w:tcPr>
            <w:tcW w:w="6841" w:type="dxa"/>
          </w:tcPr>
          <w:p w14:paraId="1C900D42" w14:textId="459DBBA8" w:rsidR="001637FA" w:rsidRPr="00BA2AE4" w:rsidRDefault="001637FA" w:rsidP="006F66A2">
            <w:pPr>
              <w:overflowPunct w:val="0"/>
              <w:autoSpaceDE w:val="0"/>
              <w:autoSpaceDN w:val="0"/>
              <w:adjustRightInd w:val="0"/>
              <w:spacing w:after="120"/>
              <w:jc w:val="both"/>
            </w:pPr>
            <w:r w:rsidRPr="001637FA">
              <w:t>Nutarimo projekto 2.1 p. nuostatos „paskirti atstovaujančiąsias mokslo ir studijų institucijas“ neatitinka lydraštyje pateiktos informacijos, pagal kurią atskiros dalyvausiančios institucijos žinomos jau dabar. Tuo pačiu lieka neapibrėžta, kokia tvarka turėtų būti atrenkamos ir paskiriamos konkrečios institucijos tuo atveju, kai jos dar nėra žinomos.</w:t>
            </w:r>
          </w:p>
        </w:tc>
        <w:tc>
          <w:tcPr>
            <w:tcW w:w="5954" w:type="dxa"/>
          </w:tcPr>
          <w:p w14:paraId="2B5C6A8C" w14:textId="6A493771" w:rsidR="001637FA" w:rsidRDefault="002475DC" w:rsidP="00925EBB">
            <w:pPr>
              <w:jc w:val="both"/>
              <w:rPr>
                <w:rFonts w:eastAsia="Arial"/>
                <w:b/>
                <w:lang w:eastAsia="lt-LT"/>
              </w:rPr>
            </w:pPr>
            <w:r>
              <w:rPr>
                <w:rFonts w:eastAsia="Arial"/>
                <w:b/>
                <w:lang w:eastAsia="lt-LT"/>
              </w:rPr>
              <w:t>A</w:t>
            </w:r>
            <w:r w:rsidR="001637FA">
              <w:rPr>
                <w:rFonts w:eastAsia="Arial"/>
                <w:b/>
                <w:lang w:eastAsia="lt-LT"/>
              </w:rPr>
              <w:t>tsižvelgta.</w:t>
            </w:r>
          </w:p>
          <w:p w14:paraId="5ADE38D8" w14:textId="64491FAD" w:rsidR="002475DC" w:rsidRPr="002475DC" w:rsidRDefault="002475DC" w:rsidP="00925EBB">
            <w:pPr>
              <w:jc w:val="both"/>
              <w:rPr>
                <w:rFonts w:eastAsia="Arial"/>
                <w:lang w:eastAsia="lt-LT"/>
              </w:rPr>
            </w:pPr>
            <w:r w:rsidRPr="002475DC">
              <w:rPr>
                <w:rFonts w:eastAsia="Arial"/>
                <w:lang w:eastAsia="lt-LT"/>
              </w:rPr>
              <w:t>Nutarimo</w:t>
            </w:r>
            <w:r>
              <w:rPr>
                <w:rFonts w:eastAsia="Arial"/>
                <w:lang w:eastAsia="lt-LT"/>
              </w:rPr>
              <w:t xml:space="preserve"> nuostatą patikslinta į „</w:t>
            </w:r>
            <w:r w:rsidRPr="002475DC">
              <w:rPr>
                <w:rFonts w:eastAsia="Arial"/>
                <w:lang w:eastAsia="lt-LT"/>
              </w:rPr>
              <w:t xml:space="preserve">sudaryti susitarimus su Lietuvos Respubliką Infrastruktūrose </w:t>
            </w:r>
            <w:r w:rsidRPr="002475DC">
              <w:rPr>
                <w:rFonts w:eastAsia="Arial"/>
                <w:i/>
                <w:lang w:eastAsia="lt-LT"/>
              </w:rPr>
              <w:t>atstovausiančiomis</w:t>
            </w:r>
            <w:r w:rsidRPr="002475DC">
              <w:rPr>
                <w:rFonts w:eastAsia="Arial"/>
                <w:lang w:eastAsia="lt-LT"/>
              </w:rPr>
              <w:t xml:space="preserve"> mokslo ir studijų institucijomis</w:t>
            </w:r>
            <w:r>
              <w:rPr>
                <w:rFonts w:eastAsia="Arial"/>
                <w:lang w:eastAsia="lt-LT"/>
              </w:rPr>
              <w:t>“</w:t>
            </w:r>
          </w:p>
          <w:p w14:paraId="1ADDE449" w14:textId="25C6248A" w:rsidR="00B64752" w:rsidRPr="002475DC" w:rsidRDefault="00B64752" w:rsidP="00925EBB">
            <w:pPr>
              <w:jc w:val="both"/>
              <w:rPr>
                <w:rFonts w:eastAsia="Arial"/>
                <w:lang w:eastAsia="lt-LT"/>
              </w:rPr>
            </w:pPr>
            <w:r w:rsidRPr="002475DC">
              <w:rPr>
                <w:rFonts w:eastAsia="Arial"/>
                <w:lang w:eastAsia="lt-LT"/>
              </w:rPr>
              <w:t>Lydraštis papildytas informacija patikslinančia atstovau</w:t>
            </w:r>
            <w:r w:rsidR="002475DC" w:rsidRPr="002475DC">
              <w:rPr>
                <w:rFonts w:eastAsia="Arial"/>
                <w:lang w:eastAsia="lt-LT"/>
              </w:rPr>
              <w:t>siančių</w:t>
            </w:r>
            <w:r w:rsidRPr="002475DC">
              <w:rPr>
                <w:rFonts w:eastAsia="Arial"/>
                <w:lang w:eastAsia="lt-LT"/>
              </w:rPr>
              <w:t xml:space="preserve"> institucijų </w:t>
            </w:r>
            <w:r w:rsidR="002475DC" w:rsidRPr="002475DC">
              <w:rPr>
                <w:rFonts w:eastAsia="Arial"/>
                <w:lang w:eastAsia="lt-LT"/>
              </w:rPr>
              <w:t>nustatymo</w:t>
            </w:r>
            <w:r w:rsidR="000366D9" w:rsidRPr="002475DC">
              <w:rPr>
                <w:rFonts w:eastAsia="Arial"/>
                <w:lang w:eastAsia="lt-LT"/>
              </w:rPr>
              <w:t xml:space="preserve"> proces</w:t>
            </w:r>
            <w:r w:rsidR="002475DC" w:rsidRPr="002475DC">
              <w:rPr>
                <w:rFonts w:eastAsia="Arial"/>
                <w:lang w:eastAsia="lt-LT"/>
              </w:rPr>
              <w:t>ą, jo</w:t>
            </w:r>
            <w:r w:rsidR="000366D9" w:rsidRPr="002475DC">
              <w:rPr>
                <w:rFonts w:eastAsia="Arial"/>
                <w:lang w:eastAsia="lt-LT"/>
              </w:rPr>
              <w:t xml:space="preserve"> pasiskirstymą laike</w:t>
            </w:r>
            <w:r w:rsidRPr="002475DC">
              <w:rPr>
                <w:rFonts w:eastAsia="Arial"/>
                <w:lang w:eastAsia="lt-LT"/>
              </w:rPr>
              <w:t xml:space="preserve"> </w:t>
            </w:r>
            <w:r w:rsidR="000366D9" w:rsidRPr="002475DC">
              <w:rPr>
                <w:rFonts w:eastAsia="Arial"/>
                <w:lang w:eastAsia="lt-LT"/>
              </w:rPr>
              <w:t>bei</w:t>
            </w:r>
            <w:r w:rsidRPr="002475DC">
              <w:rPr>
                <w:rFonts w:eastAsia="Arial"/>
                <w:lang w:eastAsia="lt-LT"/>
              </w:rPr>
              <w:t xml:space="preserve"> tai kodėl jos žinomos jau dabar.</w:t>
            </w:r>
          </w:p>
          <w:p w14:paraId="5D595F10" w14:textId="0895033F" w:rsidR="00CF3CB5" w:rsidRPr="001637FA" w:rsidRDefault="00CF3CB5" w:rsidP="00752CD6">
            <w:pPr>
              <w:jc w:val="both"/>
              <w:rPr>
                <w:rFonts w:eastAsia="Arial"/>
                <w:lang w:eastAsia="lt-LT"/>
              </w:rPr>
            </w:pPr>
          </w:p>
        </w:tc>
      </w:tr>
      <w:tr w:rsidR="00CF3CB5" w:rsidRPr="002051C1" w14:paraId="6A632D7A" w14:textId="77777777" w:rsidTr="00F54784">
        <w:trPr>
          <w:trHeight w:val="699"/>
        </w:trPr>
        <w:tc>
          <w:tcPr>
            <w:tcW w:w="1523" w:type="dxa"/>
          </w:tcPr>
          <w:p w14:paraId="5BAE73BB" w14:textId="77777777" w:rsidR="00CF3CB5" w:rsidRDefault="00CF3CB5" w:rsidP="00480E52"/>
        </w:tc>
        <w:tc>
          <w:tcPr>
            <w:tcW w:w="6841" w:type="dxa"/>
          </w:tcPr>
          <w:p w14:paraId="4E9AACD7" w14:textId="4E4F5205" w:rsidR="00CF3CB5" w:rsidRPr="001637FA" w:rsidRDefault="00BE542A" w:rsidP="006F66A2">
            <w:pPr>
              <w:overflowPunct w:val="0"/>
              <w:autoSpaceDE w:val="0"/>
              <w:autoSpaceDN w:val="0"/>
              <w:adjustRightInd w:val="0"/>
              <w:spacing w:after="120"/>
              <w:jc w:val="both"/>
            </w:pPr>
            <w:r>
              <w:t>Nutarimo projekto 2.2 p. tikslintina nuoroda į 2 p., nurodant 2.1 p</w:t>
            </w:r>
          </w:p>
        </w:tc>
        <w:tc>
          <w:tcPr>
            <w:tcW w:w="5954" w:type="dxa"/>
          </w:tcPr>
          <w:p w14:paraId="4A92DA70" w14:textId="77777777" w:rsidR="00CF3CB5" w:rsidRDefault="0058547E" w:rsidP="00925EBB">
            <w:pPr>
              <w:jc w:val="both"/>
              <w:rPr>
                <w:rFonts w:eastAsia="Arial"/>
                <w:b/>
                <w:lang w:eastAsia="lt-LT"/>
              </w:rPr>
            </w:pPr>
            <w:r>
              <w:rPr>
                <w:rFonts w:eastAsia="Arial"/>
                <w:b/>
                <w:lang w:eastAsia="lt-LT"/>
              </w:rPr>
              <w:t>Atsižvelgta.</w:t>
            </w:r>
          </w:p>
          <w:p w14:paraId="1EE5A121" w14:textId="6848468C" w:rsidR="00203E93" w:rsidRPr="00203E93" w:rsidRDefault="00203E93" w:rsidP="00925EBB">
            <w:pPr>
              <w:jc w:val="both"/>
              <w:rPr>
                <w:rFonts w:eastAsia="Arial"/>
                <w:lang w:eastAsia="lt-LT"/>
              </w:rPr>
            </w:pPr>
            <w:r w:rsidRPr="00203E93">
              <w:rPr>
                <w:rFonts w:eastAsia="Arial"/>
                <w:lang w:eastAsia="lt-LT"/>
              </w:rPr>
              <w:t xml:space="preserve">Nutarimo projekte patikslintos nuostatos ir </w:t>
            </w:r>
            <w:r w:rsidR="0028148C">
              <w:rPr>
                <w:rFonts w:eastAsia="Arial"/>
                <w:lang w:eastAsia="lt-LT"/>
              </w:rPr>
              <w:t xml:space="preserve">jose esančios </w:t>
            </w:r>
            <w:r w:rsidRPr="00203E93">
              <w:rPr>
                <w:rFonts w:eastAsia="Arial"/>
                <w:lang w:eastAsia="lt-LT"/>
              </w:rPr>
              <w:t>nuorodos.</w:t>
            </w:r>
          </w:p>
        </w:tc>
      </w:tr>
      <w:tr w:rsidR="0058547E" w:rsidRPr="002051C1" w14:paraId="43AD4898" w14:textId="77777777" w:rsidTr="00F54784">
        <w:trPr>
          <w:trHeight w:val="699"/>
        </w:trPr>
        <w:tc>
          <w:tcPr>
            <w:tcW w:w="1523" w:type="dxa"/>
          </w:tcPr>
          <w:p w14:paraId="71A421B2" w14:textId="77777777" w:rsidR="0058547E" w:rsidRDefault="0058547E" w:rsidP="00480E52"/>
        </w:tc>
        <w:tc>
          <w:tcPr>
            <w:tcW w:w="6841" w:type="dxa"/>
          </w:tcPr>
          <w:p w14:paraId="40ADAEE3" w14:textId="6784D80F" w:rsidR="0058547E" w:rsidRDefault="0058547E" w:rsidP="006F66A2">
            <w:pPr>
              <w:overflowPunct w:val="0"/>
              <w:autoSpaceDE w:val="0"/>
              <w:autoSpaceDN w:val="0"/>
              <w:adjustRightInd w:val="0"/>
              <w:spacing w:after="120"/>
              <w:jc w:val="both"/>
            </w:pPr>
            <w:r w:rsidRPr="0058547E">
              <w:t xml:space="preserve">Nutarimo projekto 2.2.1 p. nuostatos neatitinka Europos Sąjungos struktūrinių fondų administravimą reglamentuojančių teisės aktų reglamentavimo ir </w:t>
            </w:r>
            <w:r w:rsidRPr="00203E93">
              <w:t>aplinkybės, kad dalyvauti gali ir Vyriausybei nepavaldūs subjektai. Vyriausybė negali nustatyti įpareigojimų sau nepavaldiems subjektams, o tik galėtų nustatyti sąlygas, kuriomis turėtų būti atrenkami ir dalyvauti Lietuvos Respublikos pusės infrastruktūros konsorciumo dalyviai.</w:t>
            </w:r>
            <w:r w:rsidRPr="0058547E">
              <w:t xml:space="preserve"> Tačiau ta apimtimi, kiek susiję su Europos Sąjungos struktūrinių fondų lėšų panaudojimu, pirmiausia tokia galimybė turėtų būti numatyta Europos Sąjungos struktūrinių fondų administravimą reglamentuojančių teisės aktų ir priimant sprendimus dėl šių lėšų panaudojimo, bei šių lėšų skyrimo ir naudojimo sutartyse. Pastebėtina, kad nei vieno iš šių dokumentų turinio galimi infrastruktūros konsorciumo dalyviai iš Lietuvos Respublikos pusės vienasmeniškai veikti negali, todėl siūlome įvertinti, ar šiuo atveju tinkamas pavedimo adresatas, ir ar pavedimas neturėtų būti skiriamas už struktūrinių fondų administravimą atsakingoms institucijoms. Analogiškai ir dėl Nutarimo projekto 2.2.2 p.</w:t>
            </w:r>
          </w:p>
        </w:tc>
        <w:tc>
          <w:tcPr>
            <w:tcW w:w="5954" w:type="dxa"/>
          </w:tcPr>
          <w:p w14:paraId="1A0D9EA7" w14:textId="77777777" w:rsidR="000A0367" w:rsidRDefault="00203E93" w:rsidP="006A035E">
            <w:pPr>
              <w:jc w:val="both"/>
              <w:rPr>
                <w:rFonts w:eastAsia="Arial"/>
                <w:b/>
                <w:lang w:eastAsia="lt-LT"/>
              </w:rPr>
            </w:pPr>
            <w:r>
              <w:rPr>
                <w:rFonts w:eastAsia="Arial"/>
                <w:b/>
                <w:lang w:eastAsia="lt-LT"/>
              </w:rPr>
              <w:t>Atsižvelgta.</w:t>
            </w:r>
          </w:p>
          <w:p w14:paraId="621B12CE" w14:textId="0D19EC00" w:rsidR="00203E93" w:rsidRPr="00203E93" w:rsidRDefault="00203E93" w:rsidP="006A035E">
            <w:pPr>
              <w:jc w:val="both"/>
              <w:rPr>
                <w:rFonts w:eastAsia="Arial"/>
                <w:lang w:eastAsia="lt-LT"/>
              </w:rPr>
            </w:pPr>
            <w:r>
              <w:rPr>
                <w:rFonts w:eastAsia="Arial"/>
                <w:lang w:eastAsia="lt-LT"/>
              </w:rPr>
              <w:t xml:space="preserve">Patikslintos nutarimo nuostatos. Dėl </w:t>
            </w:r>
            <w:r w:rsidRPr="0058547E">
              <w:t>Europos Sąjungos struktūrinių fondų lėšų panaudojim</w:t>
            </w:r>
            <w:r>
              <w:t>o narystės infrastruktūrose mokesčiui apmokėti ŠMSM ministras sudarys susitarimus (minimus nutarimo</w:t>
            </w:r>
            <w:r w:rsidR="0028148C">
              <w:t xml:space="preserve"> projekto</w:t>
            </w:r>
            <w:r>
              <w:t xml:space="preserve"> 1.2 p.) su mokslo ir studijų institucijomis.</w:t>
            </w:r>
          </w:p>
        </w:tc>
      </w:tr>
      <w:tr w:rsidR="002A0A62" w:rsidRPr="002051C1" w14:paraId="3147CDE4" w14:textId="77777777" w:rsidTr="00F54784">
        <w:trPr>
          <w:trHeight w:val="699"/>
        </w:trPr>
        <w:tc>
          <w:tcPr>
            <w:tcW w:w="1523" w:type="dxa"/>
          </w:tcPr>
          <w:p w14:paraId="6A05BA85" w14:textId="77777777" w:rsidR="002A0A62" w:rsidRDefault="002A0A62" w:rsidP="00480E52"/>
        </w:tc>
        <w:tc>
          <w:tcPr>
            <w:tcW w:w="6841" w:type="dxa"/>
          </w:tcPr>
          <w:p w14:paraId="78D17893" w14:textId="1443F145" w:rsidR="002A0A62" w:rsidRPr="0058547E" w:rsidRDefault="00F42F37" w:rsidP="006F66A2">
            <w:pPr>
              <w:overflowPunct w:val="0"/>
              <w:autoSpaceDE w:val="0"/>
              <w:autoSpaceDN w:val="0"/>
              <w:adjustRightInd w:val="0"/>
              <w:spacing w:after="120"/>
              <w:jc w:val="both"/>
            </w:pPr>
            <w:r w:rsidRPr="00F42F37">
              <w:t>Tęsiant tai, kas jau pasakyta dėl Vyriausybės pavedimų nepavaldiems subjektams formulavimo negalimumo, šiuo aspektu kyla pagrįstų abejonių ir dėl Nutarimo projekto 2.3 p. nuostatų, kuriomis Vyriausybė Lietuvos mokslo tarybai (ją, vadovaujantis Mokslo ir studijų įstatymo 15 str. 1 d., steigia ir jos nuostatus tvirtina Seimas) pavestų įgyvendinti valstybės, kaip vienos iš dalyvių, teises, tinkamumo.</w:t>
            </w:r>
          </w:p>
        </w:tc>
        <w:tc>
          <w:tcPr>
            <w:tcW w:w="5954" w:type="dxa"/>
          </w:tcPr>
          <w:p w14:paraId="528D2FE3" w14:textId="77777777" w:rsidR="002A0A62" w:rsidRDefault="00F42F37" w:rsidP="00925EBB">
            <w:pPr>
              <w:jc w:val="both"/>
              <w:rPr>
                <w:rFonts w:eastAsia="Arial"/>
                <w:b/>
                <w:lang w:eastAsia="lt-LT"/>
              </w:rPr>
            </w:pPr>
            <w:r>
              <w:rPr>
                <w:rFonts w:eastAsia="Arial"/>
                <w:b/>
                <w:lang w:eastAsia="lt-LT"/>
              </w:rPr>
              <w:t>Neatsižvelgta.</w:t>
            </w:r>
          </w:p>
          <w:p w14:paraId="170B8DB3" w14:textId="458349D4" w:rsidR="00704262" w:rsidRPr="00F42F37" w:rsidRDefault="00704262" w:rsidP="00925EBB">
            <w:pPr>
              <w:jc w:val="both"/>
              <w:rPr>
                <w:rFonts w:eastAsia="Arial"/>
                <w:lang w:eastAsia="lt-LT"/>
              </w:rPr>
            </w:pPr>
            <w:r>
              <w:rPr>
                <w:rFonts w:eastAsia="Arial"/>
                <w:lang w:eastAsia="lt-LT"/>
              </w:rPr>
              <w:t>Tarybos</w:t>
            </w:r>
            <w:r w:rsidR="00F42F37">
              <w:rPr>
                <w:rFonts w:eastAsia="Arial"/>
                <w:lang w:eastAsia="lt-LT"/>
              </w:rPr>
              <w:t xml:space="preserve"> nuostatų 6 p</w:t>
            </w:r>
            <w:r w:rsidR="00046E35">
              <w:rPr>
                <w:rFonts w:eastAsia="Arial"/>
                <w:lang w:eastAsia="lt-LT"/>
              </w:rPr>
              <w:t>unkto</w:t>
            </w:r>
            <w:r w:rsidR="00F42F37">
              <w:rPr>
                <w:rFonts w:eastAsia="Arial"/>
                <w:lang w:eastAsia="lt-LT"/>
              </w:rPr>
              <w:t xml:space="preserve"> </w:t>
            </w:r>
            <w:r>
              <w:rPr>
                <w:rFonts w:eastAsia="Arial"/>
                <w:lang w:eastAsia="lt-LT"/>
              </w:rPr>
              <w:t xml:space="preserve">12 </w:t>
            </w:r>
            <w:r w:rsidR="00F42F37">
              <w:rPr>
                <w:rFonts w:eastAsia="Arial"/>
                <w:lang w:eastAsia="lt-LT"/>
              </w:rPr>
              <w:t>papunktis nustato</w:t>
            </w:r>
            <w:r w:rsidR="00046E35">
              <w:rPr>
                <w:rFonts w:eastAsia="Arial"/>
                <w:lang w:eastAsia="lt-LT"/>
              </w:rPr>
              <w:t xml:space="preserve">, kad </w:t>
            </w:r>
            <w:r w:rsidR="00F42F37">
              <w:rPr>
                <w:rFonts w:eastAsia="Arial"/>
                <w:lang w:eastAsia="lt-LT"/>
              </w:rPr>
              <w:t xml:space="preserve">Taryba </w:t>
            </w:r>
            <w:r w:rsidR="00046E35" w:rsidRPr="00704262">
              <w:rPr>
                <w:rFonts w:eastAsia="Arial"/>
                <w:lang w:eastAsia="lt-LT"/>
              </w:rPr>
              <w:t>atlieka kitas teisės aktų nustatytas bei Seimo ir Vyriausybės pavestas funkcijas ir pavedimus</w:t>
            </w:r>
            <w:r w:rsidR="00D35993">
              <w:rPr>
                <w:rFonts w:eastAsia="Arial"/>
                <w:lang w:eastAsia="lt-LT"/>
              </w:rPr>
              <w:t>.</w:t>
            </w:r>
          </w:p>
        </w:tc>
      </w:tr>
      <w:tr w:rsidR="00D002BF" w:rsidRPr="002051C1" w14:paraId="4F7B8D85" w14:textId="77777777" w:rsidTr="00F54784">
        <w:trPr>
          <w:trHeight w:val="699"/>
        </w:trPr>
        <w:tc>
          <w:tcPr>
            <w:tcW w:w="1523" w:type="dxa"/>
          </w:tcPr>
          <w:p w14:paraId="20EBBCE2" w14:textId="77777777" w:rsidR="00D002BF" w:rsidRDefault="00D002BF" w:rsidP="00480E52"/>
        </w:tc>
        <w:tc>
          <w:tcPr>
            <w:tcW w:w="6841" w:type="dxa"/>
          </w:tcPr>
          <w:p w14:paraId="0EB9EBAB" w14:textId="33971E0D" w:rsidR="00D002BF" w:rsidRPr="00F42F37" w:rsidRDefault="00D002BF" w:rsidP="006F66A2">
            <w:pPr>
              <w:overflowPunct w:val="0"/>
              <w:autoSpaceDE w:val="0"/>
              <w:autoSpaceDN w:val="0"/>
              <w:adjustRightInd w:val="0"/>
              <w:spacing w:after="120"/>
              <w:jc w:val="both"/>
            </w:pPr>
            <w:r w:rsidRPr="00D002BF">
              <w:t xml:space="preserve">Be kita ko nėra apibrėžta ir Nutarimo projekto 2.3 p. formuluotė „užtikrinti turtines teises“, t. y. neaišku, kokio pobūdžio (turinio) veiksmus būtų privaloma atlikti įgyvendinant šią nuostatą (ar tai </w:t>
            </w:r>
            <w:r w:rsidRPr="00D002BF">
              <w:lastRenderedPageBreak/>
              <w:t>siejama su narystės mokesčių aspektu?). Paprastai vartojama formuluotė „įgyvendinti turtines teises“ (žr., pavyzdžiui, Vyriausybės 2012 m. birželio 6 d. nutarimą Nr. 665 „Dėl Valstybės turtinių ir neturtinių teisių įgyvendinimo valstybės valdomose įmonėse tvarkos aprašo patvirtinimo“).</w:t>
            </w:r>
          </w:p>
        </w:tc>
        <w:tc>
          <w:tcPr>
            <w:tcW w:w="5954" w:type="dxa"/>
          </w:tcPr>
          <w:p w14:paraId="3E37C5E8" w14:textId="77777777" w:rsidR="00D002BF" w:rsidRDefault="00D002BF" w:rsidP="00925EBB">
            <w:pPr>
              <w:jc w:val="both"/>
              <w:rPr>
                <w:rFonts w:eastAsia="Arial"/>
                <w:b/>
                <w:lang w:eastAsia="lt-LT"/>
              </w:rPr>
            </w:pPr>
            <w:r>
              <w:rPr>
                <w:rFonts w:eastAsia="Arial"/>
                <w:b/>
                <w:lang w:eastAsia="lt-LT"/>
              </w:rPr>
              <w:lastRenderedPageBreak/>
              <w:t>Atsižvelgta.</w:t>
            </w:r>
          </w:p>
          <w:p w14:paraId="0D92B021" w14:textId="665577AB" w:rsidR="00D002BF" w:rsidRPr="00D002BF" w:rsidRDefault="00203E93" w:rsidP="00925EBB">
            <w:pPr>
              <w:jc w:val="both"/>
              <w:rPr>
                <w:rFonts w:eastAsia="Arial"/>
                <w:lang w:eastAsia="lt-LT"/>
              </w:rPr>
            </w:pPr>
            <w:r>
              <w:rPr>
                <w:rFonts w:eastAsia="Arial"/>
                <w:lang w:eastAsia="lt-LT"/>
              </w:rPr>
              <w:t>Teisingumo ministerijos ir Tarybos siūlymu nuostatos formuluotę patikslinta į</w:t>
            </w:r>
            <w:r w:rsidR="00D002BF">
              <w:rPr>
                <w:rFonts w:eastAsia="Arial"/>
                <w:lang w:eastAsia="lt-LT"/>
              </w:rPr>
              <w:t xml:space="preserve"> „</w:t>
            </w:r>
            <w:r>
              <w:t xml:space="preserve">įgyvendinti Infrastruktūrų turtines </w:t>
            </w:r>
            <w:r>
              <w:lastRenderedPageBreak/>
              <w:t>teises, užtikrinant narystės mokesčių apmokėjimą,</w:t>
            </w:r>
            <w:r w:rsidR="00F741C1" w:rsidRPr="00F741C1">
              <w:rPr>
                <w:rFonts w:eastAsia="Arial"/>
                <w:lang w:eastAsia="lt-LT"/>
              </w:rPr>
              <w:t>“</w:t>
            </w:r>
            <w:r w:rsidR="00F741C1">
              <w:rPr>
                <w:rFonts w:eastAsia="Arial"/>
                <w:lang w:eastAsia="lt-LT"/>
              </w:rPr>
              <w:t>, kadangi nuostata siejama su narystės mokesčių</w:t>
            </w:r>
            <w:r w:rsidR="00046E35">
              <w:rPr>
                <w:rFonts w:eastAsia="Arial"/>
                <w:lang w:eastAsia="lt-LT"/>
              </w:rPr>
              <w:t xml:space="preserve"> mokėjimo</w:t>
            </w:r>
            <w:r w:rsidR="00F741C1">
              <w:rPr>
                <w:rFonts w:eastAsia="Arial"/>
                <w:lang w:eastAsia="lt-LT"/>
              </w:rPr>
              <w:t xml:space="preserve"> aspektu.</w:t>
            </w:r>
          </w:p>
        </w:tc>
      </w:tr>
      <w:tr w:rsidR="00DC12BF" w:rsidRPr="002051C1" w14:paraId="49A32BD2" w14:textId="77777777" w:rsidTr="00F54784">
        <w:trPr>
          <w:trHeight w:val="699"/>
        </w:trPr>
        <w:tc>
          <w:tcPr>
            <w:tcW w:w="1523" w:type="dxa"/>
          </w:tcPr>
          <w:p w14:paraId="0B253261" w14:textId="77777777" w:rsidR="00DC12BF" w:rsidRDefault="00DC12BF" w:rsidP="00480E52"/>
        </w:tc>
        <w:tc>
          <w:tcPr>
            <w:tcW w:w="6841" w:type="dxa"/>
          </w:tcPr>
          <w:p w14:paraId="2D0A63CB" w14:textId="089CDA76" w:rsidR="00DC12BF" w:rsidRPr="00D002BF" w:rsidRDefault="00DC12BF" w:rsidP="006F66A2">
            <w:pPr>
              <w:overflowPunct w:val="0"/>
              <w:autoSpaceDE w:val="0"/>
              <w:autoSpaceDN w:val="0"/>
              <w:adjustRightInd w:val="0"/>
              <w:spacing w:after="120"/>
              <w:jc w:val="both"/>
            </w:pPr>
            <w:r w:rsidRPr="00DC12BF">
              <w:t>Taip pat nėra aišku, kaip turėtų būti taikoma Nutarimo projekto 2.3 p. išimtis „išskyrus šio nutarimo 2.2.2 papunktyje nurodytus atvejus“ – koks subjektas įgyvendintų valstybės teises Nutarimo projekto 2.2.2 p. nurodytu atveju? Dėl kokios priežasties siūloma tokia išimtis? Kartu pastebėtina, kad nėra visiškai aiški ir Nutarimo projekto 2.2.2 p. formuluotė „po finansavimo Europos Sąjungos struktūrinių fondų lėšomis“ (ar norima nurodyti laikotarpį, kuris eitų po to, kai jau būtų gautos (panaudotos) tokios lėšos?).</w:t>
            </w:r>
          </w:p>
        </w:tc>
        <w:tc>
          <w:tcPr>
            <w:tcW w:w="5954" w:type="dxa"/>
          </w:tcPr>
          <w:p w14:paraId="45CF3E7D" w14:textId="77777777" w:rsidR="00DC12BF" w:rsidRDefault="004863A8" w:rsidP="00925EBB">
            <w:pPr>
              <w:jc w:val="both"/>
              <w:rPr>
                <w:rFonts w:eastAsia="Arial"/>
                <w:b/>
                <w:lang w:eastAsia="lt-LT"/>
              </w:rPr>
            </w:pPr>
            <w:r>
              <w:rPr>
                <w:rFonts w:eastAsia="Arial"/>
                <w:b/>
                <w:lang w:eastAsia="lt-LT"/>
              </w:rPr>
              <w:t>Atsižvelgta.</w:t>
            </w:r>
          </w:p>
          <w:p w14:paraId="02A33133" w14:textId="434CD807" w:rsidR="004863A8" w:rsidRPr="004863A8" w:rsidRDefault="00203E93" w:rsidP="0028148C">
            <w:pPr>
              <w:jc w:val="both"/>
              <w:rPr>
                <w:rFonts w:eastAsia="Arial"/>
                <w:lang w:eastAsia="lt-LT"/>
              </w:rPr>
            </w:pPr>
            <w:r>
              <w:rPr>
                <w:rFonts w:eastAsia="Arial"/>
                <w:lang w:eastAsia="lt-LT"/>
              </w:rPr>
              <w:t xml:space="preserve">Nutarimo nuostatos patikslintos neminint finansavimo šaltinių, </w:t>
            </w:r>
            <w:r w:rsidR="00555D2D">
              <w:rPr>
                <w:rFonts w:eastAsia="Arial"/>
                <w:lang w:eastAsia="lt-LT"/>
              </w:rPr>
              <w:t xml:space="preserve">o nustatant kas atsakingas už turtines teises (įskaitant išimtį kuomet turtinių teisių įgyvendinimas </w:t>
            </w:r>
            <w:r w:rsidR="0028148C">
              <w:rPr>
                <w:rFonts w:eastAsia="Arial"/>
                <w:lang w:eastAsia="lt-LT"/>
              </w:rPr>
              <w:t>pagal</w:t>
            </w:r>
            <w:r w:rsidR="00555D2D">
              <w:rPr>
                <w:rFonts w:eastAsia="Arial"/>
                <w:lang w:eastAsia="lt-LT"/>
              </w:rPr>
              <w:t xml:space="preserve"> susitarim</w:t>
            </w:r>
            <w:r w:rsidR="0028148C">
              <w:rPr>
                <w:rFonts w:eastAsia="Arial"/>
                <w:lang w:eastAsia="lt-LT"/>
              </w:rPr>
              <w:t>ą tenka</w:t>
            </w:r>
            <w:r w:rsidR="00555D2D">
              <w:rPr>
                <w:rFonts w:eastAsia="Arial"/>
                <w:lang w:eastAsia="lt-LT"/>
              </w:rPr>
              <w:t xml:space="preserve"> mokslo ir studijų institucij</w:t>
            </w:r>
            <w:r w:rsidR="0028148C">
              <w:rPr>
                <w:rFonts w:eastAsia="Arial"/>
                <w:lang w:eastAsia="lt-LT"/>
              </w:rPr>
              <w:t>ai).</w:t>
            </w:r>
          </w:p>
        </w:tc>
      </w:tr>
      <w:tr w:rsidR="0020178D" w:rsidRPr="002051C1" w14:paraId="0F367C0B" w14:textId="77777777" w:rsidTr="00F54784">
        <w:trPr>
          <w:trHeight w:val="699"/>
        </w:trPr>
        <w:tc>
          <w:tcPr>
            <w:tcW w:w="1523" w:type="dxa"/>
          </w:tcPr>
          <w:p w14:paraId="3BC0432A" w14:textId="77777777" w:rsidR="0020178D" w:rsidRDefault="0020178D" w:rsidP="00480E52"/>
        </w:tc>
        <w:tc>
          <w:tcPr>
            <w:tcW w:w="6841" w:type="dxa"/>
          </w:tcPr>
          <w:p w14:paraId="59DD688A" w14:textId="3BA2D2C1" w:rsidR="0020178D" w:rsidRPr="00DC12BF" w:rsidRDefault="0020178D" w:rsidP="006F66A2">
            <w:pPr>
              <w:overflowPunct w:val="0"/>
              <w:autoSpaceDE w:val="0"/>
              <w:autoSpaceDN w:val="0"/>
              <w:adjustRightInd w:val="0"/>
              <w:spacing w:after="120"/>
              <w:jc w:val="both"/>
            </w:pPr>
            <w:r>
              <w:t xml:space="preserve">Manome, kad Nutarimo projekto 2.1 p. pavedimas turėtų būti formuluojamas ne Švietimo, mokslo ir sporto ministerijai, o švietimo, mokslo ir sporto </w:t>
            </w:r>
            <w:r w:rsidRPr="00794959">
              <w:rPr>
                <w:i/>
              </w:rPr>
              <w:t>ministrui</w:t>
            </w:r>
          </w:p>
        </w:tc>
        <w:tc>
          <w:tcPr>
            <w:tcW w:w="5954" w:type="dxa"/>
          </w:tcPr>
          <w:p w14:paraId="7130FFA9" w14:textId="2B0AB89D" w:rsidR="0020178D" w:rsidRDefault="0020178D" w:rsidP="00925EBB">
            <w:pPr>
              <w:jc w:val="both"/>
              <w:rPr>
                <w:rFonts w:eastAsia="Arial"/>
                <w:b/>
                <w:lang w:eastAsia="lt-LT"/>
              </w:rPr>
            </w:pPr>
            <w:r>
              <w:rPr>
                <w:rFonts w:eastAsia="Arial"/>
                <w:b/>
                <w:lang w:eastAsia="lt-LT"/>
              </w:rPr>
              <w:t>Atsižvelgta</w:t>
            </w:r>
            <w:r w:rsidR="0028148C">
              <w:rPr>
                <w:rFonts w:eastAsia="Arial"/>
                <w:b/>
                <w:lang w:eastAsia="lt-LT"/>
              </w:rPr>
              <w:t>.</w:t>
            </w:r>
          </w:p>
          <w:p w14:paraId="1E005E83" w14:textId="4BBE3F24" w:rsidR="00555D2D" w:rsidRPr="00555D2D" w:rsidRDefault="00555D2D" w:rsidP="00925EBB">
            <w:pPr>
              <w:jc w:val="both"/>
              <w:rPr>
                <w:rFonts w:eastAsia="Arial"/>
                <w:lang w:eastAsia="lt-LT"/>
              </w:rPr>
            </w:pPr>
            <w:r w:rsidRPr="00555D2D">
              <w:rPr>
                <w:rFonts w:eastAsia="Arial"/>
                <w:lang w:eastAsia="lt-LT"/>
              </w:rPr>
              <w:t xml:space="preserve">Nutarimo nuostata patikslinta skiriant pavedimą </w:t>
            </w:r>
            <w:r w:rsidRPr="00555D2D">
              <w:rPr>
                <w:rFonts w:eastAsia="Arial"/>
                <w:i/>
                <w:lang w:eastAsia="lt-LT"/>
              </w:rPr>
              <w:t>ministrui</w:t>
            </w:r>
          </w:p>
        </w:tc>
      </w:tr>
      <w:tr w:rsidR="0020178D" w:rsidRPr="002051C1" w14:paraId="593CE8EA" w14:textId="77777777" w:rsidTr="00F54784">
        <w:trPr>
          <w:trHeight w:val="699"/>
        </w:trPr>
        <w:tc>
          <w:tcPr>
            <w:tcW w:w="1523" w:type="dxa"/>
          </w:tcPr>
          <w:p w14:paraId="5508CD11" w14:textId="77777777" w:rsidR="0020178D" w:rsidRDefault="0020178D" w:rsidP="00480E52"/>
        </w:tc>
        <w:tc>
          <w:tcPr>
            <w:tcW w:w="6841" w:type="dxa"/>
          </w:tcPr>
          <w:p w14:paraId="4DAFF245" w14:textId="78CB8D02" w:rsidR="0020178D" w:rsidRDefault="0020178D" w:rsidP="006F66A2">
            <w:pPr>
              <w:overflowPunct w:val="0"/>
              <w:autoSpaceDE w:val="0"/>
              <w:autoSpaceDN w:val="0"/>
              <w:adjustRightInd w:val="0"/>
              <w:spacing w:after="120"/>
              <w:jc w:val="both"/>
            </w:pPr>
            <w:r>
              <w:t xml:space="preserve">Pastebėtina, kad Nutarimo projekto antraštėje neatspindėtas Nutarimo projekto 1 p. nurodytas įgaliojimas švietimo, mokslo ir sporto </w:t>
            </w:r>
            <w:r w:rsidRPr="008643FF">
              <w:t xml:space="preserve">ministrui </w:t>
            </w:r>
            <w:r>
              <w:t>sudaryti susitarimus Lietuvos Respublikos vardu.</w:t>
            </w:r>
          </w:p>
        </w:tc>
        <w:tc>
          <w:tcPr>
            <w:tcW w:w="5954" w:type="dxa"/>
          </w:tcPr>
          <w:p w14:paraId="71EE2CE3" w14:textId="004819B2" w:rsidR="0020178D" w:rsidRDefault="00EA3DAB" w:rsidP="00925EBB">
            <w:pPr>
              <w:jc w:val="both"/>
              <w:rPr>
                <w:rFonts w:eastAsia="Arial"/>
                <w:b/>
                <w:lang w:eastAsia="lt-LT"/>
              </w:rPr>
            </w:pPr>
            <w:r w:rsidRPr="00555D2D">
              <w:rPr>
                <w:rFonts w:eastAsia="Arial"/>
                <w:b/>
                <w:lang w:eastAsia="lt-LT"/>
              </w:rPr>
              <w:t>A</w:t>
            </w:r>
            <w:r w:rsidR="0020178D" w:rsidRPr="00555D2D">
              <w:rPr>
                <w:rFonts w:eastAsia="Arial"/>
                <w:b/>
                <w:lang w:eastAsia="lt-LT"/>
              </w:rPr>
              <w:t>tsižvelgta</w:t>
            </w:r>
            <w:r w:rsidR="0028148C">
              <w:rPr>
                <w:rFonts w:eastAsia="Arial"/>
                <w:b/>
                <w:lang w:eastAsia="lt-LT"/>
              </w:rPr>
              <w:t>.</w:t>
            </w:r>
          </w:p>
        </w:tc>
      </w:tr>
      <w:tr w:rsidR="0020178D" w:rsidRPr="002051C1" w14:paraId="6569FBB1" w14:textId="77777777" w:rsidTr="00F54784">
        <w:trPr>
          <w:trHeight w:val="699"/>
        </w:trPr>
        <w:tc>
          <w:tcPr>
            <w:tcW w:w="1523" w:type="dxa"/>
          </w:tcPr>
          <w:p w14:paraId="59293B72" w14:textId="621AB87A" w:rsidR="0020178D" w:rsidRPr="002049E7" w:rsidRDefault="0020178D" w:rsidP="0020178D">
            <w:r w:rsidRPr="002049E7">
              <w:t>Finansų ministerijos 2019-12-</w:t>
            </w:r>
            <w:r w:rsidR="000B7502">
              <w:t>12</w:t>
            </w:r>
            <w:r w:rsidRPr="002049E7">
              <w:t xml:space="preserve"> raštas Nr.</w:t>
            </w:r>
          </w:p>
          <w:p w14:paraId="3CF74037" w14:textId="4210E3B3" w:rsidR="0020178D" w:rsidRDefault="000B7502" w:rsidP="0020178D">
            <w:r w:rsidRPr="000B7502">
              <w:t>6K-1906516</w:t>
            </w:r>
          </w:p>
        </w:tc>
        <w:tc>
          <w:tcPr>
            <w:tcW w:w="6841" w:type="dxa"/>
          </w:tcPr>
          <w:p w14:paraId="74675B57" w14:textId="1BA7E5F2" w:rsidR="0020178D" w:rsidRPr="00555D2D" w:rsidRDefault="00EB04DC" w:rsidP="006F66A2">
            <w:pPr>
              <w:overflowPunct w:val="0"/>
              <w:autoSpaceDE w:val="0"/>
              <w:autoSpaceDN w:val="0"/>
              <w:adjustRightInd w:val="0"/>
              <w:spacing w:after="120"/>
              <w:jc w:val="both"/>
            </w:pPr>
            <w:r w:rsidRPr="00555D2D">
              <w:t>Atsižvelgiant į tai, kad Nutarimo projektas nėra suderintas su Lietuvos mokslo taryba, kuriai siekiama pavesti įgyvendinti valstybės neturtines teises, tai pat užtikrinti turtines teises, prisiimtas pagal Infrastruktūrų susitarimus, Nutarimo projektą siūlome teikti tvirtinimui tik pakartotinai įvertinus atstovavimo Infrastruktūrose teisinio pagrindo pagrįstumą.</w:t>
            </w:r>
          </w:p>
        </w:tc>
        <w:tc>
          <w:tcPr>
            <w:tcW w:w="5954" w:type="dxa"/>
          </w:tcPr>
          <w:p w14:paraId="48344DE5" w14:textId="62B3103D" w:rsidR="0020178D" w:rsidRPr="00555D2D" w:rsidRDefault="00555D2D" w:rsidP="00737238">
            <w:pPr>
              <w:jc w:val="both"/>
              <w:rPr>
                <w:rFonts w:eastAsia="Arial"/>
                <w:b/>
                <w:lang w:eastAsia="lt-LT"/>
              </w:rPr>
            </w:pPr>
            <w:r w:rsidRPr="00555D2D">
              <w:rPr>
                <w:rFonts w:eastAsia="Arial"/>
                <w:b/>
                <w:lang w:eastAsia="lt-LT"/>
              </w:rPr>
              <w:t>Atsižvelgta</w:t>
            </w:r>
            <w:r w:rsidR="0028148C">
              <w:rPr>
                <w:rFonts w:eastAsia="Arial"/>
                <w:b/>
                <w:lang w:eastAsia="lt-LT"/>
              </w:rPr>
              <w:t>.</w:t>
            </w:r>
          </w:p>
          <w:p w14:paraId="3C27FEE2" w14:textId="0FF686E2" w:rsidR="00555D2D" w:rsidRPr="00555D2D" w:rsidRDefault="00555D2D" w:rsidP="00737238">
            <w:pPr>
              <w:jc w:val="both"/>
              <w:rPr>
                <w:rFonts w:eastAsia="Arial"/>
                <w:highlight w:val="yellow"/>
                <w:lang w:eastAsia="lt-LT"/>
              </w:rPr>
            </w:pPr>
            <w:r w:rsidRPr="00555D2D">
              <w:rPr>
                <w:rFonts w:eastAsia="Arial"/>
                <w:lang w:eastAsia="lt-LT"/>
              </w:rPr>
              <w:t>D</w:t>
            </w:r>
            <w:r>
              <w:rPr>
                <w:rFonts w:eastAsia="Arial"/>
                <w:lang w:eastAsia="lt-LT"/>
              </w:rPr>
              <w:t>arbo tvarka suderinti ir priimti Tarybos siūlymai dėl</w:t>
            </w:r>
            <w:r w:rsidR="0028148C">
              <w:rPr>
                <w:rFonts w:eastAsia="Arial"/>
                <w:lang w:eastAsia="lt-LT"/>
              </w:rPr>
              <w:t xml:space="preserve"> jai tinkamų</w:t>
            </w:r>
            <w:r>
              <w:rPr>
                <w:rFonts w:eastAsia="Arial"/>
                <w:lang w:eastAsia="lt-LT"/>
              </w:rPr>
              <w:t xml:space="preserve"> nuostatų nutarimo projekte.</w:t>
            </w:r>
          </w:p>
        </w:tc>
      </w:tr>
      <w:tr w:rsidR="004E14D8" w:rsidRPr="002051C1" w14:paraId="6294BEE8" w14:textId="77777777" w:rsidTr="00F54784">
        <w:trPr>
          <w:trHeight w:val="699"/>
        </w:trPr>
        <w:tc>
          <w:tcPr>
            <w:tcW w:w="1523" w:type="dxa"/>
          </w:tcPr>
          <w:p w14:paraId="6F2D090C" w14:textId="0A063813" w:rsidR="00D85083" w:rsidRDefault="004E14D8" w:rsidP="00D85083">
            <w:r>
              <w:t>Lietuvos Respublikos Vyriausybės kanceliari</w:t>
            </w:r>
            <w:r w:rsidR="00D85083">
              <w:t xml:space="preserve">jos </w:t>
            </w:r>
            <w:r w:rsidR="00D85083" w:rsidRPr="00D85083">
              <w:t>2020-03-04</w:t>
            </w:r>
            <w:r w:rsidR="00D85083">
              <w:t xml:space="preserve"> </w:t>
            </w:r>
          </w:p>
          <w:p w14:paraId="1CD09F60" w14:textId="3511F03B" w:rsidR="004E14D8" w:rsidRPr="002049E7" w:rsidRDefault="00D85083" w:rsidP="00D85083">
            <w:r>
              <w:lastRenderedPageBreak/>
              <w:t xml:space="preserve">raštas Nr. </w:t>
            </w:r>
            <w:r w:rsidRPr="00D85083">
              <w:t>NV-608</w:t>
            </w:r>
            <w:bookmarkStart w:id="0" w:name="_GoBack"/>
            <w:bookmarkEnd w:id="0"/>
          </w:p>
        </w:tc>
        <w:tc>
          <w:tcPr>
            <w:tcW w:w="6841" w:type="dxa"/>
          </w:tcPr>
          <w:p w14:paraId="0A7EEDA9" w14:textId="3B671B10" w:rsidR="004E14D8" w:rsidRPr="00555D2D" w:rsidRDefault="00D85083" w:rsidP="006F66A2">
            <w:pPr>
              <w:overflowPunct w:val="0"/>
              <w:autoSpaceDE w:val="0"/>
              <w:autoSpaceDN w:val="0"/>
              <w:adjustRightInd w:val="0"/>
              <w:spacing w:after="120"/>
              <w:jc w:val="both"/>
            </w:pPr>
            <w:r w:rsidRPr="00BC2394">
              <w:lastRenderedPageBreak/>
              <w:t xml:space="preserve">Kadangi projektu ne tik pritariama Lietuvos Respublikos narystei konsorciumuose ir suteikiami įgaliojimai atlikti veiksmus, susijusius su narystės patvirtinimu, bet ir sprendžiama dėl valstybės turto investavimo, turtinių ir neturtinių teisių įgyvendinimo, siūlome projekto preambulėje kaip teisinį pagrindą nurodyti ir atitinkamas </w:t>
            </w:r>
            <w:r w:rsidRPr="00BC2394">
              <w:lastRenderedPageBreak/>
              <w:t>Lietuvos Respublikos valstybės ir savivaldybių turto valdymo, naudojimo ir disponavimo juo įstatymo nuostatas</w:t>
            </w:r>
          </w:p>
        </w:tc>
        <w:tc>
          <w:tcPr>
            <w:tcW w:w="5954" w:type="dxa"/>
          </w:tcPr>
          <w:p w14:paraId="7FA917B9" w14:textId="77777777" w:rsidR="00D85083" w:rsidRDefault="00D85083" w:rsidP="00D85083">
            <w:pPr>
              <w:jc w:val="both"/>
              <w:rPr>
                <w:rFonts w:eastAsia="Arial"/>
                <w:b/>
                <w:lang w:eastAsia="lt-LT"/>
              </w:rPr>
            </w:pPr>
            <w:r>
              <w:rPr>
                <w:rFonts w:eastAsia="Arial"/>
                <w:b/>
                <w:lang w:eastAsia="lt-LT"/>
              </w:rPr>
              <w:lastRenderedPageBreak/>
              <w:t>Neatsižvelgta</w:t>
            </w:r>
          </w:p>
          <w:p w14:paraId="42702052" w14:textId="15001144" w:rsidR="00146AF9" w:rsidRPr="00555D2D" w:rsidRDefault="00D85083" w:rsidP="00D85083">
            <w:pPr>
              <w:jc w:val="both"/>
              <w:rPr>
                <w:rFonts w:eastAsia="Arial"/>
                <w:b/>
                <w:lang w:eastAsia="lt-LT"/>
              </w:rPr>
            </w:pPr>
            <w:r>
              <w:rPr>
                <w:rFonts w:eastAsia="Arial"/>
                <w:lang w:eastAsia="lt-LT"/>
              </w:rPr>
              <w:t xml:space="preserve">Pasiūlymo netaikymas su LRVK suderintas darbo tvarka ir pagrįstas </w:t>
            </w:r>
            <w:proofErr w:type="spellStart"/>
            <w:r>
              <w:rPr>
                <w:rFonts w:eastAsia="Arial"/>
                <w:lang w:eastAsia="lt-LT"/>
              </w:rPr>
              <w:t>tuom</w:t>
            </w:r>
            <w:proofErr w:type="spellEnd"/>
            <w:r>
              <w:rPr>
                <w:rFonts w:eastAsia="Arial"/>
                <w:lang w:eastAsia="lt-LT"/>
              </w:rPr>
              <w:t xml:space="preserve">, kad narystės mokesčio mokėjimas nėra laikytinas investavimu, kaip jis suprantamas pagal </w:t>
            </w:r>
            <w:r>
              <w:rPr>
                <w:rFonts w:eastAsia="Arial"/>
                <w:lang w:eastAsia="lt-LT"/>
              </w:rPr>
              <w:lastRenderedPageBreak/>
              <w:t>Valstybės ir savivaldybių turto valdymo, naudojimo ir disponavimo juo įstatymą.</w:t>
            </w:r>
          </w:p>
        </w:tc>
      </w:tr>
    </w:tbl>
    <w:p w14:paraId="51B4B328" w14:textId="1D91CA78" w:rsidR="00480E52" w:rsidRPr="00A744E8" w:rsidRDefault="004B7E44" w:rsidP="004B7E44">
      <w:pPr>
        <w:jc w:val="center"/>
        <w:rPr>
          <w:b/>
          <w:caps/>
        </w:rPr>
      </w:pPr>
      <w:r>
        <w:rPr>
          <w:b/>
          <w:caps/>
        </w:rPr>
        <w:t>________________</w:t>
      </w:r>
    </w:p>
    <w:sectPr w:rsidR="00480E52" w:rsidRPr="00A744E8" w:rsidSect="002F1ABC">
      <w:headerReference w:type="even" r:id="rId8"/>
      <w:headerReference w:type="default" r:id="rId9"/>
      <w:pgSz w:w="16838" w:h="11906" w:orient="landscape"/>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E2DA7" w14:textId="77777777" w:rsidR="000A403D" w:rsidRDefault="000A403D">
      <w:r>
        <w:separator/>
      </w:r>
    </w:p>
  </w:endnote>
  <w:endnote w:type="continuationSeparator" w:id="0">
    <w:p w14:paraId="4DF96555" w14:textId="77777777" w:rsidR="000A403D" w:rsidRDefault="000A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DCD18" w14:textId="77777777" w:rsidR="000A403D" w:rsidRDefault="000A403D">
      <w:r>
        <w:separator/>
      </w:r>
    </w:p>
  </w:footnote>
  <w:footnote w:type="continuationSeparator" w:id="0">
    <w:p w14:paraId="53F3B018" w14:textId="77777777" w:rsidR="000A403D" w:rsidRDefault="000A4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EAA5" w14:textId="77777777"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3E6D64" w14:textId="77777777" w:rsidR="00480E52" w:rsidRDefault="00480E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917279"/>
      <w:docPartObj>
        <w:docPartGallery w:val="Page Numbers (Top of Page)"/>
        <w:docPartUnique/>
      </w:docPartObj>
    </w:sdtPr>
    <w:sdtEndPr/>
    <w:sdtContent>
      <w:p w14:paraId="4983DBEA" w14:textId="5D9F64EE" w:rsidR="00980195" w:rsidRDefault="00980195">
        <w:pPr>
          <w:pStyle w:val="Antrats"/>
          <w:jc w:val="center"/>
        </w:pPr>
        <w:r>
          <w:fldChar w:fldCharType="begin"/>
        </w:r>
        <w:r>
          <w:instrText>PAGE   \* MERGEFORMAT</w:instrText>
        </w:r>
        <w:r>
          <w:fldChar w:fldCharType="separate"/>
        </w:r>
        <w:r w:rsidR="00D85083">
          <w:rPr>
            <w:noProof/>
          </w:rPr>
          <w:t>5</w:t>
        </w:r>
        <w:r>
          <w:fldChar w:fldCharType="end"/>
        </w:r>
      </w:p>
    </w:sdtContent>
  </w:sdt>
  <w:p w14:paraId="62986B16" w14:textId="77777777" w:rsidR="00480E52" w:rsidRDefault="00480E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16" w15:restartNumberingAfterBreak="0">
    <w:nsid w:val="7D6B4389"/>
    <w:multiLevelType w:val="hybridMultilevel"/>
    <w:tmpl w:val="FD7ABD50"/>
    <w:lvl w:ilvl="0" w:tplc="411C5B8A">
      <w:start w:val="1"/>
      <w:numFmt w:val="decimal"/>
      <w:lvlText w:val="%1."/>
      <w:lvlJc w:val="left"/>
      <w:pPr>
        <w:ind w:left="1353" w:hanging="360"/>
      </w:pPr>
      <w:rPr>
        <w:rFonts w:ascii="Times New Roman" w:eastAsia="Times New Roma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4"/>
  </w:num>
  <w:num w:numId="2">
    <w:abstractNumId w:val="0"/>
  </w:num>
  <w:num w:numId="3">
    <w:abstractNumId w:val="1"/>
  </w:num>
  <w:num w:numId="4">
    <w:abstractNumId w:val="9"/>
  </w:num>
  <w:num w:numId="5">
    <w:abstractNumId w:val="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3"/>
  </w:num>
  <w:num w:numId="11">
    <w:abstractNumId w:val="12"/>
  </w:num>
  <w:num w:numId="12">
    <w:abstractNumId w:val="14"/>
  </w:num>
  <w:num w:numId="13">
    <w:abstractNumId w:val="7"/>
  </w:num>
  <w:num w:numId="14">
    <w:abstractNumId w:val="2"/>
  </w:num>
  <w:num w:numId="15">
    <w:abstractNumId w:val="3"/>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02C15"/>
    <w:rsid w:val="00011887"/>
    <w:rsid w:val="000133CF"/>
    <w:rsid w:val="00026CFB"/>
    <w:rsid w:val="00027373"/>
    <w:rsid w:val="000366D9"/>
    <w:rsid w:val="00044534"/>
    <w:rsid w:val="00045FCA"/>
    <w:rsid w:val="000461C9"/>
    <w:rsid w:val="00046668"/>
    <w:rsid w:val="00046E35"/>
    <w:rsid w:val="0004771B"/>
    <w:rsid w:val="00051CA6"/>
    <w:rsid w:val="00060604"/>
    <w:rsid w:val="000640C5"/>
    <w:rsid w:val="0006704C"/>
    <w:rsid w:val="000678BF"/>
    <w:rsid w:val="0007088F"/>
    <w:rsid w:val="00070AC2"/>
    <w:rsid w:val="0007123E"/>
    <w:rsid w:val="00076112"/>
    <w:rsid w:val="00081D0D"/>
    <w:rsid w:val="000855A3"/>
    <w:rsid w:val="0009222A"/>
    <w:rsid w:val="0009500D"/>
    <w:rsid w:val="000A0367"/>
    <w:rsid w:val="000A2A07"/>
    <w:rsid w:val="000A403D"/>
    <w:rsid w:val="000B7502"/>
    <w:rsid w:val="000C5E56"/>
    <w:rsid w:val="000E7DE1"/>
    <w:rsid w:val="000F4A41"/>
    <w:rsid w:val="00102138"/>
    <w:rsid w:val="00106607"/>
    <w:rsid w:val="001239A5"/>
    <w:rsid w:val="001272EF"/>
    <w:rsid w:val="001315D9"/>
    <w:rsid w:val="00143060"/>
    <w:rsid w:val="00146AF9"/>
    <w:rsid w:val="001500DB"/>
    <w:rsid w:val="001637FA"/>
    <w:rsid w:val="00163902"/>
    <w:rsid w:val="00174012"/>
    <w:rsid w:val="0018136C"/>
    <w:rsid w:val="00186DB0"/>
    <w:rsid w:val="0018763D"/>
    <w:rsid w:val="0019191F"/>
    <w:rsid w:val="0019195F"/>
    <w:rsid w:val="00194574"/>
    <w:rsid w:val="001950D7"/>
    <w:rsid w:val="00196787"/>
    <w:rsid w:val="00196923"/>
    <w:rsid w:val="001A1508"/>
    <w:rsid w:val="001B1B44"/>
    <w:rsid w:val="001B3C8E"/>
    <w:rsid w:val="001B3E80"/>
    <w:rsid w:val="001B681D"/>
    <w:rsid w:val="001C3DCF"/>
    <w:rsid w:val="001C3F0D"/>
    <w:rsid w:val="001C54C1"/>
    <w:rsid w:val="001C54DB"/>
    <w:rsid w:val="001D482A"/>
    <w:rsid w:val="001D527B"/>
    <w:rsid w:val="001E1B4B"/>
    <w:rsid w:val="001E52B6"/>
    <w:rsid w:val="001E693D"/>
    <w:rsid w:val="001E7403"/>
    <w:rsid w:val="001F488A"/>
    <w:rsid w:val="001F5637"/>
    <w:rsid w:val="001F5C9A"/>
    <w:rsid w:val="001F77D9"/>
    <w:rsid w:val="00201569"/>
    <w:rsid w:val="0020178D"/>
    <w:rsid w:val="00203E4F"/>
    <w:rsid w:val="00203E93"/>
    <w:rsid w:val="002049E7"/>
    <w:rsid w:val="002051C1"/>
    <w:rsid w:val="002063BD"/>
    <w:rsid w:val="00211825"/>
    <w:rsid w:val="0021203B"/>
    <w:rsid w:val="00213D3F"/>
    <w:rsid w:val="0021773A"/>
    <w:rsid w:val="002206CD"/>
    <w:rsid w:val="002214F5"/>
    <w:rsid w:val="00221656"/>
    <w:rsid w:val="00222088"/>
    <w:rsid w:val="002245D8"/>
    <w:rsid w:val="00234F02"/>
    <w:rsid w:val="00241E14"/>
    <w:rsid w:val="00246498"/>
    <w:rsid w:val="002475DC"/>
    <w:rsid w:val="00247DB8"/>
    <w:rsid w:val="00251E0E"/>
    <w:rsid w:val="00255ED9"/>
    <w:rsid w:val="00261FD5"/>
    <w:rsid w:val="00262F18"/>
    <w:rsid w:val="00263B88"/>
    <w:rsid w:val="0026670E"/>
    <w:rsid w:val="00273C50"/>
    <w:rsid w:val="00275C6D"/>
    <w:rsid w:val="00276450"/>
    <w:rsid w:val="002770B6"/>
    <w:rsid w:val="0028148C"/>
    <w:rsid w:val="0028797F"/>
    <w:rsid w:val="00291E01"/>
    <w:rsid w:val="002A08B8"/>
    <w:rsid w:val="002A0A62"/>
    <w:rsid w:val="002A51DC"/>
    <w:rsid w:val="002B0962"/>
    <w:rsid w:val="002B2D4B"/>
    <w:rsid w:val="002B64E6"/>
    <w:rsid w:val="002B68A9"/>
    <w:rsid w:val="002B6941"/>
    <w:rsid w:val="002C5B63"/>
    <w:rsid w:val="002D0440"/>
    <w:rsid w:val="002D0706"/>
    <w:rsid w:val="002D0C9C"/>
    <w:rsid w:val="002D2671"/>
    <w:rsid w:val="002D613D"/>
    <w:rsid w:val="002D6EAB"/>
    <w:rsid w:val="002E1912"/>
    <w:rsid w:val="002E3B6A"/>
    <w:rsid w:val="002F0DB5"/>
    <w:rsid w:val="002F1ABC"/>
    <w:rsid w:val="002F38EE"/>
    <w:rsid w:val="002F671B"/>
    <w:rsid w:val="00306004"/>
    <w:rsid w:val="003148AB"/>
    <w:rsid w:val="00314F50"/>
    <w:rsid w:val="00316163"/>
    <w:rsid w:val="00316F8F"/>
    <w:rsid w:val="00325422"/>
    <w:rsid w:val="00326DAE"/>
    <w:rsid w:val="00332AE9"/>
    <w:rsid w:val="00335F67"/>
    <w:rsid w:val="00336075"/>
    <w:rsid w:val="00336D7E"/>
    <w:rsid w:val="0034250B"/>
    <w:rsid w:val="003427A0"/>
    <w:rsid w:val="00342901"/>
    <w:rsid w:val="003519AC"/>
    <w:rsid w:val="00354524"/>
    <w:rsid w:val="0035658E"/>
    <w:rsid w:val="00357F0A"/>
    <w:rsid w:val="0036318F"/>
    <w:rsid w:val="003641CB"/>
    <w:rsid w:val="00367C29"/>
    <w:rsid w:val="0037287F"/>
    <w:rsid w:val="0037537B"/>
    <w:rsid w:val="00383BA8"/>
    <w:rsid w:val="00384967"/>
    <w:rsid w:val="003978AF"/>
    <w:rsid w:val="003A1394"/>
    <w:rsid w:val="003A1F4E"/>
    <w:rsid w:val="003A3A11"/>
    <w:rsid w:val="003A6D97"/>
    <w:rsid w:val="003B5734"/>
    <w:rsid w:val="003D55B0"/>
    <w:rsid w:val="003E1F88"/>
    <w:rsid w:val="003E3810"/>
    <w:rsid w:val="003F014E"/>
    <w:rsid w:val="003F19A0"/>
    <w:rsid w:val="003F3E63"/>
    <w:rsid w:val="003F6489"/>
    <w:rsid w:val="003F7C41"/>
    <w:rsid w:val="00401A97"/>
    <w:rsid w:val="00404265"/>
    <w:rsid w:val="00407FB6"/>
    <w:rsid w:val="00412DFC"/>
    <w:rsid w:val="00413884"/>
    <w:rsid w:val="00416046"/>
    <w:rsid w:val="00423F5D"/>
    <w:rsid w:val="004248B9"/>
    <w:rsid w:val="00426E69"/>
    <w:rsid w:val="00427E80"/>
    <w:rsid w:val="0043363C"/>
    <w:rsid w:val="00443DCF"/>
    <w:rsid w:val="00445686"/>
    <w:rsid w:val="00454158"/>
    <w:rsid w:val="00454553"/>
    <w:rsid w:val="00456C16"/>
    <w:rsid w:val="00457DF3"/>
    <w:rsid w:val="00467B6A"/>
    <w:rsid w:val="00471E50"/>
    <w:rsid w:val="00480E52"/>
    <w:rsid w:val="004863A8"/>
    <w:rsid w:val="00491197"/>
    <w:rsid w:val="004A1141"/>
    <w:rsid w:val="004A17FC"/>
    <w:rsid w:val="004A1CC1"/>
    <w:rsid w:val="004A2FB7"/>
    <w:rsid w:val="004A45CF"/>
    <w:rsid w:val="004B26C1"/>
    <w:rsid w:val="004B30DE"/>
    <w:rsid w:val="004B4291"/>
    <w:rsid w:val="004B4FD9"/>
    <w:rsid w:val="004B5349"/>
    <w:rsid w:val="004B7E44"/>
    <w:rsid w:val="004C2B23"/>
    <w:rsid w:val="004E14D8"/>
    <w:rsid w:val="004E79D0"/>
    <w:rsid w:val="004E7A10"/>
    <w:rsid w:val="004F073B"/>
    <w:rsid w:val="004F3F33"/>
    <w:rsid w:val="004F44AF"/>
    <w:rsid w:val="00500FFF"/>
    <w:rsid w:val="00502860"/>
    <w:rsid w:val="00510518"/>
    <w:rsid w:val="00512758"/>
    <w:rsid w:val="00513870"/>
    <w:rsid w:val="00515872"/>
    <w:rsid w:val="0051652E"/>
    <w:rsid w:val="00516A6E"/>
    <w:rsid w:val="00527E63"/>
    <w:rsid w:val="005312CF"/>
    <w:rsid w:val="005318A6"/>
    <w:rsid w:val="00532873"/>
    <w:rsid w:val="00537833"/>
    <w:rsid w:val="0054462A"/>
    <w:rsid w:val="00546815"/>
    <w:rsid w:val="00555D2D"/>
    <w:rsid w:val="00555E5F"/>
    <w:rsid w:val="005647C3"/>
    <w:rsid w:val="005747B1"/>
    <w:rsid w:val="005766E7"/>
    <w:rsid w:val="0058547E"/>
    <w:rsid w:val="005922FB"/>
    <w:rsid w:val="0059234B"/>
    <w:rsid w:val="005975A0"/>
    <w:rsid w:val="0059766C"/>
    <w:rsid w:val="005A2F57"/>
    <w:rsid w:val="005A3157"/>
    <w:rsid w:val="005A5AA0"/>
    <w:rsid w:val="005B3149"/>
    <w:rsid w:val="005B31F5"/>
    <w:rsid w:val="005B7610"/>
    <w:rsid w:val="005B7DEC"/>
    <w:rsid w:val="005C0823"/>
    <w:rsid w:val="005C2A7E"/>
    <w:rsid w:val="005C72AC"/>
    <w:rsid w:val="005D0EDA"/>
    <w:rsid w:val="005D217E"/>
    <w:rsid w:val="005D49AF"/>
    <w:rsid w:val="005D79B4"/>
    <w:rsid w:val="005E12BC"/>
    <w:rsid w:val="005F4041"/>
    <w:rsid w:val="005F71A2"/>
    <w:rsid w:val="0060133E"/>
    <w:rsid w:val="00603807"/>
    <w:rsid w:val="00606976"/>
    <w:rsid w:val="00616B07"/>
    <w:rsid w:val="0061788D"/>
    <w:rsid w:val="00621825"/>
    <w:rsid w:val="00621ADD"/>
    <w:rsid w:val="00624563"/>
    <w:rsid w:val="00625D6F"/>
    <w:rsid w:val="00632D74"/>
    <w:rsid w:val="006331D6"/>
    <w:rsid w:val="00633836"/>
    <w:rsid w:val="006350CC"/>
    <w:rsid w:val="0063526A"/>
    <w:rsid w:val="00640EFD"/>
    <w:rsid w:val="00650A95"/>
    <w:rsid w:val="0065394B"/>
    <w:rsid w:val="0066122B"/>
    <w:rsid w:val="00671E6F"/>
    <w:rsid w:val="0068786C"/>
    <w:rsid w:val="0068793C"/>
    <w:rsid w:val="006908E8"/>
    <w:rsid w:val="00696531"/>
    <w:rsid w:val="006977D0"/>
    <w:rsid w:val="006A035E"/>
    <w:rsid w:val="006A6424"/>
    <w:rsid w:val="006B0710"/>
    <w:rsid w:val="006B22C5"/>
    <w:rsid w:val="006B35E8"/>
    <w:rsid w:val="006B58A1"/>
    <w:rsid w:val="006C1D4C"/>
    <w:rsid w:val="006C30CA"/>
    <w:rsid w:val="006C4975"/>
    <w:rsid w:val="006D17EB"/>
    <w:rsid w:val="006D2D98"/>
    <w:rsid w:val="006D34A3"/>
    <w:rsid w:val="006D4EBD"/>
    <w:rsid w:val="006D5365"/>
    <w:rsid w:val="006D5AE4"/>
    <w:rsid w:val="006D6B37"/>
    <w:rsid w:val="006D7109"/>
    <w:rsid w:val="006E5506"/>
    <w:rsid w:val="006F08CA"/>
    <w:rsid w:val="006F40EA"/>
    <w:rsid w:val="006F419A"/>
    <w:rsid w:val="006F66A2"/>
    <w:rsid w:val="00704262"/>
    <w:rsid w:val="007069F3"/>
    <w:rsid w:val="007117B7"/>
    <w:rsid w:val="00721013"/>
    <w:rsid w:val="0072511C"/>
    <w:rsid w:val="00726234"/>
    <w:rsid w:val="00726E66"/>
    <w:rsid w:val="00730237"/>
    <w:rsid w:val="00730E0E"/>
    <w:rsid w:val="00733E8A"/>
    <w:rsid w:val="00737238"/>
    <w:rsid w:val="00740A97"/>
    <w:rsid w:val="00742F90"/>
    <w:rsid w:val="00744693"/>
    <w:rsid w:val="00746113"/>
    <w:rsid w:val="00747A16"/>
    <w:rsid w:val="00751D5B"/>
    <w:rsid w:val="00752CD6"/>
    <w:rsid w:val="00763C4C"/>
    <w:rsid w:val="0076680D"/>
    <w:rsid w:val="00767A31"/>
    <w:rsid w:val="00770A12"/>
    <w:rsid w:val="007722BA"/>
    <w:rsid w:val="0078284E"/>
    <w:rsid w:val="007853B3"/>
    <w:rsid w:val="007876F0"/>
    <w:rsid w:val="00793565"/>
    <w:rsid w:val="00793DF2"/>
    <w:rsid w:val="00794959"/>
    <w:rsid w:val="007A06AF"/>
    <w:rsid w:val="007A2844"/>
    <w:rsid w:val="007A7252"/>
    <w:rsid w:val="007A7E00"/>
    <w:rsid w:val="007B01D3"/>
    <w:rsid w:val="007B7660"/>
    <w:rsid w:val="007B7787"/>
    <w:rsid w:val="007C03A9"/>
    <w:rsid w:val="007C0CC5"/>
    <w:rsid w:val="007C2406"/>
    <w:rsid w:val="007D1E60"/>
    <w:rsid w:val="007D21B2"/>
    <w:rsid w:val="007D58C0"/>
    <w:rsid w:val="007E196C"/>
    <w:rsid w:val="007E1BAB"/>
    <w:rsid w:val="007E342A"/>
    <w:rsid w:val="007E4DC3"/>
    <w:rsid w:val="007F0778"/>
    <w:rsid w:val="007F38AD"/>
    <w:rsid w:val="007F6294"/>
    <w:rsid w:val="0080146A"/>
    <w:rsid w:val="0080419B"/>
    <w:rsid w:val="00807C44"/>
    <w:rsid w:val="0081286D"/>
    <w:rsid w:val="008138C8"/>
    <w:rsid w:val="0081597A"/>
    <w:rsid w:val="00816036"/>
    <w:rsid w:val="00821711"/>
    <w:rsid w:val="00825722"/>
    <w:rsid w:val="00827C4A"/>
    <w:rsid w:val="00830105"/>
    <w:rsid w:val="00830A0F"/>
    <w:rsid w:val="0083101C"/>
    <w:rsid w:val="008312A2"/>
    <w:rsid w:val="00833122"/>
    <w:rsid w:val="008372B4"/>
    <w:rsid w:val="00845923"/>
    <w:rsid w:val="008479F6"/>
    <w:rsid w:val="00852C18"/>
    <w:rsid w:val="00856375"/>
    <w:rsid w:val="00862A41"/>
    <w:rsid w:val="00870DE1"/>
    <w:rsid w:val="00871D7D"/>
    <w:rsid w:val="00872796"/>
    <w:rsid w:val="00873EEB"/>
    <w:rsid w:val="00874025"/>
    <w:rsid w:val="0087447E"/>
    <w:rsid w:val="008815B1"/>
    <w:rsid w:val="00883E0F"/>
    <w:rsid w:val="008860FF"/>
    <w:rsid w:val="00890571"/>
    <w:rsid w:val="008910A0"/>
    <w:rsid w:val="008925A6"/>
    <w:rsid w:val="008A02D7"/>
    <w:rsid w:val="008A04C4"/>
    <w:rsid w:val="008A406D"/>
    <w:rsid w:val="008B210E"/>
    <w:rsid w:val="008B2164"/>
    <w:rsid w:val="008B296A"/>
    <w:rsid w:val="008D3466"/>
    <w:rsid w:val="008E02E6"/>
    <w:rsid w:val="008E44FF"/>
    <w:rsid w:val="008F1BF9"/>
    <w:rsid w:val="008F2CCA"/>
    <w:rsid w:val="008F4718"/>
    <w:rsid w:val="008F4C59"/>
    <w:rsid w:val="00903324"/>
    <w:rsid w:val="009129A8"/>
    <w:rsid w:val="0092307A"/>
    <w:rsid w:val="0092412C"/>
    <w:rsid w:val="00925EBB"/>
    <w:rsid w:val="00933374"/>
    <w:rsid w:val="00937433"/>
    <w:rsid w:val="00944DAE"/>
    <w:rsid w:val="00945C99"/>
    <w:rsid w:val="009544D7"/>
    <w:rsid w:val="00955798"/>
    <w:rsid w:val="00957EBC"/>
    <w:rsid w:val="00960E40"/>
    <w:rsid w:val="00973D6F"/>
    <w:rsid w:val="00977FBB"/>
    <w:rsid w:val="00980195"/>
    <w:rsid w:val="00980B0F"/>
    <w:rsid w:val="00980D3E"/>
    <w:rsid w:val="009825E7"/>
    <w:rsid w:val="00986008"/>
    <w:rsid w:val="009904B7"/>
    <w:rsid w:val="00991544"/>
    <w:rsid w:val="00994A6C"/>
    <w:rsid w:val="0099643A"/>
    <w:rsid w:val="009A22A8"/>
    <w:rsid w:val="009A237D"/>
    <w:rsid w:val="009A79C3"/>
    <w:rsid w:val="009B080F"/>
    <w:rsid w:val="009B7EFC"/>
    <w:rsid w:val="009C4D2B"/>
    <w:rsid w:val="009C505D"/>
    <w:rsid w:val="009C68FE"/>
    <w:rsid w:val="009D1941"/>
    <w:rsid w:val="009D1B58"/>
    <w:rsid w:val="009D4AFD"/>
    <w:rsid w:val="009D4B43"/>
    <w:rsid w:val="009E0BF2"/>
    <w:rsid w:val="009E14BE"/>
    <w:rsid w:val="009E1913"/>
    <w:rsid w:val="009E1A69"/>
    <w:rsid w:val="009E7640"/>
    <w:rsid w:val="009F21CB"/>
    <w:rsid w:val="009F65CA"/>
    <w:rsid w:val="00A17923"/>
    <w:rsid w:val="00A17B98"/>
    <w:rsid w:val="00A17E14"/>
    <w:rsid w:val="00A239BA"/>
    <w:rsid w:val="00A24ED7"/>
    <w:rsid w:val="00A27383"/>
    <w:rsid w:val="00A277A5"/>
    <w:rsid w:val="00A36E3A"/>
    <w:rsid w:val="00A47A68"/>
    <w:rsid w:val="00A51032"/>
    <w:rsid w:val="00A563BF"/>
    <w:rsid w:val="00A569FE"/>
    <w:rsid w:val="00A64FEB"/>
    <w:rsid w:val="00A650F5"/>
    <w:rsid w:val="00A7207D"/>
    <w:rsid w:val="00A744E8"/>
    <w:rsid w:val="00A7616E"/>
    <w:rsid w:val="00A856AB"/>
    <w:rsid w:val="00A938FA"/>
    <w:rsid w:val="00A93D35"/>
    <w:rsid w:val="00A96347"/>
    <w:rsid w:val="00AA0468"/>
    <w:rsid w:val="00AA07D7"/>
    <w:rsid w:val="00AA3485"/>
    <w:rsid w:val="00AA41AC"/>
    <w:rsid w:val="00AA615B"/>
    <w:rsid w:val="00AA731C"/>
    <w:rsid w:val="00AA78F3"/>
    <w:rsid w:val="00AB28F7"/>
    <w:rsid w:val="00AD1522"/>
    <w:rsid w:val="00AD322C"/>
    <w:rsid w:val="00AD6586"/>
    <w:rsid w:val="00AD7478"/>
    <w:rsid w:val="00AE43F1"/>
    <w:rsid w:val="00AF37F3"/>
    <w:rsid w:val="00AF432A"/>
    <w:rsid w:val="00AF450E"/>
    <w:rsid w:val="00AF7D6D"/>
    <w:rsid w:val="00B002CE"/>
    <w:rsid w:val="00B00B83"/>
    <w:rsid w:val="00B012C1"/>
    <w:rsid w:val="00B01654"/>
    <w:rsid w:val="00B04349"/>
    <w:rsid w:val="00B072DD"/>
    <w:rsid w:val="00B10669"/>
    <w:rsid w:val="00B12EAB"/>
    <w:rsid w:val="00B13885"/>
    <w:rsid w:val="00B13F5D"/>
    <w:rsid w:val="00B22A62"/>
    <w:rsid w:val="00B34265"/>
    <w:rsid w:val="00B445A6"/>
    <w:rsid w:val="00B446A2"/>
    <w:rsid w:val="00B515AB"/>
    <w:rsid w:val="00B52168"/>
    <w:rsid w:val="00B523C8"/>
    <w:rsid w:val="00B56A38"/>
    <w:rsid w:val="00B61ECD"/>
    <w:rsid w:val="00B64752"/>
    <w:rsid w:val="00B66283"/>
    <w:rsid w:val="00B66EAC"/>
    <w:rsid w:val="00B71266"/>
    <w:rsid w:val="00B7266F"/>
    <w:rsid w:val="00B739CA"/>
    <w:rsid w:val="00B81D38"/>
    <w:rsid w:val="00B8767E"/>
    <w:rsid w:val="00B87B81"/>
    <w:rsid w:val="00B87E96"/>
    <w:rsid w:val="00B97F29"/>
    <w:rsid w:val="00BA0A12"/>
    <w:rsid w:val="00BA217C"/>
    <w:rsid w:val="00BA2AE4"/>
    <w:rsid w:val="00BA38A6"/>
    <w:rsid w:val="00BA3FCD"/>
    <w:rsid w:val="00BB396F"/>
    <w:rsid w:val="00BB42F3"/>
    <w:rsid w:val="00BC2394"/>
    <w:rsid w:val="00BC23E4"/>
    <w:rsid w:val="00BC2D24"/>
    <w:rsid w:val="00BC5C4D"/>
    <w:rsid w:val="00BD0543"/>
    <w:rsid w:val="00BD1D53"/>
    <w:rsid w:val="00BD7A8E"/>
    <w:rsid w:val="00BE542A"/>
    <w:rsid w:val="00BF268F"/>
    <w:rsid w:val="00BF5116"/>
    <w:rsid w:val="00C00199"/>
    <w:rsid w:val="00C013BB"/>
    <w:rsid w:val="00C065FD"/>
    <w:rsid w:val="00C2005C"/>
    <w:rsid w:val="00C22547"/>
    <w:rsid w:val="00C25E9A"/>
    <w:rsid w:val="00C27D57"/>
    <w:rsid w:val="00C508D3"/>
    <w:rsid w:val="00C516E3"/>
    <w:rsid w:val="00C518EB"/>
    <w:rsid w:val="00C57DC0"/>
    <w:rsid w:val="00C6543D"/>
    <w:rsid w:val="00C65AC7"/>
    <w:rsid w:val="00C73ACC"/>
    <w:rsid w:val="00C753FA"/>
    <w:rsid w:val="00C75BD1"/>
    <w:rsid w:val="00C75E3C"/>
    <w:rsid w:val="00C80562"/>
    <w:rsid w:val="00C84CE6"/>
    <w:rsid w:val="00CA2522"/>
    <w:rsid w:val="00CA4FFB"/>
    <w:rsid w:val="00CB2D43"/>
    <w:rsid w:val="00CB30A7"/>
    <w:rsid w:val="00CB3721"/>
    <w:rsid w:val="00CB67F2"/>
    <w:rsid w:val="00CC13F8"/>
    <w:rsid w:val="00CC1D87"/>
    <w:rsid w:val="00CC54E2"/>
    <w:rsid w:val="00CD6653"/>
    <w:rsid w:val="00CE48C6"/>
    <w:rsid w:val="00CE575C"/>
    <w:rsid w:val="00CE6FC3"/>
    <w:rsid w:val="00CF10E0"/>
    <w:rsid w:val="00CF1394"/>
    <w:rsid w:val="00CF3842"/>
    <w:rsid w:val="00CF3CB5"/>
    <w:rsid w:val="00D002BF"/>
    <w:rsid w:val="00D0174F"/>
    <w:rsid w:val="00D11461"/>
    <w:rsid w:val="00D15443"/>
    <w:rsid w:val="00D16149"/>
    <w:rsid w:val="00D16E78"/>
    <w:rsid w:val="00D173BC"/>
    <w:rsid w:val="00D24377"/>
    <w:rsid w:val="00D25DE7"/>
    <w:rsid w:val="00D25FCC"/>
    <w:rsid w:val="00D33D81"/>
    <w:rsid w:val="00D355A6"/>
    <w:rsid w:val="00D35993"/>
    <w:rsid w:val="00D4428B"/>
    <w:rsid w:val="00D515C4"/>
    <w:rsid w:val="00D518B9"/>
    <w:rsid w:val="00D5271D"/>
    <w:rsid w:val="00D5455E"/>
    <w:rsid w:val="00D55CDB"/>
    <w:rsid w:val="00D613CF"/>
    <w:rsid w:val="00D61B56"/>
    <w:rsid w:val="00D637F0"/>
    <w:rsid w:val="00D67134"/>
    <w:rsid w:val="00D67883"/>
    <w:rsid w:val="00D7171C"/>
    <w:rsid w:val="00D74236"/>
    <w:rsid w:val="00D75055"/>
    <w:rsid w:val="00D758F7"/>
    <w:rsid w:val="00D75EB2"/>
    <w:rsid w:val="00D85083"/>
    <w:rsid w:val="00D8649A"/>
    <w:rsid w:val="00D90DE9"/>
    <w:rsid w:val="00D91202"/>
    <w:rsid w:val="00D92805"/>
    <w:rsid w:val="00D92A82"/>
    <w:rsid w:val="00D92C4E"/>
    <w:rsid w:val="00D96114"/>
    <w:rsid w:val="00DA259E"/>
    <w:rsid w:val="00DA68A2"/>
    <w:rsid w:val="00DB13CE"/>
    <w:rsid w:val="00DB15CB"/>
    <w:rsid w:val="00DB1FBF"/>
    <w:rsid w:val="00DB71C8"/>
    <w:rsid w:val="00DC12BF"/>
    <w:rsid w:val="00DD10B0"/>
    <w:rsid w:val="00DD3528"/>
    <w:rsid w:val="00DE0D13"/>
    <w:rsid w:val="00DE462F"/>
    <w:rsid w:val="00DE5A67"/>
    <w:rsid w:val="00DE65F0"/>
    <w:rsid w:val="00DE68B9"/>
    <w:rsid w:val="00DF0773"/>
    <w:rsid w:val="00DF1D6A"/>
    <w:rsid w:val="00DF4314"/>
    <w:rsid w:val="00DF462E"/>
    <w:rsid w:val="00DF4B9B"/>
    <w:rsid w:val="00DF70DC"/>
    <w:rsid w:val="00E02320"/>
    <w:rsid w:val="00E03738"/>
    <w:rsid w:val="00E10DD0"/>
    <w:rsid w:val="00E11A12"/>
    <w:rsid w:val="00E20E44"/>
    <w:rsid w:val="00E22C0E"/>
    <w:rsid w:val="00E24F98"/>
    <w:rsid w:val="00E2790C"/>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91A7F"/>
    <w:rsid w:val="00E93EFD"/>
    <w:rsid w:val="00EA2898"/>
    <w:rsid w:val="00EA3BE5"/>
    <w:rsid w:val="00EA3DAB"/>
    <w:rsid w:val="00EA4C2F"/>
    <w:rsid w:val="00EA6F14"/>
    <w:rsid w:val="00EA6F31"/>
    <w:rsid w:val="00EB04DC"/>
    <w:rsid w:val="00EB0CFA"/>
    <w:rsid w:val="00EB270F"/>
    <w:rsid w:val="00EB470C"/>
    <w:rsid w:val="00EB55E5"/>
    <w:rsid w:val="00EB63BB"/>
    <w:rsid w:val="00EC0FB7"/>
    <w:rsid w:val="00EC1121"/>
    <w:rsid w:val="00EC13E7"/>
    <w:rsid w:val="00EC6FDE"/>
    <w:rsid w:val="00ED403B"/>
    <w:rsid w:val="00EF7B66"/>
    <w:rsid w:val="00F05187"/>
    <w:rsid w:val="00F11A2A"/>
    <w:rsid w:val="00F1428E"/>
    <w:rsid w:val="00F2060A"/>
    <w:rsid w:val="00F24D3F"/>
    <w:rsid w:val="00F2561F"/>
    <w:rsid w:val="00F266B3"/>
    <w:rsid w:val="00F3139D"/>
    <w:rsid w:val="00F32ADD"/>
    <w:rsid w:val="00F42A55"/>
    <w:rsid w:val="00F42F37"/>
    <w:rsid w:val="00F43F30"/>
    <w:rsid w:val="00F54784"/>
    <w:rsid w:val="00F559CB"/>
    <w:rsid w:val="00F62FA6"/>
    <w:rsid w:val="00F64849"/>
    <w:rsid w:val="00F73FD9"/>
    <w:rsid w:val="00F741C1"/>
    <w:rsid w:val="00F759DE"/>
    <w:rsid w:val="00F77FA4"/>
    <w:rsid w:val="00F84AA2"/>
    <w:rsid w:val="00F933D8"/>
    <w:rsid w:val="00F967F4"/>
    <w:rsid w:val="00FB1DC7"/>
    <w:rsid w:val="00FC2AB0"/>
    <w:rsid w:val="00FC5B8E"/>
    <w:rsid w:val="00FC6504"/>
    <w:rsid w:val="00FC6F4A"/>
    <w:rsid w:val="00FD190B"/>
    <w:rsid w:val="00FD32D8"/>
    <w:rsid w:val="00FE1B9D"/>
    <w:rsid w:val="00FE21A5"/>
    <w:rsid w:val="00FE62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8E523"/>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uiPriority w:val="99"/>
    <w:rsid w:val="002D0440"/>
    <w:rPr>
      <w:sz w:val="20"/>
      <w:szCs w:val="20"/>
      <w:lang w:eastAsia="lt-LT"/>
    </w:rPr>
  </w:style>
  <w:style w:type="character" w:customStyle="1" w:styleId="KomentarotekstasDiagrama">
    <w:name w:val="Komentaro tekstas Diagrama"/>
    <w:basedOn w:val="Numatytasispastraiposriftas"/>
    <w:link w:val="Komentarotekstas"/>
    <w:uiPriority w:val="99"/>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uiPriority w:val="99"/>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 w:type="paragraph" w:styleId="Pataisymai">
    <w:name w:val="Revision"/>
    <w:hidden/>
    <w:uiPriority w:val="99"/>
    <w:semiHidden/>
    <w:rsid w:val="00EB04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543DD-012D-4C7E-8AAB-D0A3771A48A5}">
  <ds:schemaRefs>
    <ds:schemaRef ds:uri="http://schemas.openxmlformats.org/officeDocument/2006/bibliography"/>
  </ds:schemaRefs>
</ds:datastoreItem>
</file>

<file path=customXml/itemProps2.xml><?xml version="1.0" encoding="utf-8"?>
<ds:datastoreItem xmlns:ds="http://schemas.openxmlformats.org/officeDocument/2006/customXml" ds:itemID="{7196E482-9761-472A-B5ED-34613F5512BA}"/>
</file>

<file path=customXml/itemProps3.xml><?xml version="1.0" encoding="utf-8"?>
<ds:datastoreItem xmlns:ds="http://schemas.openxmlformats.org/officeDocument/2006/customXml" ds:itemID="{B00CC8F1-6BFC-400D-9620-EA3C275E89B9}"/>
</file>

<file path=customXml/itemProps4.xml><?xml version="1.0" encoding="utf-8"?>
<ds:datastoreItem xmlns:ds="http://schemas.openxmlformats.org/officeDocument/2006/customXml" ds:itemID="{E9925B6F-D3D1-4494-9393-0810E5EC539A}"/>
</file>

<file path=docProps/app.xml><?xml version="1.0" encoding="utf-8"?>
<Properties xmlns="http://schemas.openxmlformats.org/officeDocument/2006/extended-properties" xmlns:vt="http://schemas.openxmlformats.org/officeDocument/2006/docPropsVTypes">
  <Template>Normal</Template>
  <TotalTime>169</TotalTime>
  <Pages>8</Pages>
  <Words>2759</Words>
  <Characters>15729</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18452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8b26c73c-f554-40e8-8c2a-5c92fe17213d</dc:title>
  <dc:subject/>
  <dc:creator>Dovile Krikščiukaitė</dc:creator>
  <cp:keywords/>
  <cp:lastModifiedBy>Šimulevič Tomaš</cp:lastModifiedBy>
  <cp:revision>21</cp:revision>
  <cp:lastPrinted>2015-05-20T08:51:00Z</cp:lastPrinted>
  <dcterms:created xsi:type="dcterms:W3CDTF">2020-01-02T08:58:00Z</dcterms:created>
  <dcterms:modified xsi:type="dcterms:W3CDTF">2020-03-10T12:40:00Z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