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D36F" w14:textId="1BAA740E" w:rsidR="00A31D2D" w:rsidRPr="00A31D2D" w:rsidRDefault="00A31D2D" w:rsidP="00A31D2D">
      <w:pPr>
        <w:jc w:val="center"/>
        <w:rPr>
          <w:b/>
          <w:bCs/>
          <w:color w:val="000000" w:themeColor="text1"/>
          <w:lang w:eastAsia="lt-LT"/>
        </w:rPr>
      </w:pPr>
      <w:bookmarkStart w:id="0" w:name="_GoBack"/>
      <w:bookmarkEnd w:id="0"/>
      <w:r w:rsidRPr="00A31D2D">
        <w:rPr>
          <w:b/>
          <w:bCs/>
          <w:color w:val="000000" w:themeColor="text1"/>
          <w:lang w:eastAsia="lt-LT"/>
        </w:rPr>
        <w:t>LIETUVOS RESPUBLIKOS</w:t>
      </w:r>
    </w:p>
    <w:p w14:paraId="6201FC80" w14:textId="77777777" w:rsidR="00A31D2D" w:rsidRPr="00A31D2D" w:rsidRDefault="00A31D2D" w:rsidP="00A31D2D">
      <w:pPr>
        <w:jc w:val="center"/>
        <w:rPr>
          <w:b/>
          <w:bCs/>
          <w:color w:val="000000" w:themeColor="text1"/>
          <w:lang w:eastAsia="lt-LT"/>
        </w:rPr>
      </w:pPr>
      <w:r w:rsidRPr="00A31D2D">
        <w:rPr>
          <w:b/>
          <w:bCs/>
          <w:color w:val="000000" w:themeColor="text1"/>
          <w:lang w:eastAsia="lt-LT"/>
        </w:rPr>
        <w:t xml:space="preserve">SAUGIOS LAIVYBOS ĮSTATYMO NR. VIII-1897 </w:t>
      </w:r>
    </w:p>
    <w:p w14:paraId="014096AA" w14:textId="59577025" w:rsidR="00A31D2D" w:rsidRPr="00A31D2D" w:rsidRDefault="00A31D2D" w:rsidP="00A31D2D">
      <w:pPr>
        <w:jc w:val="center"/>
        <w:rPr>
          <w:b/>
          <w:bCs/>
          <w:color w:val="000000" w:themeColor="text1"/>
          <w:lang w:eastAsia="lt-LT"/>
        </w:rPr>
      </w:pPr>
      <w:r w:rsidRPr="00A31D2D">
        <w:rPr>
          <w:b/>
          <w:bCs/>
          <w:color w:val="000000" w:themeColor="text1"/>
          <w:lang w:eastAsia="lt-LT"/>
        </w:rPr>
        <w:t xml:space="preserve">1, 2, 3, 8, 13, 16, 19, 21, </w:t>
      </w:r>
      <w:r w:rsidR="00B630FC">
        <w:rPr>
          <w:b/>
          <w:bCs/>
          <w:color w:val="000000" w:themeColor="text1"/>
          <w:lang w:eastAsia="lt-LT"/>
        </w:rPr>
        <w:t xml:space="preserve">25, </w:t>
      </w:r>
      <w:r w:rsidRPr="00A31D2D">
        <w:rPr>
          <w:b/>
          <w:bCs/>
          <w:color w:val="000000" w:themeColor="text1"/>
          <w:lang w:eastAsia="lt-LT"/>
        </w:rPr>
        <w:t>26, 33, 39, 40, 40</w:t>
      </w:r>
      <w:r w:rsidRPr="00A31D2D">
        <w:rPr>
          <w:b/>
          <w:bCs/>
          <w:color w:val="000000" w:themeColor="text1"/>
          <w:vertAlign w:val="superscript"/>
          <w:lang w:eastAsia="lt-LT"/>
        </w:rPr>
        <w:t>1</w:t>
      </w:r>
      <w:r w:rsidRPr="00A31D2D">
        <w:rPr>
          <w:b/>
          <w:bCs/>
          <w:color w:val="000000" w:themeColor="text1"/>
          <w:lang w:eastAsia="lt-LT"/>
        </w:rPr>
        <w:t xml:space="preserve">, 48 </w:t>
      </w:r>
      <w:r w:rsidR="009678CB">
        <w:rPr>
          <w:b/>
          <w:bCs/>
          <w:color w:val="000000" w:themeColor="text1"/>
          <w:lang w:eastAsia="lt-LT"/>
        </w:rPr>
        <w:t>IR</w:t>
      </w:r>
      <w:r w:rsidR="009678CB" w:rsidRPr="00A31D2D">
        <w:rPr>
          <w:b/>
          <w:bCs/>
          <w:color w:val="000000" w:themeColor="text1"/>
          <w:lang w:eastAsia="lt-LT"/>
        </w:rPr>
        <w:t xml:space="preserve"> </w:t>
      </w:r>
      <w:r w:rsidRPr="00A31D2D">
        <w:rPr>
          <w:b/>
          <w:bCs/>
          <w:color w:val="000000" w:themeColor="text1"/>
          <w:lang w:eastAsia="lt-LT"/>
        </w:rPr>
        <w:t xml:space="preserve">49 STRAIPSNIŲ PAKEITIMO </w:t>
      </w:r>
    </w:p>
    <w:p w14:paraId="3E6FDF34" w14:textId="25E0BB45" w:rsidR="00C6481F" w:rsidRPr="00A31D2D" w:rsidRDefault="00A31D2D" w:rsidP="00A31D2D">
      <w:pPr>
        <w:jc w:val="center"/>
        <w:rPr>
          <w:b/>
          <w:color w:val="000000" w:themeColor="text1"/>
          <w:lang w:eastAsia="lt-LT"/>
        </w:rPr>
      </w:pPr>
      <w:r w:rsidRPr="00A31D2D">
        <w:rPr>
          <w:b/>
          <w:bCs/>
          <w:color w:val="000000" w:themeColor="text1"/>
          <w:lang w:eastAsia="lt-LT"/>
        </w:rPr>
        <w:t>ĮSTATYMO PROJEKTO</w:t>
      </w:r>
      <w:r w:rsidR="003A69FD" w:rsidRPr="00A31D2D">
        <w:rPr>
          <w:rFonts w:eastAsia="Calibri"/>
          <w:b/>
          <w:color w:val="000000" w:themeColor="text1"/>
          <w:lang w:eastAsia="lt-LT"/>
        </w:rPr>
        <w:t xml:space="preserve"> </w:t>
      </w:r>
      <w:r w:rsidR="00C6481F" w:rsidRPr="00A31D2D">
        <w:rPr>
          <w:b/>
          <w:color w:val="000000" w:themeColor="text1"/>
        </w:rPr>
        <w:t>DERINIMO PAŽYMA</w:t>
      </w:r>
    </w:p>
    <w:p w14:paraId="2B6F7E96" w14:textId="6CA9CA3E" w:rsidR="00225FE7" w:rsidRPr="00225FE7" w:rsidRDefault="00225FE7" w:rsidP="00225FE7">
      <w:pPr>
        <w:jc w:val="center"/>
        <w:rPr>
          <w:rFonts w:eastAsia="Calibri"/>
          <w:b/>
          <w:lang w:eastAsia="lt-LT"/>
        </w:rPr>
      </w:pPr>
    </w:p>
    <w:p w14:paraId="3E6FDF35" w14:textId="77777777" w:rsidR="00A6490A" w:rsidRPr="00234180" w:rsidRDefault="00A6490A" w:rsidP="00C6481F">
      <w:pPr>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34"/>
        <w:gridCol w:w="6662"/>
      </w:tblGrid>
      <w:tr w:rsidR="00234180" w:rsidRPr="00234180" w14:paraId="3E6FDF3B" w14:textId="77777777" w:rsidTr="00CE2CB4">
        <w:tc>
          <w:tcPr>
            <w:tcW w:w="1838" w:type="dxa"/>
          </w:tcPr>
          <w:p w14:paraId="3E6FDF37" w14:textId="77777777" w:rsidR="00A166BC" w:rsidRPr="00234180" w:rsidRDefault="00A166BC" w:rsidP="0079518D">
            <w:pPr>
              <w:jc w:val="center"/>
              <w:rPr>
                <w:color w:val="000000" w:themeColor="text1"/>
              </w:rPr>
            </w:pPr>
            <w:r w:rsidRPr="00234180">
              <w:rPr>
                <w:color w:val="000000" w:themeColor="text1"/>
              </w:rPr>
              <w:t>Institucijos pavadinimas,</w:t>
            </w:r>
          </w:p>
          <w:p w14:paraId="3E6FDF38" w14:textId="77777777" w:rsidR="00A166BC" w:rsidRPr="00234180" w:rsidRDefault="00A166BC" w:rsidP="0079518D">
            <w:pPr>
              <w:jc w:val="center"/>
              <w:rPr>
                <w:color w:val="000000" w:themeColor="text1"/>
              </w:rPr>
            </w:pPr>
            <w:r w:rsidRPr="00234180">
              <w:rPr>
                <w:color w:val="000000" w:themeColor="text1"/>
              </w:rPr>
              <w:t>rašto data ir numeris</w:t>
            </w:r>
          </w:p>
        </w:tc>
        <w:tc>
          <w:tcPr>
            <w:tcW w:w="6634" w:type="dxa"/>
          </w:tcPr>
          <w:p w14:paraId="3E6FDF39" w14:textId="77777777" w:rsidR="00A166BC" w:rsidRPr="00234180" w:rsidRDefault="00A166BC" w:rsidP="0079518D">
            <w:pPr>
              <w:jc w:val="center"/>
              <w:rPr>
                <w:color w:val="000000" w:themeColor="text1"/>
              </w:rPr>
            </w:pPr>
            <w:r w:rsidRPr="00234180">
              <w:rPr>
                <w:color w:val="000000" w:themeColor="text1"/>
              </w:rPr>
              <w:t>Pastabos ir pasiūlymai</w:t>
            </w:r>
          </w:p>
        </w:tc>
        <w:tc>
          <w:tcPr>
            <w:tcW w:w="6662" w:type="dxa"/>
          </w:tcPr>
          <w:p w14:paraId="3E6FDF3A" w14:textId="77777777" w:rsidR="00A166BC" w:rsidRPr="00234180" w:rsidRDefault="00E86B53" w:rsidP="0079518D">
            <w:pPr>
              <w:jc w:val="center"/>
              <w:rPr>
                <w:color w:val="000000" w:themeColor="text1"/>
              </w:rPr>
            </w:pPr>
            <w:r w:rsidRPr="00234180">
              <w:rPr>
                <w:color w:val="000000" w:themeColor="text1"/>
              </w:rPr>
              <w:t>Argumentai, kodėl neatsižvelgta arba atsižvelgta iš dalies į pastabas ir pasiūlymus</w:t>
            </w:r>
          </w:p>
        </w:tc>
      </w:tr>
      <w:tr w:rsidR="00234180" w:rsidRPr="00234180" w14:paraId="3E6FDF48" w14:textId="77777777" w:rsidTr="00CE2CB4">
        <w:tc>
          <w:tcPr>
            <w:tcW w:w="1838" w:type="dxa"/>
          </w:tcPr>
          <w:p w14:paraId="3E6FDF44" w14:textId="7B952FD3" w:rsidR="00B160D7" w:rsidRPr="00234180" w:rsidRDefault="00E66E0D" w:rsidP="00B160D7">
            <w:pPr>
              <w:rPr>
                <w:color w:val="000000" w:themeColor="text1"/>
              </w:rPr>
            </w:pPr>
            <w:r>
              <w:rPr>
                <w:color w:val="000000" w:themeColor="text1"/>
              </w:rPr>
              <w:t>Lietuvos Respublikos socialinės apsaugos ir darbo ministerijos 2019-05-15 raštas Nr. (29.5-21)SD-2515</w:t>
            </w:r>
          </w:p>
        </w:tc>
        <w:tc>
          <w:tcPr>
            <w:tcW w:w="6634" w:type="dxa"/>
          </w:tcPr>
          <w:p w14:paraId="3E6FDF45" w14:textId="1DF19F6B" w:rsidR="00B160D7" w:rsidRPr="00234180" w:rsidRDefault="005852F5" w:rsidP="001B052C">
            <w:pPr>
              <w:autoSpaceDE w:val="0"/>
              <w:autoSpaceDN w:val="0"/>
              <w:adjustRightInd w:val="0"/>
              <w:rPr>
                <w:color w:val="000000" w:themeColor="text1"/>
              </w:rPr>
            </w:pPr>
            <w:r w:rsidRPr="005852F5">
              <w:rPr>
                <w:color w:val="000000" w:themeColor="text1"/>
              </w:rPr>
              <w:t>Įstatymo projekto 2 straipsniu keičiama Įstatymo sąvoka „jūrų laivo avarija“ ir Įstatymas papildomas naujomis sąvokomis „labai sunki avarija“, „sunki avarija“, „nesunki avarija“, „laivo incidentas“. Viena iš sąlygų priskiriant įvykį laivo avarijai yra žmogaus mirtis, jo sužalojimas arba dingimas, o laivo incidentui – pavojaus sukėlimas žmogui. Įstatymo projekte žala žmogui aukščiau nurodytų sąvokų apibrėžtyse įvardinama skirtingai („laivo avarija“ – „žmogaus mirtį ar sunkų sužalojimą“ ir „žmogaus dingimą iš laivo“; „labai sunki avarija“ – „žuvo žmogus“; „sunki avarija“ ir „nesunki avarija“ neapibrėžia; „laivo incidentas“ – „vienas ar keli įvykiai eksploatuojant laivą, sukėlę arba nesiėmus taisomųjų veiksmų galėję sukelti pavojų laivo saugai, jame esantiems žmonėms ar bet kuriam kitam asmeniui“), todėl neaiškūs kriterijai, kaip pagal žalą žmogui įvykis priskiriamas laivo avarijai (labai sunkiai, sunkiai arba nesunkiai) arba laivo incidentui. Siūlome suvienodinti sąvokų apibrėžtyse vartojamus terminus, nusakančius žalą žmogui, įvardinti, kas yra pavojus žmogui, ir aiškiai nustatyti, kaip pagal žalą ar pavojų žmogui įvykis priskiriamas labai sunkiai avarijai, sunkiai avarijai, nesunkiai avarijai arba incidentui.</w:t>
            </w:r>
          </w:p>
        </w:tc>
        <w:tc>
          <w:tcPr>
            <w:tcW w:w="6662" w:type="dxa"/>
          </w:tcPr>
          <w:p w14:paraId="3937A9E6" w14:textId="6721AB80" w:rsidR="005852F5" w:rsidRPr="00AC0D01" w:rsidRDefault="00B160D7" w:rsidP="005852F5">
            <w:pPr>
              <w:tabs>
                <w:tab w:val="left" w:pos="993"/>
              </w:tabs>
              <w:rPr>
                <w:color w:val="000000" w:themeColor="text1"/>
              </w:rPr>
            </w:pPr>
            <w:r w:rsidRPr="00AC0D01">
              <w:rPr>
                <w:b/>
                <w:color w:val="000000" w:themeColor="text1"/>
              </w:rPr>
              <w:t>Neatsižvelgt</w:t>
            </w:r>
            <w:r w:rsidR="00EC43B7" w:rsidRPr="00AC0D01">
              <w:rPr>
                <w:b/>
                <w:color w:val="000000" w:themeColor="text1"/>
              </w:rPr>
              <w:t>a</w:t>
            </w:r>
            <w:r w:rsidRPr="00AC0D01">
              <w:rPr>
                <w:b/>
                <w:color w:val="000000" w:themeColor="text1"/>
              </w:rPr>
              <w:t>.</w:t>
            </w:r>
            <w:r w:rsidRPr="00AC0D01">
              <w:rPr>
                <w:color w:val="000000" w:themeColor="text1"/>
              </w:rPr>
              <w:t xml:space="preserve"> </w:t>
            </w:r>
          </w:p>
          <w:p w14:paraId="6D112D5D" w14:textId="39717F43" w:rsidR="005852F5" w:rsidRPr="00AC0D01" w:rsidRDefault="005852F5" w:rsidP="005852F5">
            <w:pPr>
              <w:autoSpaceDE w:val="0"/>
              <w:autoSpaceDN w:val="0"/>
              <w:adjustRightInd w:val="0"/>
              <w:rPr>
                <w:color w:val="000000" w:themeColor="text1"/>
              </w:rPr>
            </w:pPr>
            <w:r w:rsidRPr="00AC0D01">
              <w:rPr>
                <w:color w:val="000000" w:themeColor="text1"/>
              </w:rPr>
              <w:t>Įstatymo projekte pateikiam</w:t>
            </w:r>
            <w:r w:rsidR="00EC43B7" w:rsidRPr="00AC0D01">
              <w:rPr>
                <w:color w:val="000000" w:themeColor="text1"/>
              </w:rPr>
              <w:t>ų sąvokų</w:t>
            </w:r>
            <w:r w:rsidRPr="00AC0D01">
              <w:rPr>
                <w:color w:val="000000" w:themeColor="text1"/>
              </w:rPr>
              <w:t xml:space="preserve"> „laivo avarij</w:t>
            </w:r>
            <w:r w:rsidR="00EC43B7" w:rsidRPr="00AC0D01">
              <w:rPr>
                <w:color w:val="000000" w:themeColor="text1"/>
              </w:rPr>
              <w:t>a</w:t>
            </w:r>
            <w:r w:rsidRPr="00AC0D01">
              <w:rPr>
                <w:color w:val="000000" w:themeColor="text1"/>
              </w:rPr>
              <w:t>“, „labai sunki avarij</w:t>
            </w:r>
            <w:r w:rsidR="00EC43B7" w:rsidRPr="00AC0D01">
              <w:rPr>
                <w:color w:val="000000" w:themeColor="text1"/>
              </w:rPr>
              <w:t>a</w:t>
            </w:r>
            <w:r w:rsidRPr="00AC0D01">
              <w:rPr>
                <w:color w:val="000000" w:themeColor="text1"/>
              </w:rPr>
              <w:t>“, „sunki avarij</w:t>
            </w:r>
            <w:r w:rsidR="00EC43B7" w:rsidRPr="00AC0D01">
              <w:rPr>
                <w:color w:val="000000" w:themeColor="text1"/>
              </w:rPr>
              <w:t>a</w:t>
            </w:r>
            <w:r w:rsidRPr="00AC0D01">
              <w:rPr>
                <w:color w:val="000000" w:themeColor="text1"/>
              </w:rPr>
              <w:t>“, „nesunki avarij</w:t>
            </w:r>
            <w:r w:rsidR="00EC43B7" w:rsidRPr="00AC0D01">
              <w:rPr>
                <w:color w:val="000000" w:themeColor="text1"/>
              </w:rPr>
              <w:t>a</w:t>
            </w:r>
            <w:r w:rsidRPr="00AC0D01">
              <w:rPr>
                <w:color w:val="000000" w:themeColor="text1"/>
              </w:rPr>
              <w:t>“ ir „laivo incident</w:t>
            </w:r>
            <w:r w:rsidR="00EC43B7" w:rsidRPr="00AC0D01">
              <w:rPr>
                <w:color w:val="000000" w:themeColor="text1"/>
              </w:rPr>
              <w:t>as</w:t>
            </w:r>
            <w:r w:rsidRPr="00AC0D01">
              <w:rPr>
                <w:color w:val="000000" w:themeColor="text1"/>
              </w:rPr>
              <w:t>“ </w:t>
            </w:r>
            <w:r w:rsidR="00EC43B7" w:rsidRPr="00AC0D01">
              <w:rPr>
                <w:color w:val="000000" w:themeColor="text1"/>
              </w:rPr>
              <w:t xml:space="preserve"> apibrėžtys</w:t>
            </w:r>
            <w:r w:rsidRPr="00AC0D01">
              <w:rPr>
                <w:color w:val="000000" w:themeColor="text1"/>
              </w:rPr>
              <w:t xml:space="preserve"> sudarytos j</w:t>
            </w:r>
            <w:r w:rsidR="002372A2" w:rsidRPr="00AC0D01">
              <w:rPr>
                <w:color w:val="000000" w:themeColor="text1"/>
              </w:rPr>
              <w:t>a</w:t>
            </w:r>
            <w:r w:rsidRPr="00AC0D01">
              <w:rPr>
                <w:color w:val="000000" w:themeColor="text1"/>
              </w:rPr>
              <w:t>s išvertus į lietuvių kalbą iš Tarptautinės jūrų organizacijos laivų avarijų tyrimo kodekso, priimto rezoliucija MSC.255(84), kuris yra privalomas pagal 1974</w:t>
            </w:r>
            <w:r w:rsidR="00013230" w:rsidRPr="00AC0D01">
              <w:rPr>
                <w:color w:val="000000" w:themeColor="text1"/>
              </w:rPr>
              <w:t> </w:t>
            </w:r>
            <w:r w:rsidRPr="00AC0D01">
              <w:rPr>
                <w:color w:val="000000" w:themeColor="text1"/>
              </w:rPr>
              <w:t>m. Tarptautinę konvenciją dėl žmogaus gyvybės apsaugos jūroje (SOLAS)</w:t>
            </w:r>
            <w:r w:rsidR="002372A2" w:rsidRPr="00AC0D01">
              <w:rPr>
                <w:color w:val="000000" w:themeColor="text1"/>
              </w:rPr>
              <w:t>,</w:t>
            </w:r>
            <w:r w:rsidRPr="00AC0D01">
              <w:rPr>
                <w:color w:val="000000" w:themeColor="text1"/>
              </w:rPr>
              <w:t xml:space="preserve"> bei iš Tarptautinės  jūrų organizacijos aplinkraščio MEPC.3/Circ.3  ir siekiant perkelti </w:t>
            </w:r>
            <w:r w:rsidR="009678CB" w:rsidRPr="00AC0D01">
              <w:rPr>
                <w:color w:val="000000" w:themeColor="text1"/>
              </w:rPr>
              <w:t>į Saugios laivybos įstatymą</w:t>
            </w:r>
            <w:r w:rsidR="009678CB">
              <w:rPr>
                <w:color w:val="000000" w:themeColor="text1"/>
              </w:rPr>
              <w:t xml:space="preserve"> </w:t>
            </w:r>
            <w:r w:rsidR="00AC0D01">
              <w:rPr>
                <w:color w:val="000000" w:themeColor="text1"/>
              </w:rPr>
              <w:t>Europos Parlamento ir Tarybos 2009 m. balandžio 23 d.</w:t>
            </w:r>
            <w:r w:rsidR="00EC43B7" w:rsidRPr="00AC0D01">
              <w:rPr>
                <w:color w:val="000000" w:themeColor="text1"/>
              </w:rPr>
              <w:t xml:space="preserve"> </w:t>
            </w:r>
            <w:r w:rsidRPr="00AC0D01">
              <w:rPr>
                <w:color w:val="000000" w:themeColor="text1"/>
              </w:rPr>
              <w:t>direktyvos 2009/18/EB</w:t>
            </w:r>
            <w:r w:rsidR="009678CB">
              <w:rPr>
                <w:color w:val="000000" w:themeColor="text1"/>
              </w:rPr>
              <w:t>,</w:t>
            </w:r>
            <w:r w:rsidRPr="00AC0D01">
              <w:rPr>
                <w:color w:val="000000" w:themeColor="text1"/>
              </w:rPr>
              <w:t xml:space="preserve"> </w:t>
            </w:r>
            <w:r w:rsidR="00AC0D01">
              <w:rPr>
                <w:color w:val="000000" w:themeColor="text1"/>
              </w:rPr>
              <w:t>nustatančios pagrindinius principus, taikomus avarijų jūrų transpor</w:t>
            </w:r>
            <w:r w:rsidR="006151E7">
              <w:rPr>
                <w:color w:val="000000" w:themeColor="text1"/>
              </w:rPr>
              <w:t>to sektoriuje tyrimui, iš dalies keičiančios Tarybos direktyvą 1999/35/EB ir Europos Parlamento ir Tarybos direktyvą 2002/59/EB</w:t>
            </w:r>
            <w:r w:rsidR="009678CB">
              <w:rPr>
                <w:color w:val="000000" w:themeColor="text1"/>
              </w:rPr>
              <w:t>,</w:t>
            </w:r>
            <w:r w:rsidRPr="00AC0D01">
              <w:rPr>
                <w:color w:val="000000" w:themeColor="text1"/>
              </w:rPr>
              <w:t xml:space="preserve"> reikalavimus.</w:t>
            </w:r>
          </w:p>
          <w:p w14:paraId="47064C36" w14:textId="7F3BB472" w:rsidR="005852F5" w:rsidRPr="00AC0D01" w:rsidRDefault="005852F5" w:rsidP="005852F5">
            <w:pPr>
              <w:autoSpaceDE w:val="0"/>
              <w:autoSpaceDN w:val="0"/>
              <w:adjustRightInd w:val="0"/>
              <w:rPr>
                <w:color w:val="000000" w:themeColor="text1"/>
              </w:rPr>
            </w:pPr>
            <w:r w:rsidRPr="006151E7">
              <w:rPr>
                <w:color w:val="000000" w:themeColor="text1"/>
              </w:rPr>
              <w:t xml:space="preserve">Paminėtina, kad avarijos sunkumas priklauso nuo daugelio kitų aplinkybių, kurios nesusijusios su žmogaus sužalojimu ar žūtimi. Siūlomais sąvokų apibrėžimais vadovaujasi ir kitos pasaulio valstybės, jų pagrindu Tarptautinė jūrų organizacija, Europos </w:t>
            </w:r>
            <w:r w:rsidRPr="00AC0D01">
              <w:rPr>
                <w:color w:val="000000" w:themeColor="text1"/>
              </w:rPr>
              <w:t>saugios laivybos agentūra (EMSA) sudaro, priima, tobulina dokumentus, paaiškinančius</w:t>
            </w:r>
            <w:r w:rsidR="00EC43B7" w:rsidRPr="00AC0D01">
              <w:rPr>
                <w:color w:val="000000" w:themeColor="text1"/>
              </w:rPr>
              <w:t>,</w:t>
            </w:r>
            <w:r w:rsidRPr="00AC0D01">
              <w:rPr>
                <w:color w:val="000000" w:themeColor="text1"/>
              </w:rPr>
              <w:t xml:space="preserve"> kaip klasifikuoti avarijas, todėl visos sąvokos turi tiksliai atitikti originalią apibrėžtį. Dažn</w:t>
            </w:r>
            <w:r w:rsidR="009678CB">
              <w:rPr>
                <w:color w:val="000000" w:themeColor="text1"/>
              </w:rPr>
              <w:t>a</w:t>
            </w:r>
            <w:r w:rsidRPr="00AC0D01">
              <w:rPr>
                <w:color w:val="000000" w:themeColor="text1"/>
              </w:rPr>
              <w:t xml:space="preserve">i laivų avarijų saugos tyrimuose dalyvauja kelios valstybės, todėl </w:t>
            </w:r>
            <w:r w:rsidR="00EC43B7" w:rsidRPr="00AC0D01">
              <w:rPr>
                <w:color w:val="000000" w:themeColor="text1"/>
              </w:rPr>
              <w:t>kiekvienoje jų</w:t>
            </w:r>
            <w:r w:rsidR="00EC43B7" w:rsidRPr="00AC0D01" w:rsidDel="00EC43B7">
              <w:rPr>
                <w:color w:val="000000" w:themeColor="text1"/>
              </w:rPr>
              <w:t xml:space="preserve"> </w:t>
            </w:r>
            <w:r w:rsidRPr="00AC0D01">
              <w:rPr>
                <w:color w:val="000000" w:themeColor="text1"/>
              </w:rPr>
              <w:t>skirting</w:t>
            </w:r>
            <w:r w:rsidR="00EC43B7" w:rsidRPr="00AC0D01">
              <w:rPr>
                <w:color w:val="000000" w:themeColor="text1"/>
              </w:rPr>
              <w:t>ai</w:t>
            </w:r>
            <w:r w:rsidRPr="00AC0D01">
              <w:rPr>
                <w:color w:val="000000" w:themeColor="text1"/>
              </w:rPr>
              <w:t xml:space="preserve"> </w:t>
            </w:r>
            <w:r w:rsidR="00EC43B7" w:rsidRPr="00AC0D01">
              <w:rPr>
                <w:color w:val="000000" w:themeColor="text1"/>
              </w:rPr>
              <w:t xml:space="preserve">apibrėžiant </w:t>
            </w:r>
            <w:r w:rsidRPr="00AC0D01">
              <w:rPr>
                <w:color w:val="000000" w:themeColor="text1"/>
              </w:rPr>
              <w:t>avarijų sąvok</w:t>
            </w:r>
            <w:r w:rsidR="009678CB">
              <w:rPr>
                <w:color w:val="000000" w:themeColor="text1"/>
              </w:rPr>
              <w:t>a</w:t>
            </w:r>
            <w:r w:rsidRPr="00AC0D01">
              <w:rPr>
                <w:color w:val="000000" w:themeColor="text1"/>
              </w:rPr>
              <w:t>s gali būti skirtingai vertinamas ir avarijų sunkumas.</w:t>
            </w:r>
          </w:p>
          <w:p w14:paraId="3E6FDF47" w14:textId="182A4627" w:rsidR="00B160D7" w:rsidRPr="00AC0D01" w:rsidRDefault="00B160D7" w:rsidP="00B160D7">
            <w:pPr>
              <w:autoSpaceDE w:val="0"/>
              <w:autoSpaceDN w:val="0"/>
              <w:adjustRightInd w:val="0"/>
              <w:rPr>
                <w:color w:val="000000" w:themeColor="text1"/>
              </w:rPr>
            </w:pPr>
          </w:p>
        </w:tc>
      </w:tr>
      <w:tr w:rsidR="00234180" w:rsidRPr="00234180" w14:paraId="590018A3" w14:textId="77777777" w:rsidTr="00CE2CB4">
        <w:tc>
          <w:tcPr>
            <w:tcW w:w="1838" w:type="dxa"/>
          </w:tcPr>
          <w:p w14:paraId="0B00C4EA" w14:textId="4D2DCC8B" w:rsidR="00F20251" w:rsidRPr="00234180" w:rsidRDefault="00340FC0" w:rsidP="00470233">
            <w:pPr>
              <w:rPr>
                <w:color w:val="000000" w:themeColor="text1"/>
              </w:rPr>
            </w:pPr>
            <w:r>
              <w:rPr>
                <w:color w:val="000000" w:themeColor="text1"/>
              </w:rPr>
              <w:t xml:space="preserve">Lietuvos Respublikos ekonomikos ir inovacijų </w:t>
            </w:r>
            <w:r>
              <w:rPr>
                <w:color w:val="000000" w:themeColor="text1"/>
              </w:rPr>
              <w:lastRenderedPageBreak/>
              <w:t>ministerijos 2019-05-17 raštas Nr. (15.27-43E)-3-1923</w:t>
            </w:r>
          </w:p>
        </w:tc>
        <w:tc>
          <w:tcPr>
            <w:tcW w:w="6634" w:type="dxa"/>
          </w:tcPr>
          <w:p w14:paraId="3B706FDB" w14:textId="77777777" w:rsidR="00680CE4" w:rsidRDefault="006B229E" w:rsidP="006B229E">
            <w:pPr>
              <w:autoSpaceDE w:val="0"/>
              <w:autoSpaceDN w:val="0"/>
              <w:adjustRightInd w:val="0"/>
              <w:rPr>
                <w:rFonts w:ascii="TimesNewRomanPSMT" w:hAnsi="TimesNewRomanPSMT" w:cs="TimesNewRomanPSMT"/>
                <w:color w:val="000000" w:themeColor="text1"/>
                <w:lang w:eastAsia="lt-LT"/>
              </w:rPr>
            </w:pPr>
            <w:r w:rsidRPr="006B229E">
              <w:rPr>
                <w:rFonts w:ascii="TimesNewRomanPSMT" w:hAnsi="TimesNewRomanPSMT" w:cs="TimesNewRomanPSMT"/>
                <w:color w:val="000000" w:themeColor="text1"/>
                <w:lang w:eastAsia="lt-LT"/>
              </w:rPr>
              <w:lastRenderedPageBreak/>
              <w:t>Siūlome Projekto 4 straipsniu keičiamo 8 straipsnio nuostatas papildyti vadovaujantis</w:t>
            </w:r>
            <w:r>
              <w:rPr>
                <w:rFonts w:ascii="TimesNewRomanPSMT" w:hAnsi="TimesNewRomanPSMT" w:cs="TimesNewRomanPSMT"/>
                <w:color w:val="000000" w:themeColor="text1"/>
                <w:lang w:eastAsia="lt-LT"/>
              </w:rPr>
              <w:t xml:space="preserve"> </w:t>
            </w:r>
            <w:r w:rsidRPr="006B229E">
              <w:rPr>
                <w:rFonts w:ascii="TimesNewRomanPSMT" w:hAnsi="TimesNewRomanPSMT" w:cs="TimesNewRomanPSMT"/>
                <w:color w:val="000000" w:themeColor="text1"/>
                <w:lang w:eastAsia="lt-LT"/>
              </w:rPr>
              <w:t>Licencijavimo pagrindų aprašo, patvirtinto Lietuvos Respublikos Vyriausybės 2012 m. liepos 18 d.</w:t>
            </w:r>
            <w:r>
              <w:rPr>
                <w:rFonts w:ascii="TimesNewRomanPSMT" w:hAnsi="TimesNewRomanPSMT" w:cs="TimesNewRomanPSMT"/>
                <w:color w:val="000000" w:themeColor="text1"/>
                <w:lang w:eastAsia="lt-LT"/>
              </w:rPr>
              <w:t xml:space="preserve"> </w:t>
            </w:r>
            <w:r w:rsidRPr="006B229E">
              <w:rPr>
                <w:rFonts w:ascii="TimesNewRomanPSMT" w:hAnsi="TimesNewRomanPSMT" w:cs="TimesNewRomanPSMT"/>
                <w:color w:val="000000" w:themeColor="text1"/>
                <w:lang w:eastAsia="lt-LT"/>
              </w:rPr>
              <w:t xml:space="preserve">nutarimo Nr. 937 „Dėl Licencijavimo pagrindų aprašo patvirtinimo“ (toliau </w:t>
            </w:r>
            <w:r w:rsidRPr="006B229E">
              <w:rPr>
                <w:rFonts w:ascii="TimesNewRomanPSMT" w:hAnsi="TimesNewRomanPSMT" w:cs="TimesNewRomanPSMT"/>
                <w:color w:val="000000" w:themeColor="text1"/>
                <w:lang w:eastAsia="lt-LT"/>
              </w:rPr>
              <w:lastRenderedPageBreak/>
              <w:t>– Licencijavimo</w:t>
            </w:r>
            <w:r>
              <w:rPr>
                <w:rFonts w:ascii="TimesNewRomanPSMT" w:hAnsi="TimesNewRomanPSMT" w:cs="TimesNewRomanPSMT"/>
                <w:color w:val="000000" w:themeColor="text1"/>
                <w:lang w:eastAsia="lt-LT"/>
              </w:rPr>
              <w:t xml:space="preserve"> </w:t>
            </w:r>
            <w:r w:rsidRPr="006B229E">
              <w:rPr>
                <w:rFonts w:ascii="TimesNewRomanPSMT" w:hAnsi="TimesNewRomanPSMT" w:cs="TimesNewRomanPSMT"/>
                <w:color w:val="000000" w:themeColor="text1"/>
                <w:lang w:eastAsia="lt-LT"/>
              </w:rPr>
              <w:t>pagrindų aprašas), 18.4,18.6, 18.8, 18.9, 18.11 papunkčiais.</w:t>
            </w:r>
          </w:p>
          <w:p w14:paraId="378EF6D6" w14:textId="3A2BD95E" w:rsidR="003040EB" w:rsidRPr="00234180" w:rsidRDefault="003040EB" w:rsidP="003040EB">
            <w:pPr>
              <w:autoSpaceDE w:val="0"/>
              <w:autoSpaceDN w:val="0"/>
              <w:adjustRightInd w:val="0"/>
              <w:rPr>
                <w:rFonts w:ascii="TimesNewRomanPSMT" w:hAnsi="TimesNewRomanPSMT" w:cs="TimesNewRomanPSMT"/>
                <w:color w:val="000000" w:themeColor="text1"/>
                <w:lang w:eastAsia="lt-LT"/>
              </w:rPr>
            </w:pPr>
            <w:r w:rsidRPr="003040EB">
              <w:rPr>
                <w:rFonts w:ascii="TimesNewRomanPSMT" w:hAnsi="TimesNewRomanPSMT" w:cs="TimesNewRomanPSMT"/>
                <w:color w:val="000000" w:themeColor="text1"/>
                <w:lang w:eastAsia="lt-LT"/>
              </w:rPr>
              <w:t>Ta pati pastaba teikiama dėl Projekto 7 straipsniu keičiamo 19 straipsnio ir 14 straipsniu</w:t>
            </w:r>
            <w:r w:rsidR="008D07D9">
              <w:rPr>
                <w:rFonts w:ascii="TimesNewRomanPSMT" w:hAnsi="TimesNewRomanPSMT" w:cs="TimesNewRomanPSMT"/>
                <w:color w:val="000000" w:themeColor="text1"/>
                <w:lang w:eastAsia="lt-LT"/>
              </w:rPr>
              <w:t xml:space="preserve"> </w:t>
            </w:r>
            <w:r w:rsidRPr="003040EB">
              <w:rPr>
                <w:rFonts w:ascii="TimesNewRomanPSMT" w:hAnsi="TimesNewRomanPSMT" w:cs="TimesNewRomanPSMT"/>
                <w:color w:val="000000" w:themeColor="text1"/>
                <w:lang w:eastAsia="lt-LT"/>
              </w:rPr>
              <w:t>keičiamo 40</w:t>
            </w:r>
            <w:r w:rsidR="00CC7454">
              <w:rPr>
                <w:rFonts w:ascii="TimesNewRomanPSMT" w:hAnsi="TimesNewRomanPSMT" w:cs="TimesNewRomanPSMT"/>
                <w:color w:val="000000" w:themeColor="text1"/>
                <w:vertAlign w:val="superscript"/>
                <w:lang w:eastAsia="lt-LT"/>
              </w:rPr>
              <w:t>1</w:t>
            </w:r>
            <w:r w:rsidRPr="003040EB">
              <w:rPr>
                <w:rFonts w:ascii="TimesNewRomanPSMT" w:hAnsi="TimesNewRomanPSMT" w:cs="TimesNewRomanPSMT"/>
                <w:color w:val="000000" w:themeColor="text1"/>
                <w:lang w:eastAsia="lt-LT"/>
              </w:rPr>
              <w:t xml:space="preserve"> straipsnio nuostatų papildymo.</w:t>
            </w:r>
          </w:p>
        </w:tc>
        <w:tc>
          <w:tcPr>
            <w:tcW w:w="6662" w:type="dxa"/>
          </w:tcPr>
          <w:p w14:paraId="175BAEB9" w14:textId="7B9229FC" w:rsidR="00C51B3C" w:rsidRPr="006B229E" w:rsidRDefault="003040EB" w:rsidP="00470233">
            <w:pPr>
              <w:tabs>
                <w:tab w:val="left" w:pos="993"/>
              </w:tabs>
              <w:rPr>
                <w:b/>
                <w:color w:val="000000" w:themeColor="text1"/>
              </w:rPr>
            </w:pPr>
            <w:r>
              <w:rPr>
                <w:b/>
                <w:color w:val="000000" w:themeColor="text1"/>
              </w:rPr>
              <w:lastRenderedPageBreak/>
              <w:t>Atsižvelgt</w:t>
            </w:r>
            <w:r w:rsidR="002372A2">
              <w:rPr>
                <w:b/>
                <w:color w:val="000000" w:themeColor="text1"/>
              </w:rPr>
              <w:t>a</w:t>
            </w:r>
            <w:r>
              <w:rPr>
                <w:b/>
                <w:color w:val="000000" w:themeColor="text1"/>
              </w:rPr>
              <w:t xml:space="preserve"> iš dalies.</w:t>
            </w:r>
          </w:p>
          <w:p w14:paraId="2009910E" w14:textId="3161A00F" w:rsidR="000F392A" w:rsidRPr="00AC0D01" w:rsidRDefault="0085208B" w:rsidP="0085208B">
            <w:pPr>
              <w:tabs>
                <w:tab w:val="left" w:pos="993"/>
              </w:tabs>
              <w:rPr>
                <w:color w:val="000000" w:themeColor="text1"/>
              </w:rPr>
            </w:pPr>
            <w:r w:rsidRPr="00AC0D01">
              <w:rPr>
                <w:color w:val="000000" w:themeColor="text1"/>
              </w:rPr>
              <w:t>Įgaliojimų</w:t>
            </w:r>
            <w:r w:rsidR="00D642E2" w:rsidRPr="00AC0D01">
              <w:rPr>
                <w:color w:val="000000" w:themeColor="text1"/>
              </w:rPr>
              <w:t xml:space="preserve"> laivų </w:t>
            </w:r>
            <w:r w:rsidRPr="006151E7">
              <w:rPr>
                <w:color w:val="000000" w:themeColor="text1"/>
              </w:rPr>
              <w:t>klasifikavimo bendrovėms</w:t>
            </w:r>
            <w:r w:rsidR="005C7589" w:rsidRPr="006151E7">
              <w:rPr>
                <w:color w:val="000000" w:themeColor="text1"/>
              </w:rPr>
              <w:t xml:space="preserve"> </w:t>
            </w:r>
            <w:r w:rsidRPr="006151E7">
              <w:rPr>
                <w:color w:val="000000" w:themeColor="text1"/>
              </w:rPr>
              <w:t>suteikimas neturėtų būti prilyginamas licencijos</w:t>
            </w:r>
            <w:r w:rsidRPr="00AC0D01">
              <w:rPr>
                <w:color w:val="000000" w:themeColor="text1"/>
              </w:rPr>
              <w:t xml:space="preserve"> išdavimui. Pvz., Licencijavimo pagrindų aprašo 11 punktas numato, kad taikant licencijų išdavimo modelį </w:t>
            </w:r>
            <w:r w:rsidRPr="00AC0D01">
              <w:rPr>
                <w:color w:val="000000" w:themeColor="text1"/>
              </w:rPr>
              <w:lastRenderedPageBreak/>
              <w:t>„G“, ūkio subjektas įgyja teisę vykdyti veiklą tik turėdamas licencijas išduodančio subjekto išduotą licenciją. Klasifikavimo bendrovė pirmiausia pripažįstama Europos Komisijos kaip tinkama vykdyti veiklą, o Lietuvos transporto saugos administracija sutarties pagrindu suteikia įgaliojimus veikti jos vardu (sutartiniai santykiai, o ne licencijos išdavimas).</w:t>
            </w:r>
          </w:p>
          <w:p w14:paraId="7D841E2F" w14:textId="335EA3DA" w:rsidR="00C84610" w:rsidRDefault="00C84610" w:rsidP="0085208B">
            <w:pPr>
              <w:tabs>
                <w:tab w:val="left" w:pos="993"/>
              </w:tabs>
              <w:rPr>
                <w:color w:val="000000" w:themeColor="text1"/>
              </w:rPr>
            </w:pPr>
            <w:r w:rsidRPr="00AC0D01">
              <w:rPr>
                <w:color w:val="000000" w:themeColor="text1"/>
              </w:rPr>
              <w:t>Įstatymo projektu keičiamame 40</w:t>
            </w:r>
            <w:r w:rsidRPr="00AC0D01">
              <w:rPr>
                <w:color w:val="000000" w:themeColor="text1"/>
                <w:vertAlign w:val="superscript"/>
              </w:rPr>
              <w:t>1</w:t>
            </w:r>
            <w:r w:rsidRPr="00EF1AC6">
              <w:rPr>
                <w:color w:val="000000" w:themeColor="text1"/>
                <w:vertAlign w:val="superscript"/>
              </w:rPr>
              <w:t xml:space="preserve"> </w:t>
            </w:r>
            <w:r w:rsidRPr="00EF1AC6">
              <w:rPr>
                <w:color w:val="000000" w:themeColor="text1"/>
              </w:rPr>
              <w:t>straipsnyje nustatyti reikalavimai įmonėms, siekiančioms vykdyti povandeninius techninius darbus jūrų uostuose ir jūroje. Atkreiptinas dėmesys, kad povandeninių techninių darbų veiklos atest</w:t>
            </w:r>
            <w:r w:rsidR="009F5617" w:rsidRPr="00EF1AC6">
              <w:rPr>
                <w:color w:val="000000" w:themeColor="text1"/>
              </w:rPr>
              <w:t>avimo</w:t>
            </w:r>
            <w:r w:rsidRPr="00EF1AC6">
              <w:rPr>
                <w:color w:val="000000" w:themeColor="text1"/>
              </w:rPr>
              <w:t xml:space="preserve"> buvo atsisakyta</w:t>
            </w:r>
            <w:r w:rsidR="009F5617" w:rsidRPr="00EF1AC6">
              <w:rPr>
                <w:color w:val="000000" w:themeColor="text1"/>
              </w:rPr>
              <w:t xml:space="preserve"> Lietuvos Respublikos saugios laivybos įstatymo Nr. VIII-1897 </w:t>
            </w:r>
            <w:r w:rsidR="009F5617" w:rsidRPr="00EF1AC6">
              <w:rPr>
                <w:bCs/>
                <w:color w:val="000000" w:themeColor="text1"/>
              </w:rPr>
              <w:t>20</w:t>
            </w:r>
            <w:r w:rsidR="009F5617" w:rsidRPr="00EF1AC6">
              <w:rPr>
                <w:bCs/>
                <w:color w:val="000000" w:themeColor="text1"/>
                <w:vertAlign w:val="superscript"/>
              </w:rPr>
              <w:t>1</w:t>
            </w:r>
            <w:r w:rsidR="009F5617" w:rsidRPr="00EF1AC6">
              <w:rPr>
                <w:bCs/>
                <w:color w:val="000000" w:themeColor="text1"/>
              </w:rPr>
              <w:t xml:space="preserve">, 37, 39, 40 straipsnių pakeitimo ir </w:t>
            </w:r>
            <w:r w:rsidR="0021527E">
              <w:rPr>
                <w:bCs/>
                <w:color w:val="000000" w:themeColor="text1"/>
              </w:rPr>
              <w:t>Į</w:t>
            </w:r>
            <w:r w:rsidR="009F5617" w:rsidRPr="00EF1AC6">
              <w:rPr>
                <w:bCs/>
                <w:color w:val="000000" w:themeColor="text1"/>
              </w:rPr>
              <w:t>statymo papildymo 40</w:t>
            </w:r>
            <w:r w:rsidR="009F5617" w:rsidRPr="00EF1AC6">
              <w:rPr>
                <w:bCs/>
                <w:color w:val="000000" w:themeColor="text1"/>
                <w:vertAlign w:val="superscript"/>
              </w:rPr>
              <w:t>1</w:t>
            </w:r>
            <w:r w:rsidR="009F5617" w:rsidRPr="00EF1AC6">
              <w:rPr>
                <w:bCs/>
                <w:color w:val="000000" w:themeColor="text1"/>
              </w:rPr>
              <w:t xml:space="preserve"> </w:t>
            </w:r>
            <w:r w:rsidR="005C7589">
              <w:rPr>
                <w:bCs/>
                <w:color w:val="000000" w:themeColor="text1"/>
              </w:rPr>
              <w:t xml:space="preserve">įstatymu </w:t>
            </w:r>
            <w:r w:rsidR="0021527E">
              <w:rPr>
                <w:bCs/>
                <w:color w:val="000000" w:themeColor="text1"/>
              </w:rPr>
              <w:br/>
            </w:r>
            <w:r w:rsidR="009F5617" w:rsidRPr="00EF1AC6">
              <w:rPr>
                <w:bCs/>
                <w:color w:val="000000" w:themeColor="text1"/>
              </w:rPr>
              <w:t>Nr.</w:t>
            </w:r>
            <w:r w:rsidR="009F5617" w:rsidRPr="00EF1AC6">
              <w:rPr>
                <w:b/>
                <w:bCs/>
                <w:color w:val="000000" w:themeColor="text1"/>
              </w:rPr>
              <w:t xml:space="preserve"> </w:t>
            </w:r>
            <w:r w:rsidR="009F5617" w:rsidRPr="00EF1AC6">
              <w:rPr>
                <w:color w:val="000000" w:themeColor="text1"/>
              </w:rPr>
              <w:t>XIII-1662.</w:t>
            </w:r>
            <w:r w:rsidR="005C7589">
              <w:rPr>
                <w:color w:val="000000" w:themeColor="text1"/>
              </w:rPr>
              <w:t xml:space="preserve"> Tačiau net ir atsisakius šios veiklos kaip atestuojamos išlieka poreikis nustatyti atitinkamus reikalavimus įmonėms, siekiančioms vykdyti povandeninių techninių darbų jūrų uostuose ir jūroje veiklą.</w:t>
            </w:r>
          </w:p>
          <w:p w14:paraId="70FA21D5" w14:textId="365F0CD9" w:rsidR="000F392A" w:rsidRPr="00EF1AC6" w:rsidRDefault="000F392A" w:rsidP="0085208B">
            <w:pPr>
              <w:tabs>
                <w:tab w:val="left" w:pos="993"/>
              </w:tabs>
              <w:rPr>
                <w:color w:val="000000" w:themeColor="text1"/>
              </w:rPr>
            </w:pPr>
            <w:r w:rsidRPr="00CD04EC">
              <w:rPr>
                <w:color w:val="000000" w:themeColor="text1"/>
              </w:rPr>
              <w:t>Įstatymo projektu keičiamo 19 str</w:t>
            </w:r>
            <w:r w:rsidR="00FE725C">
              <w:rPr>
                <w:color w:val="000000" w:themeColor="text1"/>
              </w:rPr>
              <w:t>aipsnio</w:t>
            </w:r>
            <w:r w:rsidRPr="00CD04EC">
              <w:rPr>
                <w:color w:val="000000" w:themeColor="text1"/>
              </w:rPr>
              <w:t xml:space="preserve"> nuostatos </w:t>
            </w:r>
            <w:r w:rsidR="00CD04EC" w:rsidRPr="00CD04EC">
              <w:rPr>
                <w:color w:val="000000" w:themeColor="text1"/>
              </w:rPr>
              <w:t>ne</w:t>
            </w:r>
            <w:r w:rsidRPr="00CD04EC">
              <w:rPr>
                <w:color w:val="000000" w:themeColor="text1"/>
              </w:rPr>
              <w:t xml:space="preserve">pildytinos Licencijavimo pagrindų aprašo 18.7 ir 18.9 papunkčių nuostatomis dėl licencijos pakeitimo, galiojimo sustabdymo ir galiojimo sustabdymo panaikinimo, kadangi locmano liudijimas nėra keičiamas, taip pat nėra stabdomas jo galiojimas. </w:t>
            </w:r>
            <w:r w:rsidR="00CD04EC">
              <w:rPr>
                <w:color w:val="000000" w:themeColor="text1"/>
              </w:rPr>
              <w:t>Tuo atveju, jei</w:t>
            </w:r>
            <w:r w:rsidR="00FE725C">
              <w:rPr>
                <w:color w:val="000000" w:themeColor="text1"/>
              </w:rPr>
              <w:t>gu</w:t>
            </w:r>
            <w:r w:rsidR="00CD04EC">
              <w:rPr>
                <w:color w:val="000000" w:themeColor="text1"/>
              </w:rPr>
              <w:t xml:space="preserve"> locmanas įvykdo tam tikrą pažeidimą</w:t>
            </w:r>
            <w:r w:rsidR="007672D1">
              <w:rPr>
                <w:color w:val="000000" w:themeColor="text1"/>
              </w:rPr>
              <w:t xml:space="preserve"> (pavyzdžiui, įvyksta avarija dėl locmano kaltės)</w:t>
            </w:r>
            <w:r w:rsidR="00FE725C">
              <w:rPr>
                <w:color w:val="000000" w:themeColor="text1"/>
              </w:rPr>
              <w:t>,</w:t>
            </w:r>
            <w:r w:rsidR="00CD04EC">
              <w:rPr>
                <w:color w:val="000000" w:themeColor="text1"/>
              </w:rPr>
              <w:t xml:space="preserve"> pažeidimas laikytinas e</w:t>
            </w:r>
            <w:r w:rsidR="00C875DB">
              <w:rPr>
                <w:color w:val="000000" w:themeColor="text1"/>
              </w:rPr>
              <w:t>smini</w:t>
            </w:r>
            <w:r w:rsidR="00CD04EC">
              <w:rPr>
                <w:color w:val="000000" w:themeColor="text1"/>
              </w:rPr>
              <w:t>u, todėl locmano liudijimo galiojimas panaikinamas.</w:t>
            </w:r>
          </w:p>
          <w:p w14:paraId="6DA73A6B" w14:textId="77777777" w:rsidR="00CC7454" w:rsidRPr="0085208B" w:rsidRDefault="00CC7454" w:rsidP="0085208B">
            <w:pPr>
              <w:tabs>
                <w:tab w:val="left" w:pos="993"/>
              </w:tabs>
              <w:rPr>
                <w:color w:val="000000" w:themeColor="text1"/>
              </w:rPr>
            </w:pPr>
          </w:p>
          <w:p w14:paraId="02A04191" w14:textId="18EEAC7B" w:rsidR="006B229E" w:rsidRPr="00680CE4" w:rsidRDefault="006B229E" w:rsidP="00470233">
            <w:pPr>
              <w:tabs>
                <w:tab w:val="left" w:pos="993"/>
              </w:tabs>
              <w:rPr>
                <w:color w:val="000000" w:themeColor="text1"/>
              </w:rPr>
            </w:pPr>
          </w:p>
        </w:tc>
      </w:tr>
      <w:tr w:rsidR="00C51B3C" w:rsidRPr="00234180" w14:paraId="41AA5123" w14:textId="77777777" w:rsidTr="00CE2CB4">
        <w:tc>
          <w:tcPr>
            <w:tcW w:w="1838" w:type="dxa"/>
          </w:tcPr>
          <w:p w14:paraId="799CC52B" w14:textId="3785EA11" w:rsidR="00C51B3C" w:rsidRDefault="00CE2CB4" w:rsidP="00B160D7">
            <w:pPr>
              <w:rPr>
                <w:color w:val="000000" w:themeColor="text1"/>
              </w:rPr>
            </w:pPr>
            <w:r>
              <w:rPr>
                <w:color w:val="000000" w:themeColor="text1"/>
              </w:rPr>
              <w:lastRenderedPageBreak/>
              <w:t xml:space="preserve">Lietuvos Respublikos teisingumo ministerijos 2019-05-23 raštas Nr. </w:t>
            </w:r>
            <w:r w:rsidRPr="00CE2CB4">
              <w:rPr>
                <w:color w:val="000000" w:themeColor="text1"/>
              </w:rPr>
              <w:t>(1.6E) 2T-449</w:t>
            </w:r>
          </w:p>
        </w:tc>
        <w:tc>
          <w:tcPr>
            <w:tcW w:w="6634" w:type="dxa"/>
          </w:tcPr>
          <w:p w14:paraId="0E44F7F6" w14:textId="138B1A43" w:rsidR="00C51B3C" w:rsidRPr="00680CE4" w:rsidRDefault="00CE2CB4" w:rsidP="00CE2CB4">
            <w:pPr>
              <w:autoSpaceDE w:val="0"/>
              <w:autoSpaceDN w:val="0"/>
              <w:adjustRightInd w:val="0"/>
              <w:rPr>
                <w:rFonts w:ascii="TimesNewRomanPSMT" w:hAnsi="TimesNewRomanPSMT" w:cs="TimesNewRomanPSMT"/>
                <w:color w:val="000000" w:themeColor="text1"/>
                <w:lang w:eastAsia="lt-LT"/>
              </w:rPr>
            </w:pPr>
            <w:r w:rsidRPr="00CE2CB4">
              <w:rPr>
                <w:rFonts w:ascii="TimesNewRomanPSMT" w:hAnsi="TimesNewRomanPSMT" w:cs="TimesNewRomanPSMT"/>
                <w:color w:val="000000" w:themeColor="text1"/>
                <w:lang w:eastAsia="lt-LT"/>
              </w:rPr>
              <w:t>Saugios laivybos įstatymo 26 str. turėtų būti apibrėžti esminiai laivybos</w:t>
            </w:r>
            <w:r>
              <w:rPr>
                <w:rFonts w:ascii="TimesNewRomanPSMT" w:hAnsi="TimesNewRomanPSMT" w:cs="TimesNewRomanPSMT"/>
                <w:color w:val="000000" w:themeColor="text1"/>
                <w:lang w:eastAsia="lt-LT"/>
              </w:rPr>
              <w:t xml:space="preserve"> </w:t>
            </w:r>
            <w:r w:rsidRPr="00CE2CB4">
              <w:rPr>
                <w:rFonts w:ascii="TimesNewRomanPSMT" w:hAnsi="TimesNewRomanPSMT" w:cs="TimesNewRomanPSMT"/>
                <w:color w:val="000000" w:themeColor="text1"/>
                <w:lang w:eastAsia="lt-LT"/>
              </w:rPr>
              <w:t>inspektoriams taikomi reikalavimai (pvz., atestavimas).</w:t>
            </w:r>
          </w:p>
        </w:tc>
        <w:tc>
          <w:tcPr>
            <w:tcW w:w="6662" w:type="dxa"/>
          </w:tcPr>
          <w:p w14:paraId="54D3FEE7" w14:textId="777CB4F9" w:rsidR="00CE2CB4" w:rsidRPr="00CE2CB4" w:rsidRDefault="00CE2CB4" w:rsidP="00CE2CB4">
            <w:pPr>
              <w:tabs>
                <w:tab w:val="left" w:pos="993"/>
              </w:tabs>
              <w:rPr>
                <w:b/>
                <w:bCs/>
                <w:color w:val="000000" w:themeColor="text1"/>
              </w:rPr>
            </w:pPr>
            <w:r w:rsidRPr="00CE2CB4">
              <w:rPr>
                <w:b/>
                <w:bCs/>
                <w:color w:val="000000" w:themeColor="text1"/>
              </w:rPr>
              <w:t>Neatsižvelgt</w:t>
            </w:r>
            <w:r w:rsidR="00FE725C">
              <w:rPr>
                <w:b/>
                <w:bCs/>
                <w:color w:val="000000" w:themeColor="text1"/>
              </w:rPr>
              <w:t>a</w:t>
            </w:r>
            <w:r w:rsidRPr="00CE2CB4">
              <w:rPr>
                <w:b/>
                <w:bCs/>
                <w:color w:val="000000" w:themeColor="text1"/>
              </w:rPr>
              <w:t>.</w:t>
            </w:r>
          </w:p>
          <w:p w14:paraId="47A3C489" w14:textId="1F023167" w:rsidR="00CE2CB4" w:rsidRPr="00CE2CB4" w:rsidRDefault="00CE2CB4" w:rsidP="00CE2CB4">
            <w:pPr>
              <w:tabs>
                <w:tab w:val="left" w:pos="993"/>
              </w:tabs>
              <w:rPr>
                <w:color w:val="000000" w:themeColor="text1"/>
              </w:rPr>
            </w:pPr>
            <w:r w:rsidRPr="00CE2CB4">
              <w:rPr>
                <w:color w:val="000000" w:themeColor="text1"/>
              </w:rPr>
              <w:t xml:space="preserve">Atsižvelgiant į tai, kad </w:t>
            </w:r>
            <w:r w:rsidRPr="00CE2CB4">
              <w:rPr>
                <w:bCs/>
                <w:color w:val="000000" w:themeColor="text1"/>
              </w:rPr>
              <w:t>laivybos inspektorius </w:t>
            </w:r>
            <w:r w:rsidRPr="00CE2CB4">
              <w:rPr>
                <w:color w:val="000000" w:themeColor="text1"/>
              </w:rPr>
              <w:t xml:space="preserve">yra </w:t>
            </w:r>
            <w:r w:rsidR="00AC0D01">
              <w:rPr>
                <w:color w:val="000000" w:themeColor="text1"/>
              </w:rPr>
              <w:t>Lietuvos transporto saugos a</w:t>
            </w:r>
            <w:r w:rsidR="00AC0D01" w:rsidRPr="00CE2CB4">
              <w:rPr>
                <w:color w:val="000000" w:themeColor="text1"/>
              </w:rPr>
              <w:t xml:space="preserve">dministracijoje </w:t>
            </w:r>
            <w:r w:rsidRPr="00CE2CB4">
              <w:rPr>
                <w:color w:val="000000" w:themeColor="text1"/>
              </w:rPr>
              <w:t>dirbantis valstybės tarnautojas, o bendrieji reikalavimai valstybės tarnautojams yra nustatyti Lietuvos Respublikos valstybės tarnybos įstatyme, manytina, kad specialieji kvalifikaciniai reikalavimai turėtų būti nustatyti tik įstatym</w:t>
            </w:r>
            <w:r w:rsidR="00FE725C">
              <w:rPr>
                <w:color w:val="000000" w:themeColor="text1"/>
              </w:rPr>
              <w:t>o įgyvendinamajame</w:t>
            </w:r>
            <w:r w:rsidRPr="00CE2CB4">
              <w:rPr>
                <w:color w:val="000000" w:themeColor="text1"/>
              </w:rPr>
              <w:t xml:space="preserve"> teisės akte.</w:t>
            </w:r>
          </w:p>
          <w:p w14:paraId="150C50E1" w14:textId="472D7CA4" w:rsidR="0000551A" w:rsidRDefault="0000551A" w:rsidP="0000551A">
            <w:pPr>
              <w:tabs>
                <w:tab w:val="left" w:pos="993"/>
              </w:tabs>
              <w:rPr>
                <w:color w:val="000000" w:themeColor="text1"/>
              </w:rPr>
            </w:pPr>
          </w:p>
          <w:p w14:paraId="1654ABBC" w14:textId="77777777" w:rsidR="0000551A" w:rsidRDefault="0000551A" w:rsidP="0000551A">
            <w:pPr>
              <w:tabs>
                <w:tab w:val="left" w:pos="993"/>
              </w:tabs>
              <w:rPr>
                <w:color w:val="000000" w:themeColor="text1"/>
              </w:rPr>
            </w:pPr>
          </w:p>
          <w:p w14:paraId="06E95D3B" w14:textId="096DF976" w:rsidR="00C51B3C" w:rsidRDefault="00C51B3C" w:rsidP="00470233">
            <w:pPr>
              <w:tabs>
                <w:tab w:val="left" w:pos="993"/>
              </w:tabs>
              <w:rPr>
                <w:color w:val="000000" w:themeColor="text1"/>
              </w:rPr>
            </w:pPr>
          </w:p>
        </w:tc>
      </w:tr>
      <w:tr w:rsidR="009574C4" w:rsidRPr="00234180" w14:paraId="0261D4E8" w14:textId="77777777" w:rsidTr="00CE2CB4">
        <w:tc>
          <w:tcPr>
            <w:tcW w:w="1838" w:type="dxa"/>
          </w:tcPr>
          <w:p w14:paraId="5AEE2BB0" w14:textId="77777777" w:rsidR="009574C4" w:rsidRDefault="009574C4" w:rsidP="00B160D7">
            <w:pPr>
              <w:rPr>
                <w:color w:val="000000" w:themeColor="text1"/>
              </w:rPr>
            </w:pPr>
          </w:p>
        </w:tc>
        <w:tc>
          <w:tcPr>
            <w:tcW w:w="6634" w:type="dxa"/>
          </w:tcPr>
          <w:p w14:paraId="7E0EDF24" w14:textId="7078E367" w:rsidR="009574C4" w:rsidRPr="00CE2CB4" w:rsidRDefault="009574C4" w:rsidP="009574C4">
            <w:pPr>
              <w:autoSpaceDE w:val="0"/>
              <w:autoSpaceDN w:val="0"/>
              <w:adjustRightInd w:val="0"/>
              <w:rPr>
                <w:rFonts w:ascii="TimesNewRomanPSMT" w:hAnsi="TimesNewRomanPSMT" w:cs="TimesNewRomanPSMT"/>
                <w:color w:val="000000" w:themeColor="text1"/>
                <w:lang w:eastAsia="lt-LT"/>
              </w:rPr>
            </w:pPr>
            <w:r w:rsidRPr="009574C4">
              <w:rPr>
                <w:rFonts w:ascii="TimesNewRomanPSMT" w:hAnsi="TimesNewRomanPSMT" w:cs="TimesNewRomanPSMT"/>
                <w:color w:val="000000" w:themeColor="text1"/>
                <w:lang w:eastAsia="lt-LT"/>
              </w:rPr>
              <w:t>Siūlome tikslinti Saugios laivybos įstatymo 19 str. nuostatas egzamino laikymo</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aspektu. Atsižvelgiant į tai, kad siekiama įtvirtinti reguliavimą, pagal kurį locmano liudijimas būtų</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išduodamas tik išlaikius egzaminą (kuris būtų aktualus tik konkretaus locmano liudijimo</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išdavimui), pareiga būti išlaikius egzaminą neturėtų būti nustatoma kaip bendrasis teisės vykdyti</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veiklą reikalavimas, neribojamas termino, o kaip locmano liudijimo išdavimo procedūros</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privalomas elementas. Kaip reikalavimas turėtų būti nustatomas privalomas žinių, reikalingų</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veiklai, turėjimas (kuris ir būtų patikrinamas locmano liudijimo išdavimo metu). Priešingu atveju</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asmuo, bent kartą gyvenime išlaikęs locmano egzaminą, būtų atitinkantis Saugios laivybos</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įstatymo 19 str. 1 d. nustatytą reikalavimą. Kitas galimas reguliavimo variantas – atsieti locmano</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egzaminą nuo locmano liudijimo išdavimo procedūros, ir nustatyti sąlygą būti išlaikiusiam</w:t>
            </w:r>
            <w:r>
              <w:rPr>
                <w:rFonts w:ascii="TimesNewRomanPSMT" w:hAnsi="TimesNewRomanPSMT" w:cs="TimesNewRomanPSMT"/>
                <w:color w:val="000000" w:themeColor="text1"/>
                <w:lang w:eastAsia="lt-LT"/>
              </w:rPr>
              <w:t xml:space="preserve"> </w:t>
            </w:r>
            <w:r w:rsidRPr="009574C4">
              <w:rPr>
                <w:rFonts w:ascii="TimesNewRomanPSMT" w:hAnsi="TimesNewRomanPSMT" w:cs="TimesNewRomanPSMT"/>
                <w:color w:val="000000" w:themeColor="text1"/>
                <w:lang w:eastAsia="lt-LT"/>
              </w:rPr>
              <w:t>locmano egzaminą ne seniau kaip nustatytą laikotarpį iki naujo locmano liudijimo išdavimo.</w:t>
            </w:r>
          </w:p>
        </w:tc>
        <w:tc>
          <w:tcPr>
            <w:tcW w:w="6662" w:type="dxa"/>
          </w:tcPr>
          <w:p w14:paraId="2BF8281F" w14:textId="77777777" w:rsidR="00543AF2" w:rsidRPr="00543AF2" w:rsidRDefault="00543AF2" w:rsidP="00B42624">
            <w:pPr>
              <w:tabs>
                <w:tab w:val="left" w:pos="993"/>
              </w:tabs>
              <w:rPr>
                <w:b/>
                <w:bCs/>
                <w:color w:val="000000" w:themeColor="text1"/>
              </w:rPr>
            </w:pPr>
            <w:r w:rsidRPr="00543AF2">
              <w:rPr>
                <w:b/>
                <w:bCs/>
                <w:color w:val="000000" w:themeColor="text1"/>
              </w:rPr>
              <w:t>Atsižvelgta iš dalies.</w:t>
            </w:r>
          </w:p>
          <w:p w14:paraId="1AB9B83C" w14:textId="50C0AE06" w:rsidR="00543AF2" w:rsidRDefault="00AB6E9F" w:rsidP="00B42624">
            <w:pPr>
              <w:tabs>
                <w:tab w:val="left" w:pos="993"/>
              </w:tabs>
              <w:rPr>
                <w:color w:val="000000" w:themeColor="text1"/>
              </w:rPr>
            </w:pPr>
            <w:r>
              <w:rPr>
                <w:color w:val="000000" w:themeColor="text1"/>
              </w:rPr>
              <w:t>Locmano kvalifikacijos vertinimo e</w:t>
            </w:r>
            <w:r w:rsidR="00543AF2">
              <w:rPr>
                <w:color w:val="000000" w:themeColor="text1"/>
              </w:rPr>
              <w:t xml:space="preserve">gzamino laikymas negali būti visiškai atsietas nuo locmano liudijimo išdavimo, kadangi asmuo, neišlaikęs egzamino, negalėtų įgyti locmano liudijimo. Patikslinta nuostata, susijusi su kvalifikacijos vertinimo egzaminu, </w:t>
            </w:r>
            <w:r w:rsidR="0021527E">
              <w:rPr>
                <w:color w:val="000000" w:themeColor="text1"/>
              </w:rPr>
              <w:t xml:space="preserve">ir </w:t>
            </w:r>
            <w:r w:rsidR="00543AF2">
              <w:rPr>
                <w:color w:val="000000" w:themeColor="text1"/>
              </w:rPr>
              <w:t>numat</w:t>
            </w:r>
            <w:r w:rsidR="0021527E">
              <w:rPr>
                <w:color w:val="000000" w:themeColor="text1"/>
              </w:rPr>
              <w:t>y</w:t>
            </w:r>
            <w:r w:rsidR="00543AF2">
              <w:rPr>
                <w:color w:val="000000" w:themeColor="text1"/>
              </w:rPr>
              <w:t>t</w:t>
            </w:r>
            <w:r w:rsidR="0021527E">
              <w:rPr>
                <w:color w:val="000000" w:themeColor="text1"/>
              </w:rPr>
              <w:t>a</w:t>
            </w:r>
            <w:r w:rsidR="00543AF2">
              <w:rPr>
                <w:color w:val="000000" w:themeColor="text1"/>
              </w:rPr>
              <w:t>, kad egzaminas gali būti laikomas, jei asmuo atitinka nustatytus reikalavimus,</w:t>
            </w:r>
            <w:r>
              <w:rPr>
                <w:color w:val="000000" w:themeColor="text1"/>
              </w:rPr>
              <w:t xml:space="preserve"> taip pat</w:t>
            </w:r>
            <w:r w:rsidR="00543AF2">
              <w:rPr>
                <w:color w:val="000000" w:themeColor="text1"/>
              </w:rPr>
              <w:t xml:space="preserve"> patikslin</w:t>
            </w:r>
            <w:r w:rsidR="0006352C">
              <w:rPr>
                <w:color w:val="000000" w:themeColor="text1"/>
              </w:rPr>
              <w:t>ta</w:t>
            </w:r>
            <w:r w:rsidR="00543AF2">
              <w:rPr>
                <w:color w:val="000000" w:themeColor="text1"/>
              </w:rPr>
              <w:t xml:space="preserve">, kad locmano liudijimas </w:t>
            </w:r>
            <w:r>
              <w:rPr>
                <w:color w:val="000000" w:themeColor="text1"/>
              </w:rPr>
              <w:t>išduodamas ne ilgesniam kaip 5 metų laikotarpiui nuo paskutinio išlaikyto egzamino dienos.</w:t>
            </w:r>
          </w:p>
          <w:p w14:paraId="1B9370FA" w14:textId="5A6027D9" w:rsidR="009574C4" w:rsidRPr="00B42624" w:rsidRDefault="009574C4" w:rsidP="00B42624">
            <w:pPr>
              <w:tabs>
                <w:tab w:val="left" w:pos="993"/>
              </w:tabs>
              <w:rPr>
                <w:color w:val="000000" w:themeColor="text1"/>
              </w:rPr>
            </w:pPr>
          </w:p>
        </w:tc>
      </w:tr>
    </w:tbl>
    <w:p w14:paraId="3E6FDF5D" w14:textId="0D7D6F1E" w:rsidR="003B5A20" w:rsidRPr="00234180" w:rsidRDefault="005E7246" w:rsidP="005E7246">
      <w:pPr>
        <w:ind w:left="5040" w:firstLine="720"/>
        <w:rPr>
          <w:color w:val="000000" w:themeColor="text1"/>
        </w:rPr>
      </w:pPr>
      <w:r>
        <w:rPr>
          <w:color w:val="000000" w:themeColor="text1"/>
        </w:rPr>
        <w:t>_____________________________</w:t>
      </w:r>
    </w:p>
    <w:sectPr w:rsidR="003B5A20" w:rsidRPr="00234180" w:rsidSect="008035EB">
      <w:headerReference w:type="even" r:id="rId8"/>
      <w:headerReference w:type="default" r:id="rId9"/>
      <w:pgSz w:w="16838" w:h="11906" w:orient="landscape" w:code="9"/>
      <w:pgMar w:top="284"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63F7B" w14:textId="77777777" w:rsidR="00BE46D7" w:rsidRDefault="00BE46D7">
      <w:r>
        <w:separator/>
      </w:r>
    </w:p>
  </w:endnote>
  <w:endnote w:type="continuationSeparator" w:id="0">
    <w:p w14:paraId="4802AEE8" w14:textId="77777777" w:rsidR="00BE46D7" w:rsidRDefault="00BE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4B60" w14:textId="77777777" w:rsidR="00BE46D7" w:rsidRDefault="00BE46D7">
      <w:r>
        <w:separator/>
      </w:r>
    </w:p>
  </w:footnote>
  <w:footnote w:type="continuationSeparator" w:id="0">
    <w:p w14:paraId="3A90994B" w14:textId="77777777" w:rsidR="00BE46D7" w:rsidRDefault="00BE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2" w14:textId="77777777" w:rsidR="00C875DB" w:rsidRDefault="00C875D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C875DB" w:rsidRDefault="00C875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4" w14:textId="77777777" w:rsidR="00C875DB" w:rsidRDefault="00C875D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3E6FDF65" w14:textId="77777777" w:rsidR="00C875DB" w:rsidRDefault="00C875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0FFD"/>
    <w:rsid w:val="00002102"/>
    <w:rsid w:val="00002BE2"/>
    <w:rsid w:val="00004D6C"/>
    <w:rsid w:val="00005341"/>
    <w:rsid w:val="0000551A"/>
    <w:rsid w:val="00005F38"/>
    <w:rsid w:val="00007424"/>
    <w:rsid w:val="00013230"/>
    <w:rsid w:val="000137BF"/>
    <w:rsid w:val="00020857"/>
    <w:rsid w:val="0002197A"/>
    <w:rsid w:val="000238E4"/>
    <w:rsid w:val="00024C47"/>
    <w:rsid w:val="00024F69"/>
    <w:rsid w:val="00025373"/>
    <w:rsid w:val="00026523"/>
    <w:rsid w:val="00027ACD"/>
    <w:rsid w:val="00032B7F"/>
    <w:rsid w:val="00035AC9"/>
    <w:rsid w:val="000375D3"/>
    <w:rsid w:val="00037759"/>
    <w:rsid w:val="00040B3E"/>
    <w:rsid w:val="00044D01"/>
    <w:rsid w:val="00046D91"/>
    <w:rsid w:val="0004733D"/>
    <w:rsid w:val="00052DCF"/>
    <w:rsid w:val="00061B80"/>
    <w:rsid w:val="00061C20"/>
    <w:rsid w:val="00063382"/>
    <w:rsid w:val="0006352C"/>
    <w:rsid w:val="0006368F"/>
    <w:rsid w:val="0006701F"/>
    <w:rsid w:val="00067C37"/>
    <w:rsid w:val="00071A94"/>
    <w:rsid w:val="000726A7"/>
    <w:rsid w:val="000802E3"/>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2B84"/>
    <w:rsid w:val="000C3ED3"/>
    <w:rsid w:val="000C4DA4"/>
    <w:rsid w:val="000C5252"/>
    <w:rsid w:val="000D21B8"/>
    <w:rsid w:val="000D4268"/>
    <w:rsid w:val="000D4F18"/>
    <w:rsid w:val="000D68B1"/>
    <w:rsid w:val="000D750F"/>
    <w:rsid w:val="000D768B"/>
    <w:rsid w:val="000E0F7E"/>
    <w:rsid w:val="000E1F2A"/>
    <w:rsid w:val="000E4866"/>
    <w:rsid w:val="000F13CF"/>
    <w:rsid w:val="000F2A57"/>
    <w:rsid w:val="000F392A"/>
    <w:rsid w:val="000F7580"/>
    <w:rsid w:val="00103023"/>
    <w:rsid w:val="001110F4"/>
    <w:rsid w:val="001126C2"/>
    <w:rsid w:val="00112BEE"/>
    <w:rsid w:val="001221E1"/>
    <w:rsid w:val="001229A1"/>
    <w:rsid w:val="00124052"/>
    <w:rsid w:val="00125819"/>
    <w:rsid w:val="00130284"/>
    <w:rsid w:val="00130EB9"/>
    <w:rsid w:val="00132B68"/>
    <w:rsid w:val="001344E4"/>
    <w:rsid w:val="001349E2"/>
    <w:rsid w:val="00144217"/>
    <w:rsid w:val="001447AF"/>
    <w:rsid w:val="00147FAB"/>
    <w:rsid w:val="00153459"/>
    <w:rsid w:val="001555B9"/>
    <w:rsid w:val="001635CF"/>
    <w:rsid w:val="00163A33"/>
    <w:rsid w:val="00166706"/>
    <w:rsid w:val="00167063"/>
    <w:rsid w:val="00167465"/>
    <w:rsid w:val="00170E06"/>
    <w:rsid w:val="00171199"/>
    <w:rsid w:val="0017204E"/>
    <w:rsid w:val="00174D9D"/>
    <w:rsid w:val="00175048"/>
    <w:rsid w:val="0017534E"/>
    <w:rsid w:val="00175F48"/>
    <w:rsid w:val="00187EA9"/>
    <w:rsid w:val="00190F93"/>
    <w:rsid w:val="001923F7"/>
    <w:rsid w:val="00194F30"/>
    <w:rsid w:val="001A008D"/>
    <w:rsid w:val="001A07A5"/>
    <w:rsid w:val="001A1B4E"/>
    <w:rsid w:val="001A3B52"/>
    <w:rsid w:val="001A4F49"/>
    <w:rsid w:val="001B052C"/>
    <w:rsid w:val="001B16D9"/>
    <w:rsid w:val="001B27BF"/>
    <w:rsid w:val="001B483B"/>
    <w:rsid w:val="001B5B50"/>
    <w:rsid w:val="001B6A8F"/>
    <w:rsid w:val="001C5C94"/>
    <w:rsid w:val="001D08AD"/>
    <w:rsid w:val="001D2481"/>
    <w:rsid w:val="001E10CA"/>
    <w:rsid w:val="001E2F1F"/>
    <w:rsid w:val="001E3346"/>
    <w:rsid w:val="001E4DD5"/>
    <w:rsid w:val="001F2E10"/>
    <w:rsid w:val="001F5B61"/>
    <w:rsid w:val="00200C60"/>
    <w:rsid w:val="00202C7A"/>
    <w:rsid w:val="00202FA0"/>
    <w:rsid w:val="00203C8E"/>
    <w:rsid w:val="002052FF"/>
    <w:rsid w:val="0020734B"/>
    <w:rsid w:val="00210F41"/>
    <w:rsid w:val="00212975"/>
    <w:rsid w:val="0021527E"/>
    <w:rsid w:val="00215C38"/>
    <w:rsid w:val="00224505"/>
    <w:rsid w:val="00224D54"/>
    <w:rsid w:val="00224E2B"/>
    <w:rsid w:val="0022528B"/>
    <w:rsid w:val="00225FE7"/>
    <w:rsid w:val="002266FC"/>
    <w:rsid w:val="00226883"/>
    <w:rsid w:val="00231434"/>
    <w:rsid w:val="00234180"/>
    <w:rsid w:val="00234FC7"/>
    <w:rsid w:val="002372A2"/>
    <w:rsid w:val="00242E16"/>
    <w:rsid w:val="00250CDB"/>
    <w:rsid w:val="0025224A"/>
    <w:rsid w:val="00252705"/>
    <w:rsid w:val="002543CC"/>
    <w:rsid w:val="00254C14"/>
    <w:rsid w:val="00255B03"/>
    <w:rsid w:val="002561F5"/>
    <w:rsid w:val="002633BF"/>
    <w:rsid w:val="00264453"/>
    <w:rsid w:val="00266D65"/>
    <w:rsid w:val="002673A4"/>
    <w:rsid w:val="002804C5"/>
    <w:rsid w:val="0028188B"/>
    <w:rsid w:val="0029087B"/>
    <w:rsid w:val="0029317B"/>
    <w:rsid w:val="002A2AC2"/>
    <w:rsid w:val="002A5465"/>
    <w:rsid w:val="002B048C"/>
    <w:rsid w:val="002B25B2"/>
    <w:rsid w:val="002B7D9A"/>
    <w:rsid w:val="002C247C"/>
    <w:rsid w:val="002C69D8"/>
    <w:rsid w:val="002C6E44"/>
    <w:rsid w:val="002D4626"/>
    <w:rsid w:val="002D6369"/>
    <w:rsid w:val="002D6623"/>
    <w:rsid w:val="002D7852"/>
    <w:rsid w:val="002D7F46"/>
    <w:rsid w:val="002E088A"/>
    <w:rsid w:val="002E0DBF"/>
    <w:rsid w:val="002F08F8"/>
    <w:rsid w:val="002F10C1"/>
    <w:rsid w:val="002F28D9"/>
    <w:rsid w:val="00300E4A"/>
    <w:rsid w:val="0030269B"/>
    <w:rsid w:val="003026B8"/>
    <w:rsid w:val="00303268"/>
    <w:rsid w:val="003040EB"/>
    <w:rsid w:val="00304EAB"/>
    <w:rsid w:val="00312CC5"/>
    <w:rsid w:val="00314055"/>
    <w:rsid w:val="003147A5"/>
    <w:rsid w:val="00320919"/>
    <w:rsid w:val="00320AD8"/>
    <w:rsid w:val="003219CA"/>
    <w:rsid w:val="00324E7C"/>
    <w:rsid w:val="003276DE"/>
    <w:rsid w:val="00332168"/>
    <w:rsid w:val="00332CEE"/>
    <w:rsid w:val="00340FC0"/>
    <w:rsid w:val="00346908"/>
    <w:rsid w:val="003503CF"/>
    <w:rsid w:val="00350B2D"/>
    <w:rsid w:val="00361DB5"/>
    <w:rsid w:val="003649A9"/>
    <w:rsid w:val="00366809"/>
    <w:rsid w:val="003669FD"/>
    <w:rsid w:val="0037068D"/>
    <w:rsid w:val="003803B1"/>
    <w:rsid w:val="00382E49"/>
    <w:rsid w:val="0038505B"/>
    <w:rsid w:val="00387BE2"/>
    <w:rsid w:val="00387F30"/>
    <w:rsid w:val="0039026B"/>
    <w:rsid w:val="00393F53"/>
    <w:rsid w:val="0039450F"/>
    <w:rsid w:val="003A0C4B"/>
    <w:rsid w:val="003A0C76"/>
    <w:rsid w:val="003A20EC"/>
    <w:rsid w:val="003A69FD"/>
    <w:rsid w:val="003A78E7"/>
    <w:rsid w:val="003B5A20"/>
    <w:rsid w:val="003C1025"/>
    <w:rsid w:val="003C7656"/>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23168"/>
    <w:rsid w:val="00434955"/>
    <w:rsid w:val="00437F20"/>
    <w:rsid w:val="00440AB7"/>
    <w:rsid w:val="004447B5"/>
    <w:rsid w:val="004519D8"/>
    <w:rsid w:val="00451DC1"/>
    <w:rsid w:val="004601A1"/>
    <w:rsid w:val="00460B0C"/>
    <w:rsid w:val="004623A4"/>
    <w:rsid w:val="0046412D"/>
    <w:rsid w:val="0046453D"/>
    <w:rsid w:val="00470233"/>
    <w:rsid w:val="0047489D"/>
    <w:rsid w:val="0048748A"/>
    <w:rsid w:val="00492F41"/>
    <w:rsid w:val="00494A16"/>
    <w:rsid w:val="004A1E16"/>
    <w:rsid w:val="004A5235"/>
    <w:rsid w:val="004A6ADD"/>
    <w:rsid w:val="004A71A7"/>
    <w:rsid w:val="004B1DB5"/>
    <w:rsid w:val="004B471B"/>
    <w:rsid w:val="004B4F31"/>
    <w:rsid w:val="004C17EC"/>
    <w:rsid w:val="004C62A0"/>
    <w:rsid w:val="004C7A4A"/>
    <w:rsid w:val="004D2D81"/>
    <w:rsid w:val="004D2DF8"/>
    <w:rsid w:val="004D486D"/>
    <w:rsid w:val="004E4143"/>
    <w:rsid w:val="004E68E1"/>
    <w:rsid w:val="00500379"/>
    <w:rsid w:val="00504A44"/>
    <w:rsid w:val="00505DD7"/>
    <w:rsid w:val="005077FA"/>
    <w:rsid w:val="00510B57"/>
    <w:rsid w:val="00511C08"/>
    <w:rsid w:val="00513534"/>
    <w:rsid w:val="00515F8A"/>
    <w:rsid w:val="00522D70"/>
    <w:rsid w:val="00523531"/>
    <w:rsid w:val="00526205"/>
    <w:rsid w:val="00540C21"/>
    <w:rsid w:val="00543AF2"/>
    <w:rsid w:val="00545768"/>
    <w:rsid w:val="00546080"/>
    <w:rsid w:val="00551A78"/>
    <w:rsid w:val="005571F8"/>
    <w:rsid w:val="00557683"/>
    <w:rsid w:val="00560B62"/>
    <w:rsid w:val="005613DD"/>
    <w:rsid w:val="00566BE8"/>
    <w:rsid w:val="00577A43"/>
    <w:rsid w:val="00580864"/>
    <w:rsid w:val="005852F5"/>
    <w:rsid w:val="00586BF1"/>
    <w:rsid w:val="00590B1E"/>
    <w:rsid w:val="005910A0"/>
    <w:rsid w:val="005919D0"/>
    <w:rsid w:val="005930C9"/>
    <w:rsid w:val="00593BA6"/>
    <w:rsid w:val="00597688"/>
    <w:rsid w:val="005A557A"/>
    <w:rsid w:val="005A76E9"/>
    <w:rsid w:val="005A7D0C"/>
    <w:rsid w:val="005B44DC"/>
    <w:rsid w:val="005B45CB"/>
    <w:rsid w:val="005B5DDE"/>
    <w:rsid w:val="005C1A43"/>
    <w:rsid w:val="005C44C6"/>
    <w:rsid w:val="005C48F7"/>
    <w:rsid w:val="005C6AB5"/>
    <w:rsid w:val="005C7589"/>
    <w:rsid w:val="005D3CCC"/>
    <w:rsid w:val="005D69FF"/>
    <w:rsid w:val="005E5C17"/>
    <w:rsid w:val="005E68FF"/>
    <w:rsid w:val="005E7246"/>
    <w:rsid w:val="005F527D"/>
    <w:rsid w:val="005F7F04"/>
    <w:rsid w:val="006005DB"/>
    <w:rsid w:val="00601DF3"/>
    <w:rsid w:val="00604C6E"/>
    <w:rsid w:val="006104D6"/>
    <w:rsid w:val="00611AF4"/>
    <w:rsid w:val="00611DCE"/>
    <w:rsid w:val="00613ACF"/>
    <w:rsid w:val="0061483E"/>
    <w:rsid w:val="00614E0A"/>
    <w:rsid w:val="006151E7"/>
    <w:rsid w:val="00615AFB"/>
    <w:rsid w:val="006170D2"/>
    <w:rsid w:val="006239CC"/>
    <w:rsid w:val="00625121"/>
    <w:rsid w:val="00627629"/>
    <w:rsid w:val="006312B0"/>
    <w:rsid w:val="006328EE"/>
    <w:rsid w:val="00632B73"/>
    <w:rsid w:val="00633D9F"/>
    <w:rsid w:val="006347F5"/>
    <w:rsid w:val="006359F4"/>
    <w:rsid w:val="006365A7"/>
    <w:rsid w:val="006404CD"/>
    <w:rsid w:val="00653370"/>
    <w:rsid w:val="00660D3A"/>
    <w:rsid w:val="00664715"/>
    <w:rsid w:val="00664918"/>
    <w:rsid w:val="00666C05"/>
    <w:rsid w:val="00672ADD"/>
    <w:rsid w:val="00672B26"/>
    <w:rsid w:val="00673B9F"/>
    <w:rsid w:val="00675F41"/>
    <w:rsid w:val="006769DA"/>
    <w:rsid w:val="00680CE4"/>
    <w:rsid w:val="00681F0C"/>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B229E"/>
    <w:rsid w:val="006C0774"/>
    <w:rsid w:val="006C516C"/>
    <w:rsid w:val="006C652A"/>
    <w:rsid w:val="006D66CF"/>
    <w:rsid w:val="006E4493"/>
    <w:rsid w:val="006E75F3"/>
    <w:rsid w:val="006E7844"/>
    <w:rsid w:val="006F424A"/>
    <w:rsid w:val="006F7C21"/>
    <w:rsid w:val="00701E42"/>
    <w:rsid w:val="00702705"/>
    <w:rsid w:val="00704AD4"/>
    <w:rsid w:val="00712D1A"/>
    <w:rsid w:val="0071362E"/>
    <w:rsid w:val="00714025"/>
    <w:rsid w:val="00721BCD"/>
    <w:rsid w:val="007221FE"/>
    <w:rsid w:val="00725BBF"/>
    <w:rsid w:val="007303DB"/>
    <w:rsid w:val="00733CE9"/>
    <w:rsid w:val="00734834"/>
    <w:rsid w:val="00736601"/>
    <w:rsid w:val="007443CD"/>
    <w:rsid w:val="00744A21"/>
    <w:rsid w:val="00747C3D"/>
    <w:rsid w:val="0075178B"/>
    <w:rsid w:val="007534F1"/>
    <w:rsid w:val="00754E97"/>
    <w:rsid w:val="00757DC1"/>
    <w:rsid w:val="0076017B"/>
    <w:rsid w:val="007610BE"/>
    <w:rsid w:val="007672D1"/>
    <w:rsid w:val="007731A7"/>
    <w:rsid w:val="00774386"/>
    <w:rsid w:val="00780892"/>
    <w:rsid w:val="007820E1"/>
    <w:rsid w:val="007848A3"/>
    <w:rsid w:val="00786E79"/>
    <w:rsid w:val="00790D43"/>
    <w:rsid w:val="00791A09"/>
    <w:rsid w:val="00792611"/>
    <w:rsid w:val="00793168"/>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F1602"/>
    <w:rsid w:val="007F2E78"/>
    <w:rsid w:val="007F52D9"/>
    <w:rsid w:val="007F5D24"/>
    <w:rsid w:val="007F5F6A"/>
    <w:rsid w:val="007F7EBC"/>
    <w:rsid w:val="00800EF0"/>
    <w:rsid w:val="00801A75"/>
    <w:rsid w:val="008035EB"/>
    <w:rsid w:val="008039C5"/>
    <w:rsid w:val="00803FB0"/>
    <w:rsid w:val="0080656B"/>
    <w:rsid w:val="00807F98"/>
    <w:rsid w:val="00813DF1"/>
    <w:rsid w:val="008176AA"/>
    <w:rsid w:val="00825A59"/>
    <w:rsid w:val="00825BED"/>
    <w:rsid w:val="008300FE"/>
    <w:rsid w:val="00831C17"/>
    <w:rsid w:val="00833F92"/>
    <w:rsid w:val="00835534"/>
    <w:rsid w:val="00840EA8"/>
    <w:rsid w:val="00851C59"/>
    <w:rsid w:val="0085208B"/>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6293"/>
    <w:rsid w:val="00887820"/>
    <w:rsid w:val="00893E97"/>
    <w:rsid w:val="00896DA8"/>
    <w:rsid w:val="00896FE8"/>
    <w:rsid w:val="008A17AB"/>
    <w:rsid w:val="008A3D69"/>
    <w:rsid w:val="008A4946"/>
    <w:rsid w:val="008A6ADF"/>
    <w:rsid w:val="008A6F68"/>
    <w:rsid w:val="008B372F"/>
    <w:rsid w:val="008B5D6C"/>
    <w:rsid w:val="008C2582"/>
    <w:rsid w:val="008C29A3"/>
    <w:rsid w:val="008C2E2D"/>
    <w:rsid w:val="008C4E9E"/>
    <w:rsid w:val="008C6DCE"/>
    <w:rsid w:val="008C7353"/>
    <w:rsid w:val="008D07D9"/>
    <w:rsid w:val="008D30CF"/>
    <w:rsid w:val="008D7977"/>
    <w:rsid w:val="008E002B"/>
    <w:rsid w:val="008E065E"/>
    <w:rsid w:val="008E23C2"/>
    <w:rsid w:val="008E2D32"/>
    <w:rsid w:val="008E34FD"/>
    <w:rsid w:val="008E4643"/>
    <w:rsid w:val="008E5687"/>
    <w:rsid w:val="008F131F"/>
    <w:rsid w:val="008F2D7A"/>
    <w:rsid w:val="008F69D7"/>
    <w:rsid w:val="00903162"/>
    <w:rsid w:val="009042C4"/>
    <w:rsid w:val="00905574"/>
    <w:rsid w:val="00905AFD"/>
    <w:rsid w:val="00907C4E"/>
    <w:rsid w:val="009109CB"/>
    <w:rsid w:val="009111D1"/>
    <w:rsid w:val="00911ED8"/>
    <w:rsid w:val="0091419F"/>
    <w:rsid w:val="00915233"/>
    <w:rsid w:val="009157C9"/>
    <w:rsid w:val="00922B2F"/>
    <w:rsid w:val="00926C11"/>
    <w:rsid w:val="00930B0C"/>
    <w:rsid w:val="00931312"/>
    <w:rsid w:val="0093268D"/>
    <w:rsid w:val="00941131"/>
    <w:rsid w:val="009433B1"/>
    <w:rsid w:val="00943CD2"/>
    <w:rsid w:val="0094511C"/>
    <w:rsid w:val="00950F01"/>
    <w:rsid w:val="0095184F"/>
    <w:rsid w:val="00953521"/>
    <w:rsid w:val="009558D5"/>
    <w:rsid w:val="00956FC3"/>
    <w:rsid w:val="009574C4"/>
    <w:rsid w:val="00960405"/>
    <w:rsid w:val="0096388F"/>
    <w:rsid w:val="00963B50"/>
    <w:rsid w:val="0096468E"/>
    <w:rsid w:val="009678CB"/>
    <w:rsid w:val="00971AF6"/>
    <w:rsid w:val="009722BF"/>
    <w:rsid w:val="00972A36"/>
    <w:rsid w:val="00973C4D"/>
    <w:rsid w:val="00973FDE"/>
    <w:rsid w:val="00981FB1"/>
    <w:rsid w:val="00985053"/>
    <w:rsid w:val="00985F51"/>
    <w:rsid w:val="009902A4"/>
    <w:rsid w:val="009907AF"/>
    <w:rsid w:val="009912D7"/>
    <w:rsid w:val="00993670"/>
    <w:rsid w:val="00994B68"/>
    <w:rsid w:val="00997EA5"/>
    <w:rsid w:val="009A1C04"/>
    <w:rsid w:val="009A4CBB"/>
    <w:rsid w:val="009A5A2F"/>
    <w:rsid w:val="009B1714"/>
    <w:rsid w:val="009B5526"/>
    <w:rsid w:val="009B617C"/>
    <w:rsid w:val="009B694A"/>
    <w:rsid w:val="009B7A42"/>
    <w:rsid w:val="009D0C11"/>
    <w:rsid w:val="009D3A69"/>
    <w:rsid w:val="009D6305"/>
    <w:rsid w:val="009E1F93"/>
    <w:rsid w:val="009F0EBF"/>
    <w:rsid w:val="009F14C0"/>
    <w:rsid w:val="009F2EA4"/>
    <w:rsid w:val="009F30E1"/>
    <w:rsid w:val="009F379B"/>
    <w:rsid w:val="009F54AA"/>
    <w:rsid w:val="009F5617"/>
    <w:rsid w:val="00A0521B"/>
    <w:rsid w:val="00A057CD"/>
    <w:rsid w:val="00A1550B"/>
    <w:rsid w:val="00A166BC"/>
    <w:rsid w:val="00A17F90"/>
    <w:rsid w:val="00A24EB9"/>
    <w:rsid w:val="00A253CC"/>
    <w:rsid w:val="00A268B5"/>
    <w:rsid w:val="00A27DE7"/>
    <w:rsid w:val="00A31D2D"/>
    <w:rsid w:val="00A31EFB"/>
    <w:rsid w:val="00A40408"/>
    <w:rsid w:val="00A43D97"/>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10FB"/>
    <w:rsid w:val="00A92639"/>
    <w:rsid w:val="00A93725"/>
    <w:rsid w:val="00A950A1"/>
    <w:rsid w:val="00A96D13"/>
    <w:rsid w:val="00AA0DC5"/>
    <w:rsid w:val="00AA103F"/>
    <w:rsid w:val="00AA496D"/>
    <w:rsid w:val="00AB10AA"/>
    <w:rsid w:val="00AB2197"/>
    <w:rsid w:val="00AB24C7"/>
    <w:rsid w:val="00AB2BE3"/>
    <w:rsid w:val="00AB3C8C"/>
    <w:rsid w:val="00AB4373"/>
    <w:rsid w:val="00AB4577"/>
    <w:rsid w:val="00AB6E9F"/>
    <w:rsid w:val="00AC0D01"/>
    <w:rsid w:val="00AC2D32"/>
    <w:rsid w:val="00AC32FF"/>
    <w:rsid w:val="00AC35D5"/>
    <w:rsid w:val="00AC5022"/>
    <w:rsid w:val="00AD0D2E"/>
    <w:rsid w:val="00AD1439"/>
    <w:rsid w:val="00AD5C4C"/>
    <w:rsid w:val="00AD79E1"/>
    <w:rsid w:val="00AE2017"/>
    <w:rsid w:val="00AE236E"/>
    <w:rsid w:val="00AE3488"/>
    <w:rsid w:val="00AF1E79"/>
    <w:rsid w:val="00AF28FB"/>
    <w:rsid w:val="00AF4364"/>
    <w:rsid w:val="00AF5225"/>
    <w:rsid w:val="00AF6B54"/>
    <w:rsid w:val="00AF7290"/>
    <w:rsid w:val="00B05BF8"/>
    <w:rsid w:val="00B063DB"/>
    <w:rsid w:val="00B06AF0"/>
    <w:rsid w:val="00B07103"/>
    <w:rsid w:val="00B15063"/>
    <w:rsid w:val="00B160D7"/>
    <w:rsid w:val="00B1754C"/>
    <w:rsid w:val="00B20644"/>
    <w:rsid w:val="00B23BB6"/>
    <w:rsid w:val="00B250F0"/>
    <w:rsid w:val="00B27EB2"/>
    <w:rsid w:val="00B33C7A"/>
    <w:rsid w:val="00B34C5D"/>
    <w:rsid w:val="00B351BD"/>
    <w:rsid w:val="00B401A7"/>
    <w:rsid w:val="00B42624"/>
    <w:rsid w:val="00B43FA6"/>
    <w:rsid w:val="00B5051B"/>
    <w:rsid w:val="00B54CD0"/>
    <w:rsid w:val="00B57E72"/>
    <w:rsid w:val="00B62259"/>
    <w:rsid w:val="00B630FC"/>
    <w:rsid w:val="00B6441D"/>
    <w:rsid w:val="00B65616"/>
    <w:rsid w:val="00B77592"/>
    <w:rsid w:val="00B846C1"/>
    <w:rsid w:val="00B87C0D"/>
    <w:rsid w:val="00B908A3"/>
    <w:rsid w:val="00B90B20"/>
    <w:rsid w:val="00B90F72"/>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2D92"/>
    <w:rsid w:val="00BC68FC"/>
    <w:rsid w:val="00BC69E3"/>
    <w:rsid w:val="00BD6821"/>
    <w:rsid w:val="00BD74A5"/>
    <w:rsid w:val="00BE46D7"/>
    <w:rsid w:val="00BF3146"/>
    <w:rsid w:val="00BF67DB"/>
    <w:rsid w:val="00BF729F"/>
    <w:rsid w:val="00C0325D"/>
    <w:rsid w:val="00C0329E"/>
    <w:rsid w:val="00C059E5"/>
    <w:rsid w:val="00C105F1"/>
    <w:rsid w:val="00C1268C"/>
    <w:rsid w:val="00C174CB"/>
    <w:rsid w:val="00C2021E"/>
    <w:rsid w:val="00C23EBA"/>
    <w:rsid w:val="00C23EFF"/>
    <w:rsid w:val="00C26153"/>
    <w:rsid w:val="00C31652"/>
    <w:rsid w:val="00C33530"/>
    <w:rsid w:val="00C37BC3"/>
    <w:rsid w:val="00C43BB8"/>
    <w:rsid w:val="00C51B3C"/>
    <w:rsid w:val="00C57E2C"/>
    <w:rsid w:val="00C623BB"/>
    <w:rsid w:val="00C62709"/>
    <w:rsid w:val="00C644B4"/>
    <w:rsid w:val="00C6481F"/>
    <w:rsid w:val="00C652F8"/>
    <w:rsid w:val="00C766B5"/>
    <w:rsid w:val="00C77251"/>
    <w:rsid w:val="00C813EB"/>
    <w:rsid w:val="00C84610"/>
    <w:rsid w:val="00C8568E"/>
    <w:rsid w:val="00C875DB"/>
    <w:rsid w:val="00C87DEC"/>
    <w:rsid w:val="00C92326"/>
    <w:rsid w:val="00C92A6B"/>
    <w:rsid w:val="00C947B7"/>
    <w:rsid w:val="00C95809"/>
    <w:rsid w:val="00C9748C"/>
    <w:rsid w:val="00CA1235"/>
    <w:rsid w:val="00CA1CBA"/>
    <w:rsid w:val="00CA2375"/>
    <w:rsid w:val="00CB18D3"/>
    <w:rsid w:val="00CB5CAF"/>
    <w:rsid w:val="00CC01BA"/>
    <w:rsid w:val="00CC2429"/>
    <w:rsid w:val="00CC4234"/>
    <w:rsid w:val="00CC624C"/>
    <w:rsid w:val="00CC7454"/>
    <w:rsid w:val="00CD04EC"/>
    <w:rsid w:val="00CD0C23"/>
    <w:rsid w:val="00CD0C39"/>
    <w:rsid w:val="00CD4AFC"/>
    <w:rsid w:val="00CD69BE"/>
    <w:rsid w:val="00CD6DC5"/>
    <w:rsid w:val="00CE0A0A"/>
    <w:rsid w:val="00CE0E7F"/>
    <w:rsid w:val="00CE14F0"/>
    <w:rsid w:val="00CE167C"/>
    <w:rsid w:val="00CE1AF5"/>
    <w:rsid w:val="00CE2CB4"/>
    <w:rsid w:val="00CE591F"/>
    <w:rsid w:val="00CE5B80"/>
    <w:rsid w:val="00CF7349"/>
    <w:rsid w:val="00CF74DB"/>
    <w:rsid w:val="00D01C2D"/>
    <w:rsid w:val="00D10F6D"/>
    <w:rsid w:val="00D14E20"/>
    <w:rsid w:val="00D1746B"/>
    <w:rsid w:val="00D177F0"/>
    <w:rsid w:val="00D17B69"/>
    <w:rsid w:val="00D209B3"/>
    <w:rsid w:val="00D21FB3"/>
    <w:rsid w:val="00D23398"/>
    <w:rsid w:val="00D31CBE"/>
    <w:rsid w:val="00D33719"/>
    <w:rsid w:val="00D40C8A"/>
    <w:rsid w:val="00D413F1"/>
    <w:rsid w:val="00D41508"/>
    <w:rsid w:val="00D43292"/>
    <w:rsid w:val="00D43561"/>
    <w:rsid w:val="00D5210F"/>
    <w:rsid w:val="00D6022E"/>
    <w:rsid w:val="00D61CED"/>
    <w:rsid w:val="00D62E53"/>
    <w:rsid w:val="00D642E2"/>
    <w:rsid w:val="00D6462F"/>
    <w:rsid w:val="00D64CD9"/>
    <w:rsid w:val="00D658E6"/>
    <w:rsid w:val="00D66412"/>
    <w:rsid w:val="00D674F2"/>
    <w:rsid w:val="00D7034A"/>
    <w:rsid w:val="00D71731"/>
    <w:rsid w:val="00D730D0"/>
    <w:rsid w:val="00D74C0B"/>
    <w:rsid w:val="00D755D2"/>
    <w:rsid w:val="00D77053"/>
    <w:rsid w:val="00D81FF0"/>
    <w:rsid w:val="00D91517"/>
    <w:rsid w:val="00D91BF2"/>
    <w:rsid w:val="00D965DD"/>
    <w:rsid w:val="00D9685F"/>
    <w:rsid w:val="00DA0B12"/>
    <w:rsid w:val="00DA174D"/>
    <w:rsid w:val="00DA339A"/>
    <w:rsid w:val="00DA5C61"/>
    <w:rsid w:val="00DB254A"/>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0D9A"/>
    <w:rsid w:val="00DF22E2"/>
    <w:rsid w:val="00DF2BDF"/>
    <w:rsid w:val="00DF2DF6"/>
    <w:rsid w:val="00DF38DB"/>
    <w:rsid w:val="00DF5AA6"/>
    <w:rsid w:val="00E00D2B"/>
    <w:rsid w:val="00E00E54"/>
    <w:rsid w:val="00E04D27"/>
    <w:rsid w:val="00E06A53"/>
    <w:rsid w:val="00E07958"/>
    <w:rsid w:val="00E13AFB"/>
    <w:rsid w:val="00E211D2"/>
    <w:rsid w:val="00E34987"/>
    <w:rsid w:val="00E35F8F"/>
    <w:rsid w:val="00E369D4"/>
    <w:rsid w:val="00E36D4D"/>
    <w:rsid w:val="00E37495"/>
    <w:rsid w:val="00E37EB2"/>
    <w:rsid w:val="00E37F92"/>
    <w:rsid w:val="00E41E13"/>
    <w:rsid w:val="00E41F0C"/>
    <w:rsid w:val="00E424E3"/>
    <w:rsid w:val="00E43CB1"/>
    <w:rsid w:val="00E45F6F"/>
    <w:rsid w:val="00E477FB"/>
    <w:rsid w:val="00E50363"/>
    <w:rsid w:val="00E51B7A"/>
    <w:rsid w:val="00E57EA5"/>
    <w:rsid w:val="00E6085D"/>
    <w:rsid w:val="00E620D6"/>
    <w:rsid w:val="00E623BC"/>
    <w:rsid w:val="00E629C2"/>
    <w:rsid w:val="00E66E0D"/>
    <w:rsid w:val="00E675C7"/>
    <w:rsid w:val="00E67EBC"/>
    <w:rsid w:val="00E717FA"/>
    <w:rsid w:val="00E71DEE"/>
    <w:rsid w:val="00E73425"/>
    <w:rsid w:val="00E80D95"/>
    <w:rsid w:val="00E85949"/>
    <w:rsid w:val="00E86B53"/>
    <w:rsid w:val="00E9143E"/>
    <w:rsid w:val="00E915CA"/>
    <w:rsid w:val="00E93933"/>
    <w:rsid w:val="00E93A68"/>
    <w:rsid w:val="00E9453C"/>
    <w:rsid w:val="00E96E87"/>
    <w:rsid w:val="00EA1F21"/>
    <w:rsid w:val="00EA6F03"/>
    <w:rsid w:val="00EA6F44"/>
    <w:rsid w:val="00EB3368"/>
    <w:rsid w:val="00EB3859"/>
    <w:rsid w:val="00EB455E"/>
    <w:rsid w:val="00EB5A72"/>
    <w:rsid w:val="00EC43B7"/>
    <w:rsid w:val="00ED0C64"/>
    <w:rsid w:val="00ED769C"/>
    <w:rsid w:val="00EE1EC2"/>
    <w:rsid w:val="00EE3F34"/>
    <w:rsid w:val="00EE407D"/>
    <w:rsid w:val="00EF0E3F"/>
    <w:rsid w:val="00EF1063"/>
    <w:rsid w:val="00EF171D"/>
    <w:rsid w:val="00EF1AC6"/>
    <w:rsid w:val="00EF41B3"/>
    <w:rsid w:val="00EF65B7"/>
    <w:rsid w:val="00EF7B0B"/>
    <w:rsid w:val="00F0221D"/>
    <w:rsid w:val="00F03179"/>
    <w:rsid w:val="00F0463F"/>
    <w:rsid w:val="00F05CE7"/>
    <w:rsid w:val="00F0689B"/>
    <w:rsid w:val="00F07DE8"/>
    <w:rsid w:val="00F11073"/>
    <w:rsid w:val="00F1251F"/>
    <w:rsid w:val="00F14DF2"/>
    <w:rsid w:val="00F20251"/>
    <w:rsid w:val="00F21D4F"/>
    <w:rsid w:val="00F21DC1"/>
    <w:rsid w:val="00F22977"/>
    <w:rsid w:val="00F23084"/>
    <w:rsid w:val="00F24939"/>
    <w:rsid w:val="00F25098"/>
    <w:rsid w:val="00F32F2C"/>
    <w:rsid w:val="00F3519C"/>
    <w:rsid w:val="00F42B7F"/>
    <w:rsid w:val="00F445D8"/>
    <w:rsid w:val="00F45654"/>
    <w:rsid w:val="00F46BBA"/>
    <w:rsid w:val="00F54F79"/>
    <w:rsid w:val="00F553F2"/>
    <w:rsid w:val="00F56247"/>
    <w:rsid w:val="00F61A26"/>
    <w:rsid w:val="00F640BB"/>
    <w:rsid w:val="00F65035"/>
    <w:rsid w:val="00F75F25"/>
    <w:rsid w:val="00F765AE"/>
    <w:rsid w:val="00F817D3"/>
    <w:rsid w:val="00F832E7"/>
    <w:rsid w:val="00F97659"/>
    <w:rsid w:val="00FA20DF"/>
    <w:rsid w:val="00FA4D5B"/>
    <w:rsid w:val="00FA73D7"/>
    <w:rsid w:val="00FB1AF5"/>
    <w:rsid w:val="00FB4A83"/>
    <w:rsid w:val="00FB7276"/>
    <w:rsid w:val="00FB74D7"/>
    <w:rsid w:val="00FC0A99"/>
    <w:rsid w:val="00FC0C7F"/>
    <w:rsid w:val="00FC21F9"/>
    <w:rsid w:val="00FC356D"/>
    <w:rsid w:val="00FC55D2"/>
    <w:rsid w:val="00FC5911"/>
    <w:rsid w:val="00FC6DC4"/>
    <w:rsid w:val="00FC6F05"/>
    <w:rsid w:val="00FD110E"/>
    <w:rsid w:val="00FE3A12"/>
    <w:rsid w:val="00FE4AA1"/>
    <w:rsid w:val="00FE725C"/>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DF34"/>
  <w15:chartTrackingRefBased/>
  <w15:docId w15:val="{508E4D69-0274-4AFF-AF5E-56CB7945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 w:type="paragraph" w:styleId="Puslapioinaostekstas">
    <w:name w:val="footnote text"/>
    <w:basedOn w:val="prastasis"/>
    <w:link w:val="PuslapioinaostekstasDiagrama"/>
    <w:uiPriority w:val="99"/>
    <w:semiHidden/>
    <w:unhideWhenUsed/>
    <w:rsid w:val="00680CE4"/>
    <w:rPr>
      <w:sz w:val="20"/>
      <w:szCs w:val="20"/>
    </w:rPr>
  </w:style>
  <w:style w:type="character" w:customStyle="1" w:styleId="PuslapioinaostekstasDiagrama">
    <w:name w:val="Puslapio išnašos tekstas Diagrama"/>
    <w:basedOn w:val="Numatytasispastraiposriftas"/>
    <w:link w:val="Puslapioinaostekstas"/>
    <w:uiPriority w:val="99"/>
    <w:semiHidden/>
    <w:rsid w:val="00680CE4"/>
    <w:rPr>
      <w:lang w:eastAsia="en-US"/>
    </w:rPr>
  </w:style>
  <w:style w:type="paragraph" w:styleId="Pagrindinistekstas3">
    <w:name w:val="Body Text 3"/>
    <w:basedOn w:val="prastasis"/>
    <w:link w:val="Pagrindinistekstas3Diagrama"/>
    <w:uiPriority w:val="99"/>
    <w:unhideWhenUsed/>
    <w:rsid w:val="00CE2CB4"/>
    <w:pPr>
      <w:spacing w:after="120" w:line="276" w:lineRule="auto"/>
      <w:jc w:val="left"/>
    </w:pPr>
    <w:rPr>
      <w:rFonts w:ascii="Calibri" w:eastAsia="Calibri" w:hAnsi="Calibri"/>
      <w:sz w:val="16"/>
      <w:szCs w:val="16"/>
      <w:lang w:val="ru-RU"/>
    </w:rPr>
  </w:style>
  <w:style w:type="character" w:customStyle="1" w:styleId="Pagrindinistekstas3Diagrama">
    <w:name w:val="Pagrindinis tekstas 3 Diagrama"/>
    <w:basedOn w:val="Numatytasispastraiposriftas"/>
    <w:link w:val="Pagrindinistekstas3"/>
    <w:uiPriority w:val="99"/>
    <w:rsid w:val="00CE2CB4"/>
    <w:rPr>
      <w:rFonts w:ascii="Calibri" w:eastAsia="Calibri" w:hAnsi="Calibri"/>
      <w:sz w:val="16"/>
      <w:szCs w:val="16"/>
      <w:lang w:val="ru-RU" w:eastAsia="en-US"/>
    </w:rPr>
  </w:style>
  <w:style w:type="character" w:styleId="Neapdorotaspaminjimas">
    <w:name w:val="Unresolved Mention"/>
    <w:basedOn w:val="Numatytasispastraiposriftas"/>
    <w:uiPriority w:val="99"/>
    <w:semiHidden/>
    <w:unhideWhenUsed/>
    <w:rsid w:val="00AC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29859032">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385255557">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33818717">
      <w:bodyDiv w:val="1"/>
      <w:marLeft w:val="0"/>
      <w:marRight w:val="0"/>
      <w:marTop w:val="0"/>
      <w:marBottom w:val="0"/>
      <w:divBdr>
        <w:top w:val="none" w:sz="0" w:space="0" w:color="auto"/>
        <w:left w:val="none" w:sz="0" w:space="0" w:color="auto"/>
        <w:bottom w:val="none" w:sz="0" w:space="0" w:color="auto"/>
        <w:right w:val="none" w:sz="0" w:space="0" w:color="auto"/>
      </w:divBdr>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44441414">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AD5F-A76C-4C6C-B57F-343A04AA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6542</Characters>
  <Application>Microsoft Office Word</Application>
  <DocSecurity>4</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2019-09-11T10:43:00Z</dcterms:created>
  <dc:creator>Ruta Atociunaite</dc:creator>
  <cp:lastModifiedBy>Giedrė Kaunė</cp:lastModifiedBy>
  <cp:lastPrinted>2018-04-27T05:23:00Z</cp:lastPrinted>
  <dcterms:modified xsi:type="dcterms:W3CDTF">2019-09-11T10:43:00Z</dcterms:modified>
  <cp:revision>2</cp:revision>
  <dc:title>Derinimo pažyma</dc:title>
</cp:coreProperties>
</file>