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9fa3b5cc4e344a28872ec0b6e866927"/>
        <w:lock w:val="sdtLocked"/>
        <w:richText/>
      </w:sdtPr>
      <w:sdtContent>
        <w:p>
          <w:pPr>
            <w:jc w:val="right"/>
            <w:rPr>
              <w:lang w:eastAsia="lt-LT"/>
            </w:rPr>
          </w:pPr>
          <w:r>
            <w:rPr>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szCs w:val="24"/>
              <w:lang w:eastAsia="lt-LT"/>
            </w:rPr>
          </w:pPr>
          <w:r>
            <w:rPr>
              <w:b/>
              <w:szCs w:val="24"/>
              <w:lang w:eastAsia="lt-LT"/>
            </w:rPr>
            <w:t>DĖL LIETUVOS RESPUBLIKOS VYRIAUSYBĖS 2001 M. GRUODŽIO 18 D. NUTARIMO 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 PAKEITIMO</w:t>
          </w:r>
        </w:p>
        <w:p>
          <w:pPr>
            <w:widowControl w:val="0"/>
            <w:ind w:firstLine="60"/>
            <w:jc w:val="center"/>
            <w:rPr>
              <w:b/>
              <w:caps/>
              <w:lang w:eastAsia="lt-LT"/>
            </w:rPr>
          </w:pP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95e94a30619749aa9bda95cd856927da"/>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b827cfbcabb3434da58a4edcf640db0a"/>
            <w:lock w:val="sdtLocked"/>
            <w:richText/>
          </w:sdtPr>
          <w:sdtContent>
            <w:p>
              <w:pPr>
                <w:spacing w:line="360" w:lineRule="atLeast"/>
                <w:ind w:firstLine="720"/>
                <w:jc w:val="both"/>
                <w:rPr>
                  <w:szCs w:val="24"/>
                  <w:lang w:eastAsia="lt-LT"/>
                </w:rPr>
              </w:pPr>
              <w:sdt>
                <w:sdtPr>
                  <w:alias w:val="Numeris"/>
                  <w:tag w:val="nr_b827cfbcabb3434da58a4edcf640db0a"/>
                  <w:lock w:val="sdtLocked"/>
                  <w:richText/>
                </w:sdtPr>
                <w:sdtContent>
                  <w:r>
                    <w:rPr>
                      <w:szCs w:val="24"/>
                      <w:lang w:eastAsia="lt-LT"/>
                    </w:rPr>
                    <w:t>1</w:t>
                  </w:r>
                </w:sdtContent>
              </w:sdt>
              <w:r>
                <w:rPr>
                  <w:szCs w:val="24"/>
                  <w:lang w:eastAsia="lt-LT"/>
                </w:rPr>
                <w:t xml:space="preserve">. Pakeisti  Lietuvos  Respublikos  Vyriausybės   2001  m.  gruodžio  18 d. nutarimą </w:t>
                <w:br/>
                <w:t xml:space="preserve">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  </w:t>
              </w:r>
            </w:p>
            <w:sdt>
              <w:sdtPr>
                <w:alias w:val="1.1 pp."/>
                <w:tag w:val="part_a3dfaaa5bfc6405e87900bc4abedb885"/>
                <w:lock w:val="sdtLocked"/>
                <w:richText/>
              </w:sdtPr>
              <w:sdtContent>
                <w:p>
                  <w:pPr>
                    <w:spacing w:line="360" w:lineRule="atLeast"/>
                    <w:ind w:firstLine="720"/>
                    <w:jc w:val="both"/>
                    <w:rPr>
                      <w:szCs w:val="24"/>
                      <w:lang w:eastAsia="lt-LT"/>
                    </w:rPr>
                  </w:pPr>
                  <w:sdt>
                    <w:sdtPr>
                      <w:alias w:val="Numeris"/>
                      <w:tag w:val="nr_a3dfaaa5bfc6405e87900bc4abedb885"/>
                      <w:lock w:val="sdtLocked"/>
                      <w:richText/>
                    </w:sdtPr>
                    <w:sdtContent>
                      <w:r>
                        <w:rPr>
                          <w:szCs w:val="24"/>
                          <w:lang w:eastAsia="lt-LT"/>
                        </w:rPr>
                        <w:t>1.1</w:t>
                      </w:r>
                    </w:sdtContent>
                  </w:sdt>
                  <w:r>
                    <w:rPr>
                      <w:szCs w:val="24"/>
                      <w:lang w:eastAsia="lt-LT"/>
                    </w:rPr>
                    <w:t>. Pakeisti 3.2 papunktį ir jį išdėstyti taip:</w:t>
                  </w:r>
                </w:p>
                <w:sdt>
                  <w:sdtPr>
                    <w:alias w:val="citata"/>
                    <w:tag w:val="part_e9898598f08b4a95ac1b74ca6f9e503b"/>
                    <w:lock w:val="sdtLocked"/>
                    <w:richText/>
                  </w:sdtPr>
                  <w:sdtContent>
                    <w:sdt>
                      <w:sdtPr>
                        <w:alias w:val="3.2 pp."/>
                        <w:tag w:val="part_4da5c61039a34639ac4a77030fa89560"/>
                        <w:lock w:val="sdtLocked"/>
                        <w:richText/>
                      </w:sdtPr>
                      <w:sdtContent>
                        <w:p>
                          <w:pPr>
                            <w:spacing w:line="360" w:lineRule="atLeast"/>
                            <w:ind w:firstLine="720"/>
                            <w:jc w:val="both"/>
                            <w:rPr>
                              <w:szCs w:val="24"/>
                              <w:lang w:eastAsia="lt-LT"/>
                            </w:rPr>
                          </w:pPr>
                          <w:r>
                            <w:rPr>
                              <w:szCs w:val="24"/>
                              <w:lang w:eastAsia="lt-LT"/>
                            </w:rPr>
                            <w:t>„</w:t>
                          </w:r>
                          <w:sdt>
                            <w:sdtPr>
                              <w:alias w:val="Numeris"/>
                              <w:tag w:val="nr_4da5c61039a34639ac4a77030fa89560"/>
                              <w:lock w:val="sdtLocked"/>
                              <w:richText/>
                            </w:sdtPr>
                            <w:sdtContent>
                              <w:r>
                                <w:rPr>
                                  <w:szCs w:val="24"/>
                                  <w:lang w:eastAsia="lt-LT"/>
                                </w:rPr>
                                <w:t>3.2</w:t>
                              </w:r>
                            </w:sdtContent>
                          </w:sdt>
                          <w:r>
                            <w:rPr>
                              <w:szCs w:val="24"/>
                              <w:lang w:eastAsia="lt-LT"/>
                            </w:rPr>
                            <w:t>. Komisiją ataskaitoms pagal 1966 metų Tarptautinį ekonominių, socialinių ir kultūrinių teisių paktą rengti (komisija sudaroma iš Kultūros ministerijos, Socialinės apsaugos ir darbo ministerijos, Sveikatos apsaugos ministerijos, Švietimo, mokslo ir sporto ministerijos, Teisingumo ministerijos, Užsienio reikalų ministerijos ir Žemės ūkio ministerijos atstovų, komisijos pirmininkas – Socialinės apsaugos ir darbo ministerijos atstovas);“.</w:t>
                          </w:r>
                        </w:p>
                      </w:sdtContent>
                    </w:sdt>
                  </w:sdtContent>
                </w:sdt>
              </w:sdtContent>
            </w:sdt>
            <w:sdt>
              <w:sdtPr>
                <w:alias w:val="1.2 pp."/>
                <w:tag w:val="part_8bbe1ba471a94508947f01e42f52dd35"/>
                <w:lock w:val="sdtLocked"/>
                <w:richText/>
              </w:sdtPr>
              <w:sdtContent>
                <w:p>
                  <w:pPr>
                    <w:spacing w:line="360" w:lineRule="atLeast"/>
                    <w:ind w:firstLine="720"/>
                    <w:jc w:val="both"/>
                    <w:rPr>
                      <w:szCs w:val="24"/>
                      <w:lang w:eastAsia="lt-LT"/>
                    </w:rPr>
                  </w:pPr>
                  <w:sdt>
                    <w:sdtPr>
                      <w:alias w:val="Numeris"/>
                      <w:tag w:val="nr_8bbe1ba471a94508947f01e42f52dd35"/>
                      <w:lock w:val="sdtLocked"/>
                      <w:richText/>
                    </w:sdtPr>
                    <w:sdtContent>
                      <w:r>
                        <w:rPr>
                          <w:szCs w:val="24"/>
                          <w:lang w:eastAsia="lt-LT"/>
                        </w:rPr>
                        <w:t>1.2</w:t>
                      </w:r>
                    </w:sdtContent>
                  </w:sdt>
                  <w:r>
                    <w:rPr>
                      <w:szCs w:val="24"/>
                      <w:lang w:eastAsia="lt-LT"/>
                    </w:rPr>
                    <w:t>. Pakeisti 3.4 papunktį ir jį išdėstyti taip:</w:t>
                  </w:r>
                </w:p>
                <w:sdt>
                  <w:sdtPr>
                    <w:alias w:val="citata"/>
                    <w:tag w:val="part_bde856996864431baad9121319fbf9f9"/>
                    <w:lock w:val="sdtLocked"/>
                    <w:richText/>
                  </w:sdtPr>
                  <w:sdtContent>
                    <w:sdt>
                      <w:sdtPr>
                        <w:alias w:val="3.4 pp."/>
                        <w:tag w:val="part_df1aa06bb222458b995b502e6d0909f6"/>
                        <w:lock w:val="sdtLocked"/>
                        <w:richText/>
                      </w:sdtPr>
                      <w:sdtContent>
                        <w:p>
                          <w:pPr>
                            <w:spacing w:line="360" w:lineRule="atLeast"/>
                            <w:ind w:firstLine="720"/>
                            <w:jc w:val="both"/>
                            <w:rPr>
                              <w:szCs w:val="24"/>
                              <w:lang w:eastAsia="lt-LT"/>
                            </w:rPr>
                          </w:pPr>
                          <w:r>
                            <w:rPr>
                              <w:szCs w:val="24"/>
                              <w:lang w:eastAsia="lt-LT"/>
                            </w:rPr>
                            <w:t>„</w:t>
                          </w:r>
                          <w:sdt>
                            <w:sdtPr>
                              <w:alias w:val="Numeris"/>
                              <w:tag w:val="nr_df1aa06bb222458b995b502e6d0909f6"/>
                              <w:lock w:val="sdtLocked"/>
                              <w:richText/>
                            </w:sdtPr>
                            <w:sdtContent>
                              <w:r>
                                <w:rPr>
                                  <w:szCs w:val="24"/>
                                  <w:lang w:eastAsia="lt-LT"/>
                                </w:rPr>
                                <w:t>3.4</w:t>
                              </w:r>
                            </w:sdtContent>
                          </w:sdt>
                          <w:r>
                            <w:rPr>
                              <w:szCs w:val="24"/>
                              <w:lang w:eastAsia="lt-LT"/>
                            </w:rPr>
                            <w:t>. Komisiją pranešimams pagal 1979 metų Konvenciją dėl visų formų diskriminacijos panaikinimo moterims rengti (komisija sudaroma iš Socialinės apsaugos ir darbo ministerijos, Sveikatos apsaugos ministerijos, Švietimo, mokslo ir sporto ministerijos, Teisingumo ministerijos, Užsienio reikalų ministerijos ir Vidaus reikalų ministerijos atstovų, komisijos pirmininkas – Socialinės apsaugos ir darbo ministerijos atstovas);“.</w:t>
                          </w:r>
                        </w:p>
                      </w:sdtContent>
                    </w:sdt>
                  </w:sdtContent>
                </w:sdt>
              </w:sdtContent>
            </w:sdt>
            <w:sdt>
              <w:sdtPr>
                <w:alias w:val="1.3 pp."/>
                <w:tag w:val="part_42cfcbf21c9940fc930437acb7527831"/>
                <w:lock w:val="sdtLocked"/>
                <w:richText/>
              </w:sdtPr>
              <w:sdtContent>
                <w:p>
                  <w:pPr>
                    <w:spacing w:line="360" w:lineRule="atLeast"/>
                    <w:ind w:firstLine="720"/>
                    <w:jc w:val="both"/>
                    <w:rPr>
                      <w:szCs w:val="24"/>
                      <w:lang w:eastAsia="lt-LT"/>
                    </w:rPr>
                  </w:pPr>
                  <w:sdt>
                    <w:sdtPr>
                      <w:alias w:val="Numeris"/>
                      <w:tag w:val="nr_42cfcbf21c9940fc930437acb7527831"/>
                      <w:lock w:val="sdtLocked"/>
                      <w:richText/>
                    </w:sdtPr>
                    <w:sdtContent>
                      <w:r>
                        <w:rPr>
                          <w:szCs w:val="24"/>
                          <w:lang w:eastAsia="lt-LT"/>
                        </w:rPr>
                        <w:t>1.3</w:t>
                      </w:r>
                    </w:sdtContent>
                  </w:sdt>
                  <w:r>
                    <w:rPr>
                      <w:szCs w:val="24"/>
                      <w:lang w:eastAsia="lt-LT"/>
                    </w:rPr>
                    <w:t>. Pakeisti 3.6 papunktį ir jį išdėstyti taip:</w:t>
                  </w:r>
                </w:p>
                <w:sdt>
                  <w:sdtPr>
                    <w:alias w:val="citata"/>
                    <w:tag w:val="part_a2e7dc8e274942e1b2a335e3c1988096"/>
                    <w:lock w:val="sdtLocked"/>
                    <w:richText/>
                  </w:sdtPr>
                  <w:sdtContent>
                    <w:sdt>
                      <w:sdtPr>
                        <w:alias w:val="3.6 pp."/>
                        <w:tag w:val="part_ab05068b1fb4436d8c07c13824122d77"/>
                        <w:lock w:val="sdtLocked"/>
                        <w:richText/>
                      </w:sdtPr>
                      <w:sdtContent>
                        <w:p>
                          <w:pPr>
                            <w:spacing w:line="360" w:lineRule="atLeast"/>
                            <w:ind w:firstLine="720"/>
                            <w:jc w:val="both"/>
                            <w:rPr>
                              <w:szCs w:val="24"/>
                              <w:lang w:eastAsia="lt-LT"/>
                            </w:rPr>
                          </w:pPr>
                          <w:r>
                            <w:rPr>
                              <w:szCs w:val="24"/>
                              <w:lang w:eastAsia="lt-LT"/>
                            </w:rPr>
                            <w:t>„</w:t>
                          </w:r>
                          <w:sdt>
                            <w:sdtPr>
                              <w:alias w:val="Numeris"/>
                              <w:tag w:val="nr_ab05068b1fb4436d8c07c13824122d77"/>
                              <w:lock w:val="sdtLocked"/>
                              <w:richText/>
                            </w:sdtPr>
                            <w:sdtContent>
                              <w:r>
                                <w:rPr>
                                  <w:szCs w:val="24"/>
                                  <w:lang w:eastAsia="lt-LT"/>
                                </w:rPr>
                                <w:t>3.6</w:t>
                              </w:r>
                            </w:sdtContent>
                          </w:sdt>
                          <w:r>
                            <w:rPr>
                              <w:szCs w:val="24"/>
                              <w:lang w:eastAsia="lt-LT"/>
                            </w:rPr>
                            <w:t>. Komisiją informacijai pagal 1989 metų Vaiko teisių konvenciją rengti (komisija sudaroma iš Socialinės apsaugos ir darbo ministerijos, Sveikatos apsaugos ministerijos, Švietimo, mokslo ir sporto ministerijos, Teisingumo ministerijos, Užsienio reikalų ministerijos ir Vidaus reikalų ministerijos atstovų, komisijos pirmininkas – Socialinės apsaugos ir darbo ministerijos atstovas);“.</w:t>
                          </w:r>
                        </w:p>
                      </w:sdtContent>
                    </w:sdt>
                  </w:sdtContent>
                </w:sdt>
              </w:sdtContent>
            </w:sdt>
            <w:sdt>
              <w:sdtPr>
                <w:alias w:val="1.4 pp."/>
                <w:tag w:val="part_356dd0b4110b40adb56e75a8d6cddbff"/>
                <w:lock w:val="sdtLocked"/>
                <w:richText/>
              </w:sdtPr>
              <w:sdtContent>
                <w:p>
                  <w:pPr>
                    <w:spacing w:line="360" w:lineRule="atLeast"/>
                    <w:ind w:firstLine="720"/>
                    <w:jc w:val="both"/>
                    <w:rPr>
                      <w:szCs w:val="24"/>
                      <w:lang w:eastAsia="lt-LT"/>
                    </w:rPr>
                  </w:pPr>
                  <w:sdt>
                    <w:sdtPr>
                      <w:alias w:val="Numeris"/>
                      <w:tag w:val="nr_356dd0b4110b40adb56e75a8d6cddbff"/>
                      <w:lock w:val="sdtLocked"/>
                      <w:richText/>
                    </w:sdtPr>
                    <w:sdtContent>
                      <w:r>
                        <w:rPr>
                          <w:szCs w:val="24"/>
                          <w:lang w:eastAsia="lt-LT"/>
                        </w:rPr>
                        <w:t>1.4</w:t>
                      </w:r>
                    </w:sdtContent>
                  </w:sdt>
                  <w:r>
                    <w:rPr>
                      <w:szCs w:val="24"/>
                      <w:lang w:eastAsia="lt-LT"/>
                    </w:rPr>
                    <w:t>. Pakeisti 3.7 papunktį ir jį išdėstyti taip:</w:t>
                  </w:r>
                </w:p>
                <w:sdt>
                  <w:sdtPr>
                    <w:alias w:val="citata"/>
                    <w:tag w:val="part_c57f16bf0dde4053a99fdd0587f4281f"/>
                    <w:lock w:val="sdtLocked"/>
                    <w:richText/>
                  </w:sdtPr>
                  <w:sdtContent>
                    <w:sdt>
                      <w:sdtPr>
                        <w:alias w:val="3.7 pp."/>
                        <w:tag w:val="part_9ad50e9278d64e2c9968d730500709ab"/>
                        <w:lock w:val="sdtLocked"/>
                        <w:richText/>
                      </w:sdtPr>
                      <w:sdtContent>
                        <w:p>
                          <w:pPr>
                            <w:spacing w:line="360" w:lineRule="atLeast"/>
                            <w:ind w:firstLine="720"/>
                            <w:jc w:val="both"/>
                            <w:rPr>
                              <w:szCs w:val="24"/>
                              <w:lang w:eastAsia="lt-LT"/>
                            </w:rPr>
                          </w:pPr>
                          <w:r>
                            <w:rPr>
                              <w:szCs w:val="24"/>
                              <w:lang w:eastAsia="lt-LT"/>
                            </w:rPr>
                            <w:t>„</w:t>
                          </w:r>
                          <w:sdt>
                            <w:sdtPr>
                              <w:alias w:val="Numeris"/>
                              <w:tag w:val="nr_9ad50e9278d64e2c9968d730500709ab"/>
                              <w:lock w:val="sdtLocked"/>
                              <w:richText/>
                            </w:sdtPr>
                            <w:sdtContent>
                              <w:r>
                                <w:rPr>
                                  <w:szCs w:val="24"/>
                                  <w:lang w:eastAsia="lt-LT"/>
                                </w:rPr>
                                <w:t>3.7</w:t>
                              </w:r>
                            </w:sdtContent>
                          </w:sdt>
                          <w:r>
                            <w:rPr>
                              <w:szCs w:val="24"/>
                              <w:lang w:eastAsia="lt-LT"/>
                            </w:rPr>
                            <w:t>. Komisiją pranešimams Jungtinių Tautų Žmogaus teisių tarybos vykdomai visuotinei periodinei peržiūrai rengti (komisija sudaroma iš Kultūros ministerijos, Socialinės apsaugos ir darbo ministerijos, Sveikatos apsaugos ministerijos, Švietimo, mokslo ir sporto ministerijos, Teisingumo ministerijos, Užsienio reikalų ministerijos, Vidaus reikalų ministerijos atstovų, komisijos pirmininkas – Teisingumo ministerijos atstovas);“.</w:t>
                          </w:r>
                        </w:p>
                      </w:sdtContent>
                    </w:sdt>
                  </w:sdtContent>
                </w:sdt>
              </w:sdtContent>
            </w:sdt>
            <w:sdt>
              <w:sdtPr>
                <w:alias w:val="1.5 pp."/>
                <w:tag w:val="part_b2b3099db60a4486a0daaba64e32d229"/>
                <w:lock w:val="sdtLocked"/>
                <w:richText/>
              </w:sdtPr>
              <w:sdtContent>
                <w:p>
                  <w:pPr>
                    <w:spacing w:line="360" w:lineRule="atLeast"/>
                    <w:ind w:firstLine="720"/>
                    <w:jc w:val="both"/>
                    <w:rPr>
                      <w:szCs w:val="24"/>
                      <w:lang w:eastAsia="lt-LT"/>
                    </w:rPr>
                  </w:pPr>
                  <w:sdt>
                    <w:sdtPr>
                      <w:alias w:val="Numeris"/>
                      <w:tag w:val="nr_b2b3099db60a4486a0daaba64e32d229"/>
                      <w:lock w:val="sdtLocked"/>
                      <w:richText/>
                    </w:sdtPr>
                    <w:sdtContent>
                      <w:r>
                        <w:rPr>
                          <w:szCs w:val="24"/>
                          <w:lang w:eastAsia="lt-LT"/>
                        </w:rPr>
                        <w:t>1.5</w:t>
                      </w:r>
                    </w:sdtContent>
                  </w:sdt>
                  <w:r>
                    <w:rPr>
                      <w:szCs w:val="24"/>
                      <w:lang w:eastAsia="lt-LT"/>
                    </w:rPr>
                    <w:t>. Pakeisti 3.8 papunktį ir jį išdėstyti taip:</w:t>
                  </w:r>
                </w:p>
                <w:sdt>
                  <w:sdtPr>
                    <w:alias w:val="citata"/>
                    <w:tag w:val="part_a04bc9d886c94a0d98d1cb98c2154b0e"/>
                    <w:lock w:val="sdtLocked"/>
                    <w:richText/>
                  </w:sdtPr>
                  <w:sdtContent>
                    <w:sdt>
                      <w:sdtPr>
                        <w:alias w:val="3.8 pp."/>
                        <w:tag w:val="part_566a8317ddad403180791b13bf67cb7e"/>
                        <w:lock w:val="sdtLocked"/>
                        <w:richText/>
                      </w:sdtPr>
                      <w:sdtContent>
                        <w:p>
                          <w:pPr>
                            <w:spacing w:line="360" w:lineRule="atLeast"/>
                            <w:ind w:firstLine="720"/>
                            <w:jc w:val="both"/>
                            <w:rPr>
                              <w:szCs w:val="24"/>
                              <w:lang w:eastAsia="lt-LT"/>
                            </w:rPr>
                          </w:pPr>
                          <w:r>
                            <w:rPr>
                              <w:szCs w:val="24"/>
                              <w:lang w:eastAsia="lt-LT"/>
                            </w:rPr>
                            <w:t>„</w:t>
                          </w:r>
                          <w:sdt>
                            <w:sdtPr>
                              <w:alias w:val="Numeris"/>
                              <w:tag w:val="nr_566a8317ddad403180791b13bf67cb7e"/>
                              <w:lock w:val="sdtLocked"/>
                              <w:richText/>
                            </w:sdtPr>
                            <w:sdtContent>
                              <w:r>
                                <w:rPr>
                                  <w:szCs w:val="24"/>
                                  <w:lang w:eastAsia="lt-LT"/>
                                </w:rPr>
                                <w:t>3.8</w:t>
                              </w:r>
                            </w:sdtContent>
                          </w:sdt>
                          <w:r>
                            <w:rPr>
                              <w:szCs w:val="24"/>
                              <w:lang w:eastAsia="lt-LT"/>
                            </w:rPr>
                            <w:t>. Komisiją ataskaitoms pagal 2006 metų Neįgaliųjų teisių konvenciją rengti (komisija sudaroma iš Aplinkos ministerijos, Informacinės visuomenės plėtros komiteto, Kultūros ministerijos, Socialinės apsaugos ir darbo ministerijos, Susisiekimo ministerijos, Sveikatos apsaugos ministerijos, Švietimo, mokslo ir sporto ministerijos, Teisingumo ministerijos, Užsienio reikalų ministerijos, Ekonomikos ir inovacijų ministerijos, Vidaus reikalų ministerijos atstovų, komisijos pirmininkas – Socialinės apsaugos ir darbo ministerijos atstovas).“</w:t>
                          </w:r>
                        </w:p>
                      </w:sdtContent>
                    </w:sdt>
                  </w:sdtContent>
                </w:sdt>
              </w:sdtContent>
            </w:sdt>
          </w:sdtContent>
        </w:sdt>
        <w:sdt>
          <w:sdtPr>
            <w:alias w:val="2 p."/>
            <w:tag w:val="part_3df3568dd43e4794ac4b811d221c6d87"/>
            <w:lock w:val="sdtLocked"/>
            <w:richText/>
          </w:sdtPr>
          <w:sdtContent>
            <w:p>
              <w:pPr>
                <w:spacing w:line="360" w:lineRule="atLeast"/>
                <w:ind w:firstLine="720"/>
                <w:jc w:val="both"/>
                <w:rPr>
                  <w:szCs w:val="24"/>
                  <w:lang w:eastAsia="lt-LT"/>
                </w:rPr>
              </w:pPr>
              <w:sdt>
                <w:sdtPr>
                  <w:alias w:val="Numeris"/>
                  <w:tag w:val="nr_3df3568dd43e4794ac4b811d221c6d87"/>
                  <w:lock w:val="sdtLocked"/>
                  <w:richText/>
                </w:sdtPr>
                <w:sdtContent>
                  <w:r>
                    <w:rPr>
                      <w:szCs w:val="24"/>
                      <w:lang w:eastAsia="lt-LT"/>
                    </w:rPr>
                    <w:t>2</w:t>
                  </w:r>
                </w:sdtContent>
              </w:sdt>
              <w:r>
                <w:rPr>
                  <w:szCs w:val="24"/>
                  <w:lang w:eastAsia="lt-LT"/>
                </w:rPr>
                <w:t xml:space="preserve">. Pakeisti nurodytu nutarimu patvirtinto Pranešimų pagal Jungtinių Tautų žmogaus teisių apsaugos konvencijas, kurių dalyvė yra Lietuvos Respublika, ir Jungtinių Tautų žmogaus teisių tarybos vykdomai visuotinei periodinei peržiūrai rengimo ir pateikimo tvarkos aprašo </w:t>
                <w:br/>
                <w:t>11 punktą ir jį išdėstyti taip:</w:t>
              </w:r>
            </w:p>
            <w:sdt>
              <w:sdtPr>
                <w:alias w:val="citata"/>
                <w:tag w:val="part_260b87c393cc4a3f86d5840e37d07f00"/>
                <w:lock w:val="sdtLocked"/>
                <w:richText/>
              </w:sdtPr>
              <w:sdtContent>
                <w:sdt>
                  <w:sdtPr>
                    <w:alias w:val="11 p."/>
                    <w:tag w:val="part_4f1b4172ac094fae9e1e444756b6a26c"/>
                    <w:lock w:val="sdtLocked"/>
                    <w:richText/>
                  </w:sdtPr>
                  <w:sdtContent>
                    <w:p>
                      <w:pPr>
                        <w:spacing w:line="360" w:lineRule="atLeast"/>
                        <w:ind w:firstLine="720"/>
                        <w:jc w:val="both"/>
                        <w:rPr>
                          <w:szCs w:val="24"/>
                          <w:lang w:eastAsia="lt-LT"/>
                        </w:rPr>
                      </w:pPr>
                      <w:r>
                        <w:rPr>
                          <w:szCs w:val="24"/>
                          <w:lang w:eastAsia="lt-LT"/>
                        </w:rPr>
                        <w:t>„</w:t>
                      </w:r>
                      <w:sdt>
                        <w:sdtPr>
                          <w:alias w:val="Numeris"/>
                          <w:tag w:val="nr_4f1b4172ac094fae9e1e444756b6a26c"/>
                          <w:lock w:val="sdtLocked"/>
                          <w:richText/>
                        </w:sdtPr>
                        <w:sdtContent>
                          <w:r>
                            <w:rPr>
                              <w:szCs w:val="24"/>
                              <w:lang w:eastAsia="lt-LT"/>
                            </w:rPr>
                            <w:t>11</w:t>
                          </w:r>
                        </w:sdtContent>
                      </w:sdt>
                      <w:r>
                        <w:rPr>
                          <w:szCs w:val="24"/>
                          <w:lang w:eastAsia="lt-LT"/>
                        </w:rPr>
                        <w:t>. Pranešimo rengimą organizavusi ministerija išverčia Lietuvos Respublikos Vyriausybės pasitarime apsvarstytą pranešimą į reikiamą kalbą ir pateikia Vyriausybės kanceliarijai, kad ji patvirtintų vertimo autentiškumą.“</w:t>
                      </w:r>
                    </w:p>
                    <w:p>
                      <w:pPr>
                        <w:spacing w:line="360" w:lineRule="atLeast"/>
                        <w:ind w:firstLine="720"/>
                        <w:jc w:val="both"/>
                        <w:rPr>
                          <w:szCs w:val="24"/>
                          <w:lang w:eastAsia="lt-LT"/>
                        </w:rPr>
                      </w:pPr>
                    </w:p>
                    <w:p>
                      <w:pPr>
                        <w:jc w:val="both"/>
                        <w:rPr>
                          <w:szCs w:val="24"/>
                          <w:lang w:eastAsia="lt-LT"/>
                        </w:rPr>
                      </w:pPr>
                    </w:p>
                    <w:p>
                      <w:pPr>
                        <w:jc w:val="both"/>
                        <w:rPr>
                          <w:lang w:eastAsia="lt-LT"/>
                        </w:rPr>
                      </w:pPr>
                    </w:p>
                    <w:p>
                      <w:pPr>
                        <w:jc w:val="both"/>
                        <w:rPr>
                          <w:lang w:eastAsia="lt-LT"/>
                        </w:rPr>
                      </w:pPr>
                    </w:p>
                  </w:sdtContent>
                </w:sdt>
              </w:sdtContent>
            </w:sdt>
          </w:sdtContent>
        </w:sdt>
        <w:sdt>
          <w:sdtPr>
            <w:alias w:val="signatura"/>
            <w:tag w:val="part_443504752d9c47b2a5111be5282ed657"/>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Užsienio reikalų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27fb6ec3429145b89fb32595885e632a" PartId="69fa3b5cc4e344a28872ec0b6e866927">
    <Part Type="preambule" DocPartId="f8f2252161ea49618c4ac0163bd43e12" PartId="95e94a30619749aa9bda95cd856927da"/>
    <Part Type="punktas" Nr="1" Abbr="1 p." DocPartId="f9fc8f6c29ee4f2290f991b4946472b2" PartId="b827cfbcabb3434da58a4edcf640db0a">
      <Part Type="papunktis" Nr="1.1" Abbr="1.1 pp." DocPartId="427f8a1d9b55441fb2fe5f32f83862ce" PartId="a3dfaaa5bfc6405e87900bc4abedb885">
        <Part Type="citata" DocPartId="666c13177cc6452e97112eed3480a123" PartId="e9898598f08b4a95ac1b74ca6f9e503b">
          <Part Type="papunktis" Nr="3.2" Abbr="3.2 pp." DocPartId="fe761b7386b44933aa3c000b30f72619" PartId="4da5c61039a34639ac4a77030fa89560"/>
        </Part>
      </Part>
      <Part Type="papunktis" Nr="1.2" Abbr="1.2 pp." DocPartId="af776c850938448cab28c0c25a9af9c1" PartId="8bbe1ba471a94508947f01e42f52dd35">
        <Part Type="citata" DocPartId="7abd51e40f424c9ebcac5ed45682bc9a" PartId="bde856996864431baad9121319fbf9f9">
          <Part Type="papunktis" Nr="3.4" Abbr="3.4 pp." DocPartId="fed23c74377d4affb71d28cac85b35c5" PartId="df1aa06bb222458b995b502e6d0909f6"/>
        </Part>
      </Part>
      <Part Type="papunktis" Nr="1.3" Abbr="1.3 pp." DocPartId="abaef0d1a2164a968f587c3d4707ef5c" PartId="42cfcbf21c9940fc930437acb7527831">
        <Part Type="citata" DocPartId="63a2d7da202c4c1ea90a123ac3a03e6a" PartId="a2e7dc8e274942e1b2a335e3c1988096">
          <Part Type="papunktis" Nr="3.6" Abbr="3.6 pp." DocPartId="08efcccd9bf04925958fddc831aec4ba" PartId="ab05068b1fb4436d8c07c13824122d77"/>
        </Part>
      </Part>
      <Part Type="papunktis" Nr="1.4" Abbr="1.4 pp." DocPartId="0c4507d38e3a4cd19a97a1e66d8c1e2a" PartId="356dd0b4110b40adb56e75a8d6cddbff">
        <Part Type="citata" DocPartId="062a4675a9af4291aa39298f849b6efd" PartId="c57f16bf0dde4053a99fdd0587f4281f">
          <Part Type="papunktis" Nr="3.7" Abbr="3.7 pp." DocPartId="a17e44430de4410da7b7bf55a9c9c4ba" PartId="9ad50e9278d64e2c9968d730500709ab"/>
        </Part>
      </Part>
      <Part Type="papunktis" Nr="1.5" Abbr="1.5 pp." DocPartId="8b890fbc27f44c5c8c14de0dd63701c3" PartId="b2b3099db60a4486a0daaba64e32d229">
        <Part Type="citata" DocPartId="04386f8e763a473ebed85bb54a42d50e" PartId="a04bc9d886c94a0d98d1cb98c2154b0e">
          <Part Type="papunktis" Nr="3.8" Abbr="3.8 pp." DocPartId="07507c592f2b4fb0b5b6ae212e6f82a4" PartId="566a8317ddad403180791b13bf67cb7e"/>
        </Part>
      </Part>
    </Part>
    <Part Type="punktas" Nr="2" Abbr="2 p." DocPartId="4b45cf22ed2f489697c1bf536e310fec" PartId="3df3568dd43e4794ac4b811d221c6d87">
      <Part Type="citata" DocPartId="b90fdcf77e70494fb3008993249408b2" PartId="260b87c393cc4a3f86d5840e37d07f00">
        <Part Type="punktas" Nr="11" Abbr="11 p." DocPartId="884a4c76a7694a4db079107dec0b0082" PartId="4f1b4172ac094fae9e1e444756b6a26c"/>
      </Part>
    </Part>
    <Part Type="signatura" DocPartId="9cb5c87a0b1341d0b84ef181c7b44212" PartId="443504752d9c47b2a5111be5282ed657"/>
  </Part>
</Parts>
</file>

<file path=customXml/itemProps1.xml><?xml version="1.0" encoding="utf-8"?>
<ds:datastoreItem xmlns:ds="http://schemas.openxmlformats.org/officeDocument/2006/customXml" ds:itemID="{9858495D-C4F4-4F25-8650-C0BA396E1A4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3425</Characters>
  <Application>Microsoft Office Word</Application>
  <DocSecurity>4</DocSecurity>
  <Lines>68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2019-06-25T11:41:00Z</dcterms:created>
  <dc:creator>lrvk</dc:creator>
  <cp:lastModifiedBy>Asseco</cp:lastModifiedBy>
  <cp:lastPrinted>2017-06-01T05:28:00Z</cp:lastPrinted>
  <dcterms:modified xsi:type="dcterms:W3CDTF">2019-06-25T11:41:00Z</dcterms:modified>
  <cp:revision>2</cp:revision>
</cp:coreProperties>
</file>