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32290E" w14:textId="77777777" w:rsidR="009F2935" w:rsidRPr="000C784C" w:rsidRDefault="009F2935" w:rsidP="000C784C">
      <w:pPr>
        <w:tabs>
          <w:tab w:val="left" w:pos="567"/>
          <w:tab w:val="left" w:pos="1134"/>
          <w:tab w:val="left" w:pos="1701"/>
        </w:tabs>
        <w:jc w:val="center"/>
        <w:rPr>
          <w:rFonts w:cs="Times New Roman"/>
          <w:b/>
          <w:bCs/>
          <w:szCs w:val="24"/>
          <w:lang w:val="en-GB"/>
        </w:rPr>
      </w:pPr>
      <w:bookmarkStart w:id="0" w:name="_GoBack"/>
      <w:bookmarkEnd w:id="0"/>
      <w:r w:rsidRPr="000C784C">
        <w:rPr>
          <w:rFonts w:cs="Times New Roman"/>
          <w:b/>
          <w:bCs/>
          <w:szCs w:val="24"/>
          <w:lang w:val="en-GB"/>
        </w:rPr>
        <w:t>Contribution Certificate</w:t>
      </w:r>
    </w:p>
    <w:p w14:paraId="5B32290F" w14:textId="77777777" w:rsidR="00F56678" w:rsidRPr="000C784C" w:rsidRDefault="00F56678" w:rsidP="000C784C">
      <w:pPr>
        <w:tabs>
          <w:tab w:val="left" w:pos="567"/>
          <w:tab w:val="left" w:pos="1134"/>
          <w:tab w:val="left" w:pos="1701"/>
        </w:tabs>
        <w:rPr>
          <w:rFonts w:cs="Times New Roman"/>
          <w:b/>
          <w:bCs/>
          <w:szCs w:val="24"/>
          <w:lang w:val="en-GB"/>
        </w:rPr>
      </w:pPr>
    </w:p>
    <w:p w14:paraId="5B322910" w14:textId="77777777" w:rsidR="00403E64" w:rsidRPr="00DA63F4" w:rsidRDefault="009F2935" w:rsidP="000C784C">
      <w:pPr>
        <w:tabs>
          <w:tab w:val="left" w:pos="567"/>
          <w:tab w:val="left" w:pos="1134"/>
          <w:tab w:val="left" w:pos="1701"/>
        </w:tabs>
        <w:rPr>
          <w:rFonts w:cs="Times New Roman"/>
          <w:szCs w:val="24"/>
          <w:lang w:val="en-GB"/>
        </w:rPr>
      </w:pPr>
      <w:r w:rsidRPr="000C784C">
        <w:rPr>
          <w:rFonts w:cs="Times New Roman"/>
          <w:szCs w:val="24"/>
          <w:lang w:val="en-GB"/>
        </w:rPr>
        <w:t>From:</w:t>
      </w:r>
      <w:r w:rsidR="000C784C">
        <w:rPr>
          <w:rFonts w:cs="Times New Roman"/>
          <w:szCs w:val="24"/>
          <w:lang w:val="en-GB"/>
        </w:rPr>
        <w:tab/>
      </w:r>
      <w:r w:rsidR="00BE023A" w:rsidRPr="00DA63F4">
        <w:rPr>
          <w:rFonts w:cs="Times New Roman"/>
          <w:szCs w:val="24"/>
          <w:lang w:val="en-GB"/>
        </w:rPr>
        <w:t xml:space="preserve">THE REPUBLIC OF </w:t>
      </w:r>
      <w:r w:rsidR="00995E49" w:rsidRPr="00DA63F4">
        <w:rPr>
          <w:rFonts w:cs="Times New Roman"/>
          <w:szCs w:val="24"/>
          <w:lang w:val="en-GB"/>
        </w:rPr>
        <w:t>LITHUANIA</w:t>
      </w:r>
    </w:p>
    <w:p w14:paraId="5B322911" w14:textId="77777777" w:rsidR="000C784C" w:rsidRPr="00DA63F4" w:rsidRDefault="000C784C" w:rsidP="000C784C">
      <w:pPr>
        <w:tabs>
          <w:tab w:val="left" w:pos="567"/>
          <w:tab w:val="left" w:pos="1134"/>
          <w:tab w:val="left" w:pos="1701"/>
        </w:tabs>
        <w:rPr>
          <w:rFonts w:cs="Times New Roman"/>
          <w:szCs w:val="24"/>
          <w:lang w:val="en-GB"/>
        </w:rPr>
      </w:pPr>
    </w:p>
    <w:p w14:paraId="5B322912" w14:textId="77777777" w:rsidR="009F2935" w:rsidRPr="00DA63F4" w:rsidRDefault="009F2935" w:rsidP="009835DE">
      <w:pPr>
        <w:tabs>
          <w:tab w:val="left" w:pos="567"/>
          <w:tab w:val="left" w:pos="1134"/>
          <w:tab w:val="left" w:pos="1701"/>
        </w:tabs>
        <w:ind w:left="1134" w:hanging="1134"/>
        <w:jc w:val="both"/>
        <w:rPr>
          <w:rFonts w:cs="Times New Roman"/>
          <w:szCs w:val="24"/>
          <w:lang w:val="en-GB"/>
        </w:rPr>
      </w:pPr>
      <w:r w:rsidRPr="00DA63F4">
        <w:rPr>
          <w:rFonts w:cs="Times New Roman"/>
          <w:szCs w:val="24"/>
          <w:lang w:val="en-GB"/>
        </w:rPr>
        <w:t>To:</w:t>
      </w:r>
      <w:r w:rsidR="000C784C" w:rsidRPr="00DA63F4">
        <w:rPr>
          <w:rFonts w:cs="Times New Roman"/>
          <w:szCs w:val="24"/>
          <w:lang w:val="en-GB"/>
        </w:rPr>
        <w:tab/>
      </w:r>
      <w:r w:rsidR="000C784C" w:rsidRPr="00DA63F4">
        <w:rPr>
          <w:rFonts w:cs="Times New Roman"/>
          <w:szCs w:val="24"/>
          <w:lang w:val="en-GB"/>
        </w:rPr>
        <w:tab/>
      </w:r>
      <w:r w:rsidRPr="00DA63F4">
        <w:rPr>
          <w:rFonts w:cs="Times New Roman"/>
          <w:szCs w:val="24"/>
          <w:lang w:val="en-GB"/>
        </w:rPr>
        <w:t xml:space="preserve">The European Commission, </w:t>
      </w:r>
      <w:r w:rsidR="00141CD4" w:rsidRPr="00DA63F4">
        <w:rPr>
          <w:rFonts w:cs="Times New Roman"/>
          <w:szCs w:val="24"/>
          <w:lang w:val="en-GB"/>
        </w:rPr>
        <w:t>Directorate General for Neighbourhood and Enlargement Negotiations</w:t>
      </w:r>
      <w:r w:rsidRPr="00DA63F4">
        <w:rPr>
          <w:rFonts w:cs="Times New Roman"/>
          <w:szCs w:val="24"/>
          <w:lang w:val="en-GB"/>
        </w:rPr>
        <w:t xml:space="preserve">, </w:t>
      </w:r>
      <w:r w:rsidR="00A523E0" w:rsidRPr="00DA63F4">
        <w:rPr>
          <w:rFonts w:cs="Times New Roman"/>
          <w:szCs w:val="24"/>
          <w:lang w:val="en-GB"/>
        </w:rPr>
        <w:t xml:space="preserve">in its capacity as Manager </w:t>
      </w:r>
      <w:r w:rsidRPr="00DA63F4">
        <w:rPr>
          <w:rFonts w:cs="Times New Roman"/>
          <w:szCs w:val="24"/>
          <w:lang w:val="en-GB"/>
        </w:rPr>
        <w:t xml:space="preserve">of the </w:t>
      </w:r>
      <w:r w:rsidR="0078327B" w:rsidRPr="00DA63F4">
        <w:rPr>
          <w:rFonts w:cs="Times New Roman"/>
          <w:szCs w:val="24"/>
          <w:lang w:val="en-GB"/>
        </w:rPr>
        <w:t>Facility for Refugees in Turkey</w:t>
      </w:r>
      <w:r w:rsidRPr="00DA63F4">
        <w:rPr>
          <w:rFonts w:cs="Times New Roman"/>
          <w:szCs w:val="24"/>
          <w:lang w:val="en-GB"/>
        </w:rPr>
        <w:t>.</w:t>
      </w:r>
    </w:p>
    <w:p w14:paraId="5B322913" w14:textId="7B3DB1B5" w:rsidR="00774B65" w:rsidRPr="000C784C" w:rsidRDefault="009F2935" w:rsidP="000C784C">
      <w:pPr>
        <w:tabs>
          <w:tab w:val="left" w:pos="567"/>
          <w:tab w:val="left" w:pos="1134"/>
          <w:tab w:val="left" w:pos="1701"/>
        </w:tabs>
        <w:rPr>
          <w:rFonts w:cs="Times New Roman"/>
          <w:szCs w:val="24"/>
          <w:lang w:val="en-GB"/>
        </w:rPr>
      </w:pPr>
      <w:r w:rsidRPr="00DA63F4">
        <w:rPr>
          <w:rFonts w:cs="Times New Roman"/>
          <w:szCs w:val="24"/>
          <w:lang w:val="en-GB"/>
        </w:rPr>
        <w:t>Date:</w:t>
      </w:r>
      <w:r w:rsidR="000C784C" w:rsidRPr="00DA63F4">
        <w:rPr>
          <w:rFonts w:cs="Times New Roman"/>
          <w:szCs w:val="24"/>
          <w:lang w:val="en-GB"/>
        </w:rPr>
        <w:tab/>
      </w:r>
      <w:r w:rsidR="000C784C" w:rsidRPr="00DA63F4">
        <w:rPr>
          <w:rFonts w:cs="Times New Roman"/>
          <w:szCs w:val="24"/>
          <w:lang w:val="en-GB"/>
        </w:rPr>
        <w:tab/>
      </w:r>
      <w:r w:rsidR="00165E5C">
        <w:rPr>
          <w:rFonts w:cs="Times New Roman"/>
          <w:szCs w:val="24"/>
          <w:lang w:val="en-GB"/>
        </w:rPr>
        <w:t>[…] 2018</w:t>
      </w:r>
    </w:p>
    <w:p w14:paraId="5B322914" w14:textId="77777777" w:rsidR="000C784C" w:rsidRDefault="000C784C" w:rsidP="000C784C">
      <w:pPr>
        <w:tabs>
          <w:tab w:val="left" w:pos="567"/>
          <w:tab w:val="left" w:pos="1134"/>
          <w:tab w:val="left" w:pos="1701"/>
        </w:tabs>
        <w:rPr>
          <w:rFonts w:cs="Times New Roman"/>
          <w:szCs w:val="24"/>
          <w:lang w:val="en-GB"/>
        </w:rPr>
      </w:pPr>
    </w:p>
    <w:p w14:paraId="5B322915" w14:textId="77777777" w:rsidR="00F56678" w:rsidRPr="000C784C" w:rsidRDefault="009F2935" w:rsidP="000C784C">
      <w:pPr>
        <w:tabs>
          <w:tab w:val="left" w:pos="567"/>
          <w:tab w:val="left" w:pos="1134"/>
          <w:tab w:val="left" w:pos="1701"/>
        </w:tabs>
        <w:rPr>
          <w:rFonts w:cs="Times New Roman"/>
          <w:szCs w:val="24"/>
          <w:lang w:val="en-GB"/>
        </w:rPr>
      </w:pPr>
      <w:r w:rsidRPr="000C784C">
        <w:rPr>
          <w:rFonts w:cs="Times New Roman"/>
          <w:szCs w:val="24"/>
          <w:lang w:val="en-GB"/>
        </w:rPr>
        <w:t>Dear Sirs,</w:t>
      </w:r>
    </w:p>
    <w:p w14:paraId="5B322916" w14:textId="77777777" w:rsidR="000C784C" w:rsidRDefault="000C784C" w:rsidP="000C784C">
      <w:pPr>
        <w:tabs>
          <w:tab w:val="left" w:pos="567"/>
          <w:tab w:val="left" w:pos="1134"/>
          <w:tab w:val="left" w:pos="1701"/>
        </w:tabs>
        <w:rPr>
          <w:rFonts w:cs="Times New Roman"/>
          <w:szCs w:val="24"/>
          <w:lang w:val="en-GB"/>
        </w:rPr>
      </w:pPr>
    </w:p>
    <w:p w14:paraId="5B322917" w14:textId="052C99AA" w:rsidR="009F2935" w:rsidRPr="00D238DB" w:rsidRDefault="009F2935" w:rsidP="009835DE">
      <w:pPr>
        <w:tabs>
          <w:tab w:val="left" w:pos="567"/>
          <w:tab w:val="left" w:pos="1134"/>
          <w:tab w:val="left" w:pos="1701"/>
        </w:tabs>
        <w:jc w:val="both"/>
        <w:rPr>
          <w:rFonts w:cs="Times New Roman"/>
          <w:szCs w:val="24"/>
          <w:lang w:val="en-GB"/>
        </w:rPr>
      </w:pPr>
      <w:r w:rsidRPr="000C784C">
        <w:rPr>
          <w:rFonts w:cs="Times New Roman"/>
          <w:szCs w:val="24"/>
          <w:lang w:val="en-GB"/>
        </w:rPr>
        <w:t>Contribution</w:t>
      </w:r>
      <w:r w:rsidR="003A10AF" w:rsidRPr="000C784C">
        <w:rPr>
          <w:rFonts w:cs="Times New Roman"/>
          <w:szCs w:val="24"/>
          <w:lang w:val="en-GB"/>
        </w:rPr>
        <w:t xml:space="preserve"> as external assigned revenues to the general budget of the European Union pursuant </w:t>
      </w:r>
      <w:r w:rsidR="00165E5C">
        <w:rPr>
          <w:rFonts w:cs="Times New Roman"/>
          <w:szCs w:val="24"/>
          <w:lang w:val="en-GB"/>
        </w:rPr>
        <w:t>to point (ii) of Article 21(2</w:t>
      </w:r>
      <w:proofErr w:type="gramStart"/>
      <w:r w:rsidR="00165E5C">
        <w:rPr>
          <w:rFonts w:cs="Times New Roman"/>
          <w:szCs w:val="24"/>
          <w:lang w:val="en-GB"/>
        </w:rPr>
        <w:t>)(</w:t>
      </w:r>
      <w:proofErr w:type="gramEnd"/>
      <w:r w:rsidR="00165E5C">
        <w:rPr>
          <w:rFonts w:cs="Times New Roman"/>
          <w:szCs w:val="24"/>
          <w:lang w:val="en-GB"/>
        </w:rPr>
        <w:t>a</w:t>
      </w:r>
      <w:r w:rsidR="003A10AF" w:rsidRPr="00D238DB">
        <w:rPr>
          <w:rFonts w:cs="Times New Roman"/>
          <w:szCs w:val="24"/>
          <w:lang w:val="en-GB"/>
        </w:rPr>
        <w:t>) of the Financial Regulation</w:t>
      </w:r>
      <w:r w:rsidR="000C784C" w:rsidRPr="00D238DB">
        <w:rPr>
          <w:rStyle w:val="FootnoteReference"/>
          <w:rFonts w:cs="Times New Roman"/>
          <w:b/>
          <w:bCs/>
          <w:szCs w:val="24"/>
          <w:lang w:val="en-GB"/>
        </w:rPr>
        <w:footnoteReference w:id="1"/>
      </w:r>
      <w:r w:rsidR="003A10AF" w:rsidRPr="00D238DB">
        <w:rPr>
          <w:rFonts w:cs="Times New Roman"/>
          <w:szCs w:val="24"/>
          <w:lang w:val="en-GB"/>
        </w:rPr>
        <w:t xml:space="preserve">, for </w:t>
      </w:r>
      <w:r w:rsidR="000C784C" w:rsidRPr="00D238DB">
        <w:rPr>
          <w:rFonts w:cs="Times New Roman"/>
          <w:szCs w:val="24"/>
          <w:lang w:val="en-GB"/>
        </w:rPr>
        <w:t xml:space="preserve">the </w:t>
      </w:r>
      <w:r w:rsidR="0078327B" w:rsidRPr="00D238DB">
        <w:rPr>
          <w:rFonts w:cs="Times New Roman"/>
          <w:szCs w:val="24"/>
          <w:lang w:val="en-GB"/>
        </w:rPr>
        <w:t>Facility for Refugees in Turkey</w:t>
      </w:r>
      <w:r w:rsidR="003A10AF" w:rsidRPr="00D238DB">
        <w:rPr>
          <w:rFonts w:cs="Times New Roman"/>
          <w:szCs w:val="24"/>
          <w:lang w:val="en-GB"/>
        </w:rPr>
        <w:t>, hereinafter</w:t>
      </w:r>
      <w:r w:rsidR="000C784C" w:rsidRPr="00D238DB">
        <w:rPr>
          <w:rFonts w:cs="Times New Roman"/>
          <w:szCs w:val="24"/>
          <w:lang w:val="en-GB"/>
        </w:rPr>
        <w:t xml:space="preserve"> referred to as "the Facility".</w:t>
      </w:r>
    </w:p>
    <w:p w14:paraId="5B322918" w14:textId="77777777" w:rsidR="000C784C" w:rsidRPr="00D238DB" w:rsidRDefault="000C784C" w:rsidP="009835DE">
      <w:pPr>
        <w:tabs>
          <w:tab w:val="left" w:pos="567"/>
          <w:tab w:val="left" w:pos="1134"/>
          <w:tab w:val="left" w:pos="1701"/>
        </w:tabs>
        <w:jc w:val="both"/>
        <w:rPr>
          <w:rFonts w:cs="Times New Roman"/>
          <w:szCs w:val="24"/>
          <w:lang w:val="en-GB"/>
        </w:rPr>
      </w:pPr>
    </w:p>
    <w:p w14:paraId="5B322919" w14:textId="0AEA7C47" w:rsidR="003A10AF" w:rsidRPr="000C784C" w:rsidRDefault="003A10AF" w:rsidP="009835DE">
      <w:pPr>
        <w:tabs>
          <w:tab w:val="left" w:pos="567"/>
          <w:tab w:val="left" w:pos="1134"/>
          <w:tab w:val="left" w:pos="1701"/>
        </w:tabs>
        <w:jc w:val="both"/>
        <w:rPr>
          <w:rFonts w:cs="Times New Roman"/>
          <w:szCs w:val="24"/>
          <w:lang w:eastAsia="ja-JP"/>
        </w:rPr>
      </w:pPr>
      <w:r w:rsidRPr="00D238DB">
        <w:rPr>
          <w:rFonts w:cs="Times New Roman"/>
          <w:szCs w:val="24"/>
          <w:lang w:val="en-GB"/>
        </w:rPr>
        <w:t xml:space="preserve">We refer to </w:t>
      </w:r>
      <w:r w:rsidR="00CA080E" w:rsidRPr="00D238DB">
        <w:rPr>
          <w:rFonts w:cs="Times New Roman"/>
          <w:szCs w:val="24"/>
          <w:lang w:val="en-GB"/>
        </w:rPr>
        <w:t>Commission Decision C(2015) 9500</w:t>
      </w:r>
      <w:r w:rsidR="00165E5C">
        <w:rPr>
          <w:rFonts w:cs="Times New Roman"/>
          <w:szCs w:val="24"/>
          <w:lang w:val="en-GB"/>
        </w:rPr>
        <w:t>, as amended by Commission Decision C(2018) 4959 of 24 July 2018 on the Facility for Refugees in Turkey and the updated</w:t>
      </w:r>
      <w:r w:rsidR="00CA080E" w:rsidRPr="00D238DB">
        <w:rPr>
          <w:rFonts w:cs="Times New Roman"/>
          <w:szCs w:val="24"/>
          <w:lang w:val="en-GB"/>
        </w:rPr>
        <w:t xml:space="preserve"> </w:t>
      </w:r>
      <w:r w:rsidRPr="00D238DB">
        <w:rPr>
          <w:rFonts w:cs="Times New Roman"/>
          <w:szCs w:val="24"/>
          <w:lang w:val="en-GB"/>
        </w:rPr>
        <w:t>Common Understanding establishing a governance and c</w:t>
      </w:r>
      <w:r w:rsidR="00586690" w:rsidRPr="00D238DB">
        <w:rPr>
          <w:rFonts w:cs="Times New Roman"/>
          <w:szCs w:val="24"/>
          <w:lang w:val="en-GB"/>
        </w:rPr>
        <w:t>onditionality framework for the Facility</w:t>
      </w:r>
      <w:r w:rsidRPr="00D238DB">
        <w:rPr>
          <w:rFonts w:cs="Times New Roman"/>
          <w:szCs w:val="24"/>
          <w:lang w:val="en-GB"/>
        </w:rPr>
        <w:t xml:space="preserve">, dated </w:t>
      </w:r>
      <w:r w:rsidR="00165E5C">
        <w:rPr>
          <w:rFonts w:cs="Times New Roman"/>
          <w:szCs w:val="24"/>
          <w:lang w:val="en-GB"/>
        </w:rPr>
        <w:t>18 July</w:t>
      </w:r>
      <w:r w:rsidR="00476110" w:rsidRPr="00D238DB">
        <w:rPr>
          <w:rFonts w:cs="Times New Roman"/>
          <w:szCs w:val="24"/>
          <w:lang w:val="en-GB"/>
        </w:rPr>
        <w:t xml:space="preserve"> </w:t>
      </w:r>
      <w:r w:rsidR="00165E5C">
        <w:rPr>
          <w:rFonts w:cs="Times New Roman"/>
          <w:szCs w:val="24"/>
          <w:lang w:val="en-GB"/>
        </w:rPr>
        <w:t>2018</w:t>
      </w:r>
      <w:r w:rsidRPr="00D238DB">
        <w:rPr>
          <w:rFonts w:cs="Times New Roman"/>
          <w:szCs w:val="24"/>
          <w:lang w:val="en-GB"/>
        </w:rPr>
        <w:t>,</w:t>
      </w:r>
      <w:r w:rsidRPr="000C784C">
        <w:rPr>
          <w:rFonts w:cs="Times New Roman"/>
          <w:szCs w:val="24"/>
          <w:lang w:val="en-GB"/>
        </w:rPr>
        <w:t xml:space="preserve"> hereinafter referred to as </w:t>
      </w:r>
      <w:r w:rsidR="000C784C">
        <w:rPr>
          <w:rFonts w:cs="Times New Roman"/>
          <w:szCs w:val="24"/>
          <w:lang w:val="en-GB"/>
        </w:rPr>
        <w:t>"</w:t>
      </w:r>
      <w:r w:rsidRPr="000C784C">
        <w:rPr>
          <w:rFonts w:cs="Times New Roman"/>
          <w:szCs w:val="24"/>
          <w:lang w:val="en-GB"/>
        </w:rPr>
        <w:t>the Common Understanding</w:t>
      </w:r>
      <w:r w:rsidR="000C784C">
        <w:rPr>
          <w:rFonts w:cs="Times New Roman"/>
          <w:szCs w:val="24"/>
          <w:lang w:val="en-GB"/>
        </w:rPr>
        <w:t>".</w:t>
      </w:r>
    </w:p>
    <w:p w14:paraId="5B32291A" w14:textId="77777777" w:rsidR="000C784C" w:rsidRPr="00AF429F" w:rsidRDefault="000C784C" w:rsidP="009835DE">
      <w:pPr>
        <w:tabs>
          <w:tab w:val="left" w:pos="567"/>
          <w:tab w:val="left" w:pos="1134"/>
          <w:tab w:val="left" w:pos="1701"/>
        </w:tabs>
        <w:jc w:val="both"/>
        <w:rPr>
          <w:rFonts w:cs="Times New Roman"/>
          <w:szCs w:val="24"/>
        </w:rPr>
      </w:pPr>
    </w:p>
    <w:p w14:paraId="5B32291B" w14:textId="77777777" w:rsidR="003A10AF" w:rsidRPr="000C784C" w:rsidRDefault="003A10AF" w:rsidP="009835DE">
      <w:pPr>
        <w:tabs>
          <w:tab w:val="left" w:pos="567"/>
          <w:tab w:val="left" w:pos="1134"/>
          <w:tab w:val="left" w:pos="1701"/>
        </w:tabs>
        <w:jc w:val="both"/>
        <w:rPr>
          <w:rFonts w:cs="Times New Roman"/>
          <w:szCs w:val="24"/>
          <w:lang w:val="en-GB"/>
        </w:rPr>
      </w:pPr>
      <w:r w:rsidRPr="000C784C">
        <w:rPr>
          <w:rFonts w:cs="Times New Roman"/>
          <w:szCs w:val="24"/>
          <w:lang w:val="en-GB"/>
        </w:rPr>
        <w:t xml:space="preserve">All capitalized terms used in this Contribution Certificate shall, unless otherwise defined, have the meaning given to them in the Commission </w:t>
      </w:r>
      <w:r w:rsidR="00E04A60" w:rsidRPr="00995E49">
        <w:rPr>
          <w:rFonts w:cs="Times New Roman"/>
          <w:szCs w:val="24"/>
          <w:lang w:val="en-GB"/>
        </w:rPr>
        <w:t>D</w:t>
      </w:r>
      <w:r w:rsidRPr="000C784C">
        <w:rPr>
          <w:rFonts w:cs="Times New Roman"/>
          <w:szCs w:val="24"/>
          <w:lang w:val="en-GB"/>
        </w:rPr>
        <w:t>ecision and the Common Understanding</w:t>
      </w:r>
      <w:r w:rsidR="00586690" w:rsidRPr="000C784C">
        <w:rPr>
          <w:rFonts w:cs="Times New Roman"/>
          <w:szCs w:val="24"/>
          <w:lang w:val="en-GB"/>
        </w:rPr>
        <w:t>.</w:t>
      </w:r>
    </w:p>
    <w:p w14:paraId="5B32291C" w14:textId="77777777" w:rsidR="000C784C" w:rsidRDefault="000C784C" w:rsidP="009835DE">
      <w:pPr>
        <w:spacing w:after="200" w:line="276" w:lineRule="auto"/>
        <w:jc w:val="both"/>
        <w:rPr>
          <w:rFonts w:cs="Times New Roman"/>
          <w:szCs w:val="24"/>
          <w:lang w:val="en-GB"/>
        </w:rPr>
      </w:pPr>
      <w:r>
        <w:rPr>
          <w:rFonts w:cs="Times New Roman"/>
          <w:szCs w:val="24"/>
          <w:lang w:val="en-GB"/>
        </w:rPr>
        <w:br w:type="page"/>
      </w:r>
    </w:p>
    <w:p w14:paraId="5B32291D" w14:textId="77777777" w:rsidR="00CA68D3" w:rsidRPr="000C784C" w:rsidRDefault="00961FAB" w:rsidP="009835DE">
      <w:pPr>
        <w:tabs>
          <w:tab w:val="left" w:pos="567"/>
          <w:tab w:val="left" w:pos="1134"/>
          <w:tab w:val="left" w:pos="1701"/>
        </w:tabs>
        <w:jc w:val="both"/>
        <w:rPr>
          <w:rFonts w:cs="Times New Roman"/>
          <w:b/>
          <w:bCs/>
          <w:szCs w:val="24"/>
          <w:lang w:val="en-GB"/>
        </w:rPr>
      </w:pPr>
      <w:r w:rsidRPr="000C784C">
        <w:rPr>
          <w:rFonts w:cs="Times New Roman"/>
          <w:b/>
          <w:bCs/>
          <w:szCs w:val="24"/>
          <w:lang w:val="en-GB"/>
        </w:rPr>
        <w:lastRenderedPageBreak/>
        <w:t>Article 1</w:t>
      </w:r>
      <w:r w:rsidR="000C784C">
        <w:rPr>
          <w:rFonts w:cs="Times New Roman"/>
          <w:b/>
          <w:bCs/>
          <w:szCs w:val="24"/>
          <w:lang w:val="en-GB"/>
        </w:rPr>
        <w:t>.</w:t>
      </w:r>
      <w:r w:rsidR="00293321" w:rsidRPr="000C784C">
        <w:rPr>
          <w:rFonts w:cs="Times New Roman"/>
          <w:b/>
          <w:bCs/>
          <w:szCs w:val="24"/>
          <w:lang w:val="en-GB"/>
        </w:rPr>
        <w:t xml:space="preserve"> </w:t>
      </w:r>
      <w:r w:rsidRPr="000C784C">
        <w:rPr>
          <w:rFonts w:cs="Times New Roman"/>
          <w:b/>
          <w:bCs/>
          <w:szCs w:val="24"/>
          <w:lang w:val="en-GB"/>
        </w:rPr>
        <w:t>Amount</w:t>
      </w:r>
      <w:r w:rsidR="002D3C70" w:rsidRPr="000C784C">
        <w:rPr>
          <w:rFonts w:cs="Times New Roman"/>
          <w:b/>
          <w:bCs/>
          <w:szCs w:val="24"/>
          <w:lang w:val="en-GB"/>
        </w:rPr>
        <w:t xml:space="preserve"> of the Contribution</w:t>
      </w:r>
    </w:p>
    <w:p w14:paraId="5B32291E" w14:textId="77777777" w:rsidR="00903E1C" w:rsidRPr="000C784C" w:rsidRDefault="00903E1C" w:rsidP="009835DE">
      <w:pPr>
        <w:tabs>
          <w:tab w:val="left" w:pos="567"/>
          <w:tab w:val="left" w:pos="1134"/>
          <w:tab w:val="left" w:pos="1701"/>
        </w:tabs>
        <w:jc w:val="both"/>
        <w:rPr>
          <w:rFonts w:cs="Times New Roman"/>
          <w:szCs w:val="24"/>
          <w:lang w:val="en-GB"/>
        </w:rPr>
      </w:pPr>
    </w:p>
    <w:p w14:paraId="5B32291F" w14:textId="572E6F84" w:rsidR="003A10AF" w:rsidRPr="000C784C" w:rsidRDefault="00E34C03" w:rsidP="009835DE">
      <w:pPr>
        <w:tabs>
          <w:tab w:val="left" w:pos="567"/>
          <w:tab w:val="left" w:pos="1134"/>
          <w:tab w:val="left" w:pos="1701"/>
        </w:tabs>
        <w:ind w:left="567" w:hanging="567"/>
        <w:jc w:val="both"/>
        <w:rPr>
          <w:rFonts w:cs="Times New Roman"/>
          <w:szCs w:val="24"/>
          <w:lang w:val="en-GB"/>
        </w:rPr>
      </w:pPr>
      <w:r w:rsidRPr="000C784C">
        <w:rPr>
          <w:rFonts w:cs="Times New Roman"/>
          <w:szCs w:val="24"/>
          <w:lang w:val="en-GB"/>
        </w:rPr>
        <w:t>1.</w:t>
      </w:r>
      <w:r w:rsidR="000C784C">
        <w:rPr>
          <w:rFonts w:cs="Times New Roman"/>
          <w:szCs w:val="24"/>
          <w:lang w:val="en-GB"/>
        </w:rPr>
        <w:tab/>
      </w:r>
      <w:r w:rsidR="003A10AF" w:rsidRPr="000C784C">
        <w:rPr>
          <w:rFonts w:cs="Times New Roman"/>
          <w:szCs w:val="24"/>
          <w:lang w:val="en-GB"/>
        </w:rPr>
        <w:t xml:space="preserve">We hereby confirm our commitment to make a contribution (hereinafter </w:t>
      </w:r>
      <w:r w:rsidR="000C784C">
        <w:rPr>
          <w:rFonts w:cs="Times New Roman"/>
          <w:szCs w:val="24"/>
          <w:lang w:val="en-GB"/>
        </w:rPr>
        <w:t>"</w:t>
      </w:r>
      <w:r w:rsidR="003A10AF" w:rsidRPr="000C784C">
        <w:rPr>
          <w:rFonts w:cs="Times New Roman"/>
          <w:szCs w:val="24"/>
          <w:lang w:val="en-GB"/>
        </w:rPr>
        <w:t>the Contribution</w:t>
      </w:r>
      <w:r w:rsidR="000C784C">
        <w:rPr>
          <w:rFonts w:cs="Times New Roman"/>
          <w:szCs w:val="24"/>
          <w:lang w:val="en-GB"/>
        </w:rPr>
        <w:t>"</w:t>
      </w:r>
      <w:r w:rsidR="003A10AF" w:rsidRPr="000C784C">
        <w:rPr>
          <w:rFonts w:cs="Times New Roman"/>
          <w:szCs w:val="24"/>
          <w:lang w:val="en-GB"/>
        </w:rPr>
        <w:t>) in</w:t>
      </w:r>
      <w:r w:rsidR="00737521" w:rsidRPr="000C784C">
        <w:rPr>
          <w:rFonts w:cs="Times New Roman"/>
          <w:szCs w:val="24"/>
          <w:lang w:val="en-GB"/>
        </w:rPr>
        <w:t xml:space="preserve"> the </w:t>
      </w:r>
      <w:r w:rsidR="003A10AF" w:rsidRPr="000C784C">
        <w:rPr>
          <w:rFonts w:cs="Times New Roman"/>
          <w:szCs w:val="24"/>
          <w:lang w:val="en-GB"/>
        </w:rPr>
        <w:t xml:space="preserve">form of external assigned revenues to the general budget of the European Union for the Facility for an amount of </w:t>
      </w:r>
      <w:r w:rsidR="003A10AF" w:rsidRPr="00DA63F4">
        <w:rPr>
          <w:rFonts w:cs="Times New Roman"/>
          <w:szCs w:val="24"/>
          <w:lang w:val="en-GB"/>
        </w:rPr>
        <w:t xml:space="preserve">EUR </w:t>
      </w:r>
      <w:r w:rsidR="00165E5C" w:rsidRPr="00E3460A">
        <w:rPr>
          <w:szCs w:val="24"/>
          <w:lang w:val="lt-LT"/>
        </w:rPr>
        <w:t xml:space="preserve">2 615 816 </w:t>
      </w:r>
      <w:r w:rsidR="003A10AF" w:rsidRPr="00DA63F4">
        <w:rPr>
          <w:rFonts w:cs="Times New Roman"/>
          <w:szCs w:val="24"/>
          <w:lang w:val="en-GB"/>
        </w:rPr>
        <w:t>following</w:t>
      </w:r>
      <w:r w:rsidR="003A10AF" w:rsidRPr="000C784C">
        <w:rPr>
          <w:rFonts w:cs="Times New Roman"/>
          <w:szCs w:val="24"/>
          <w:lang w:val="en-GB"/>
        </w:rPr>
        <w:t xml:space="preserve"> the breakdown of contributions agreed by </w:t>
      </w:r>
      <w:r w:rsidR="000C784C" w:rsidRPr="000C784C">
        <w:rPr>
          <w:rFonts w:cs="Times New Roman"/>
          <w:szCs w:val="24"/>
          <w:lang w:val="en-GB"/>
        </w:rPr>
        <w:t xml:space="preserve">Member States </w:t>
      </w:r>
      <w:r w:rsidR="003A10AF" w:rsidRPr="000C784C">
        <w:rPr>
          <w:rFonts w:cs="Times New Roman"/>
          <w:szCs w:val="24"/>
          <w:lang w:val="en-GB"/>
        </w:rPr>
        <w:t>in the Terms of Reference approved by the representatives of the Governments of the 28 Member States on</w:t>
      </w:r>
      <w:r w:rsidR="00165E5C">
        <w:rPr>
          <w:rFonts w:cs="Times New Roman"/>
          <w:szCs w:val="24"/>
          <w:lang w:val="en-GB"/>
        </w:rPr>
        <w:t xml:space="preserve"> July 2018 and in accordance with the payment schedule in the Annex</w:t>
      </w:r>
      <w:r w:rsidR="000C784C">
        <w:rPr>
          <w:rFonts w:cs="Times New Roman"/>
          <w:szCs w:val="24"/>
          <w:lang w:val="en-GB"/>
        </w:rPr>
        <w:t>.</w:t>
      </w:r>
    </w:p>
    <w:p w14:paraId="5B322920" w14:textId="77777777" w:rsidR="002D3C70" w:rsidRPr="000C784C" w:rsidRDefault="002D3C70" w:rsidP="009835DE">
      <w:pPr>
        <w:pStyle w:val="ListParagraph"/>
        <w:tabs>
          <w:tab w:val="left" w:pos="567"/>
          <w:tab w:val="left" w:pos="1134"/>
          <w:tab w:val="left" w:pos="1701"/>
        </w:tabs>
        <w:ind w:left="0"/>
        <w:jc w:val="both"/>
        <w:rPr>
          <w:rFonts w:cs="Times New Roman"/>
          <w:szCs w:val="24"/>
          <w:lang w:val="en-GB"/>
        </w:rPr>
      </w:pPr>
    </w:p>
    <w:p w14:paraId="5B322921" w14:textId="77777777" w:rsidR="00E15F51" w:rsidRPr="000C784C" w:rsidRDefault="002D3C70" w:rsidP="009835DE">
      <w:pPr>
        <w:tabs>
          <w:tab w:val="left" w:pos="567"/>
          <w:tab w:val="left" w:pos="1134"/>
          <w:tab w:val="left" w:pos="1701"/>
        </w:tabs>
        <w:jc w:val="both"/>
        <w:rPr>
          <w:rFonts w:cs="Times New Roman"/>
          <w:b/>
          <w:szCs w:val="24"/>
          <w:lang w:val="en-GB"/>
        </w:rPr>
      </w:pPr>
      <w:r w:rsidRPr="000C784C">
        <w:rPr>
          <w:rFonts w:cs="Times New Roman"/>
          <w:b/>
          <w:szCs w:val="24"/>
          <w:lang w:val="en-GB"/>
        </w:rPr>
        <w:t>Article 2. Purpose of the Contribution</w:t>
      </w:r>
    </w:p>
    <w:p w14:paraId="5B322922" w14:textId="77777777" w:rsidR="00774B65" w:rsidRPr="000C784C" w:rsidRDefault="00774B65" w:rsidP="009835DE">
      <w:pPr>
        <w:tabs>
          <w:tab w:val="left" w:pos="567"/>
          <w:tab w:val="left" w:pos="1134"/>
          <w:tab w:val="left" w:pos="1701"/>
        </w:tabs>
        <w:jc w:val="both"/>
        <w:rPr>
          <w:rFonts w:cs="Times New Roman"/>
          <w:szCs w:val="24"/>
          <w:lang w:val="en-GB"/>
        </w:rPr>
      </w:pPr>
    </w:p>
    <w:p w14:paraId="5B322923" w14:textId="16C0873E" w:rsidR="003A10AF" w:rsidRPr="000C784C" w:rsidRDefault="002D3C70" w:rsidP="009835DE">
      <w:pPr>
        <w:tabs>
          <w:tab w:val="left" w:pos="567"/>
          <w:tab w:val="left" w:pos="1134"/>
          <w:tab w:val="left" w:pos="1701"/>
        </w:tabs>
        <w:ind w:left="567" w:hanging="567"/>
        <w:jc w:val="both"/>
        <w:rPr>
          <w:rFonts w:cs="Times New Roman"/>
          <w:szCs w:val="24"/>
          <w:lang w:val="en-GB"/>
        </w:rPr>
      </w:pPr>
      <w:r w:rsidRPr="000C784C">
        <w:rPr>
          <w:rFonts w:cs="Times New Roman"/>
          <w:szCs w:val="24"/>
          <w:lang w:val="en-GB"/>
        </w:rPr>
        <w:t>2.</w:t>
      </w:r>
      <w:r w:rsidR="000C784C">
        <w:rPr>
          <w:rFonts w:cs="Times New Roman"/>
          <w:szCs w:val="24"/>
          <w:lang w:val="en-GB"/>
        </w:rPr>
        <w:tab/>
      </w:r>
      <w:r w:rsidR="00E15F51" w:rsidRPr="000C784C">
        <w:rPr>
          <w:rFonts w:cs="Times New Roman"/>
          <w:szCs w:val="24"/>
          <w:lang w:val="en-GB"/>
        </w:rPr>
        <w:t xml:space="preserve">This </w:t>
      </w:r>
      <w:r w:rsidR="003311BE" w:rsidRPr="000C784C">
        <w:rPr>
          <w:rFonts w:cs="Times New Roman"/>
          <w:szCs w:val="24"/>
          <w:lang w:val="en-GB"/>
        </w:rPr>
        <w:t xml:space="preserve">Contribution </w:t>
      </w:r>
      <w:r w:rsidR="00E15F51" w:rsidRPr="000C784C">
        <w:rPr>
          <w:rFonts w:cs="Times New Roman"/>
          <w:szCs w:val="24"/>
          <w:lang w:val="en-GB"/>
        </w:rPr>
        <w:t>serves to finance actions, together with financing from the general budget of the European Union and contributions from other</w:t>
      </w:r>
      <w:r w:rsidR="007B6CEA" w:rsidRPr="000C784C">
        <w:rPr>
          <w:rFonts w:cs="Times New Roman"/>
          <w:szCs w:val="24"/>
          <w:lang w:val="en-GB"/>
        </w:rPr>
        <w:t xml:space="preserve"> </w:t>
      </w:r>
      <w:r w:rsidR="003A10AF" w:rsidRPr="000C784C">
        <w:rPr>
          <w:rFonts w:cs="Times New Roman"/>
          <w:szCs w:val="24"/>
          <w:lang w:val="en-GB"/>
        </w:rPr>
        <w:t>Member States</w:t>
      </w:r>
      <w:r w:rsidR="00E15F51" w:rsidRPr="000C784C">
        <w:rPr>
          <w:rFonts w:cs="Times New Roman"/>
          <w:szCs w:val="24"/>
          <w:lang w:val="en-GB"/>
        </w:rPr>
        <w:t xml:space="preserve">, providing support to refugees and host communities in Turkey </w:t>
      </w:r>
      <w:r w:rsidR="00165E5C">
        <w:rPr>
          <w:rFonts w:cs="Times New Roman"/>
          <w:szCs w:val="24"/>
          <w:lang w:val="en-GB"/>
        </w:rPr>
        <w:t>undertaken by budgetary commitments until 31 December 2019</w:t>
      </w:r>
      <w:r w:rsidR="00E15F51" w:rsidRPr="000C784C">
        <w:rPr>
          <w:rFonts w:cs="Times New Roman"/>
          <w:szCs w:val="24"/>
          <w:lang w:val="en-GB"/>
        </w:rPr>
        <w:t xml:space="preserve">, coordinated through </w:t>
      </w:r>
      <w:r w:rsidR="003273AE" w:rsidRPr="000C784C">
        <w:rPr>
          <w:rFonts w:cs="Times New Roman"/>
          <w:szCs w:val="24"/>
          <w:lang w:val="en-GB"/>
        </w:rPr>
        <w:t xml:space="preserve">the </w:t>
      </w:r>
      <w:r w:rsidR="00E15F51" w:rsidRPr="000C784C">
        <w:rPr>
          <w:rFonts w:cs="Times New Roman"/>
          <w:szCs w:val="24"/>
          <w:lang w:val="en-GB"/>
        </w:rPr>
        <w:t>Facility. These actions shall assist Turkey in addressing the immediate humanitarian and development needs of the refugees</w:t>
      </w:r>
      <w:r w:rsidR="00165E5C">
        <w:rPr>
          <w:rFonts w:cs="Times New Roman"/>
          <w:szCs w:val="24"/>
          <w:lang w:val="en-GB"/>
        </w:rPr>
        <w:t xml:space="preserve"> and persons eligible for subsidiary protection and </w:t>
      </w:r>
      <w:r w:rsidR="00E15F51" w:rsidRPr="000C784C">
        <w:rPr>
          <w:rFonts w:cs="Times New Roman"/>
          <w:szCs w:val="24"/>
          <w:lang w:val="en-GB"/>
        </w:rPr>
        <w:t>their host communities, national and local authorities in managing and addressing the consequences of the inflow of refugees</w:t>
      </w:r>
      <w:r w:rsidR="00165E5C">
        <w:rPr>
          <w:rFonts w:cs="Times New Roman"/>
          <w:szCs w:val="24"/>
          <w:lang w:val="en-GB"/>
        </w:rPr>
        <w:t xml:space="preserve"> and persons eligible for subsidiary protection</w:t>
      </w:r>
      <w:r w:rsidR="00E15F51" w:rsidRPr="000C784C">
        <w:rPr>
          <w:rFonts w:cs="Times New Roman"/>
          <w:szCs w:val="24"/>
          <w:lang w:val="en-GB"/>
        </w:rPr>
        <w:t xml:space="preserve">. </w:t>
      </w:r>
    </w:p>
    <w:p w14:paraId="5B322924" w14:textId="77777777" w:rsidR="003A10AF" w:rsidRPr="000C784C" w:rsidRDefault="003A10AF" w:rsidP="009835DE">
      <w:pPr>
        <w:tabs>
          <w:tab w:val="left" w:pos="567"/>
          <w:tab w:val="left" w:pos="1134"/>
          <w:tab w:val="left" w:pos="1701"/>
        </w:tabs>
        <w:jc w:val="both"/>
        <w:rPr>
          <w:rFonts w:cs="Times New Roman"/>
          <w:b/>
          <w:bCs/>
          <w:szCs w:val="24"/>
          <w:lang w:val="en-GB"/>
        </w:rPr>
      </w:pPr>
    </w:p>
    <w:p w14:paraId="5B322925" w14:textId="77777777" w:rsidR="00E96F57" w:rsidRPr="000C784C" w:rsidRDefault="00E34C03" w:rsidP="009835DE">
      <w:pPr>
        <w:tabs>
          <w:tab w:val="left" w:pos="567"/>
          <w:tab w:val="left" w:pos="1134"/>
          <w:tab w:val="left" w:pos="1701"/>
        </w:tabs>
        <w:jc w:val="both"/>
        <w:rPr>
          <w:rFonts w:cs="Times New Roman"/>
          <w:b/>
          <w:bCs/>
          <w:szCs w:val="24"/>
          <w:lang w:val="en-GB"/>
        </w:rPr>
      </w:pPr>
      <w:r w:rsidRPr="000C784C">
        <w:rPr>
          <w:rFonts w:cs="Times New Roman"/>
          <w:b/>
          <w:bCs/>
          <w:szCs w:val="24"/>
          <w:lang w:val="en-GB"/>
        </w:rPr>
        <w:t>Article 3</w:t>
      </w:r>
      <w:r w:rsidR="0023434E" w:rsidRPr="000C784C">
        <w:rPr>
          <w:rFonts w:cs="Times New Roman"/>
          <w:b/>
          <w:bCs/>
          <w:szCs w:val="24"/>
          <w:lang w:val="en-GB"/>
        </w:rPr>
        <w:t>. Payment</w:t>
      </w:r>
    </w:p>
    <w:p w14:paraId="5B322926" w14:textId="77777777" w:rsidR="0023434E" w:rsidRPr="000C784C" w:rsidRDefault="0023434E" w:rsidP="009835DE">
      <w:pPr>
        <w:tabs>
          <w:tab w:val="left" w:pos="567"/>
          <w:tab w:val="left" w:pos="1134"/>
          <w:tab w:val="left" w:pos="1701"/>
        </w:tabs>
        <w:jc w:val="both"/>
        <w:rPr>
          <w:rFonts w:cs="Times New Roman"/>
          <w:szCs w:val="24"/>
          <w:lang w:val="en-GB"/>
        </w:rPr>
      </w:pPr>
    </w:p>
    <w:p w14:paraId="5B322927" w14:textId="20FAC692" w:rsidR="003A10AF" w:rsidRPr="000C784C" w:rsidRDefault="00CA080E" w:rsidP="009835DE">
      <w:pPr>
        <w:tabs>
          <w:tab w:val="left" w:pos="567"/>
          <w:tab w:val="left" w:pos="1134"/>
          <w:tab w:val="left" w:pos="1701"/>
        </w:tabs>
        <w:ind w:left="567" w:hanging="567"/>
        <w:jc w:val="both"/>
        <w:rPr>
          <w:rFonts w:cs="Times New Roman"/>
          <w:szCs w:val="24"/>
          <w:lang w:val="en-GB"/>
        </w:rPr>
      </w:pPr>
      <w:proofErr w:type="gramStart"/>
      <w:r w:rsidRPr="000C784C">
        <w:rPr>
          <w:rFonts w:cs="Times New Roman"/>
          <w:szCs w:val="24"/>
          <w:lang w:val="en-GB"/>
        </w:rPr>
        <w:t>3.</w:t>
      </w:r>
      <w:r w:rsidR="000C784C">
        <w:rPr>
          <w:rFonts w:cs="Times New Roman"/>
          <w:szCs w:val="24"/>
          <w:lang w:val="en-GB"/>
        </w:rPr>
        <w:tab/>
      </w:r>
      <w:r w:rsidR="00901440">
        <w:rPr>
          <w:rFonts w:cs="Times New Roman"/>
          <w:szCs w:val="24"/>
          <w:lang w:val="en-GB"/>
        </w:rPr>
        <w:t>W</w:t>
      </w:r>
      <w:r w:rsidR="003A10AF" w:rsidRPr="000C784C">
        <w:rPr>
          <w:rFonts w:cs="Times New Roman"/>
          <w:szCs w:val="24"/>
          <w:lang w:val="en-GB"/>
        </w:rPr>
        <w:t>e shall make this Contribution available to the Commission in immediately available funds</w:t>
      </w:r>
      <w:r w:rsidR="00901440">
        <w:rPr>
          <w:rFonts w:cs="Times New Roman"/>
          <w:szCs w:val="24"/>
          <w:lang w:val="en-GB"/>
        </w:rPr>
        <w:t xml:space="preserve"> following the respective debit note,</w:t>
      </w:r>
      <w:r w:rsidR="003A10AF" w:rsidRPr="000C784C">
        <w:rPr>
          <w:rFonts w:cs="Times New Roman"/>
          <w:szCs w:val="24"/>
          <w:lang w:val="en-GB"/>
        </w:rPr>
        <w:t xml:space="preserve"> in accordance with </w:t>
      </w:r>
      <w:r w:rsidR="00901440">
        <w:rPr>
          <w:rFonts w:cs="Times New Roman"/>
          <w:szCs w:val="24"/>
          <w:lang w:val="en-GB"/>
        </w:rPr>
        <w:t>point 16 of the Common Understanding and subject to strict compliance with additional conditions</w:t>
      </w:r>
      <w:r w:rsidR="003A10AF" w:rsidRPr="000C784C">
        <w:rPr>
          <w:rFonts w:cs="Times New Roman"/>
          <w:szCs w:val="24"/>
          <w:lang w:val="en-GB"/>
        </w:rPr>
        <w:t xml:space="preserve">, notably concerning governance and conditionality, which form part of the Common Understanding, as reflected </w:t>
      </w:r>
      <w:r w:rsidR="003A10AF" w:rsidRPr="000C784C">
        <w:rPr>
          <w:rFonts w:cs="Times New Roman"/>
          <w:i/>
          <w:iCs/>
          <w:szCs w:val="24"/>
          <w:lang w:val="en-GB"/>
        </w:rPr>
        <w:t xml:space="preserve">inter alia </w:t>
      </w:r>
      <w:r w:rsidR="003A10AF" w:rsidRPr="000C784C">
        <w:rPr>
          <w:rFonts w:cs="Times New Roman"/>
          <w:szCs w:val="24"/>
          <w:lang w:val="en-GB"/>
        </w:rPr>
        <w:t xml:space="preserve">in Commission </w:t>
      </w:r>
      <w:r w:rsidR="003A10AF" w:rsidRPr="004200CC">
        <w:rPr>
          <w:rFonts w:cs="Times New Roman"/>
          <w:szCs w:val="24"/>
          <w:lang w:val="en-GB"/>
        </w:rPr>
        <w:t xml:space="preserve">Decision </w:t>
      </w:r>
      <w:r w:rsidR="004200CC" w:rsidRPr="00072176">
        <w:rPr>
          <w:rFonts w:cs="Times New Roman"/>
          <w:szCs w:val="24"/>
          <w:lang w:val="en-GB"/>
        </w:rPr>
        <w:t xml:space="preserve">C(2015) 9500 final, as amended by Commission Decision </w:t>
      </w:r>
      <w:r w:rsidR="00901440">
        <w:rPr>
          <w:rFonts w:cs="Times New Roman"/>
          <w:szCs w:val="24"/>
          <w:lang w:val="en-GB"/>
        </w:rPr>
        <w:t>C(2018) 4959</w:t>
      </w:r>
      <w:r w:rsidR="004200CC" w:rsidRPr="00072176">
        <w:rPr>
          <w:rFonts w:cs="Times New Roman"/>
          <w:szCs w:val="24"/>
          <w:lang w:val="en-GB"/>
        </w:rPr>
        <w:t xml:space="preserve"> of </w:t>
      </w:r>
      <w:r w:rsidR="00901440">
        <w:rPr>
          <w:rFonts w:cs="Times New Roman"/>
          <w:szCs w:val="24"/>
          <w:lang w:val="en-GB"/>
        </w:rPr>
        <w:t>24 July 2018</w:t>
      </w:r>
      <w:r w:rsidR="003A10AF" w:rsidRPr="00072176">
        <w:rPr>
          <w:rFonts w:cs="Times New Roman"/>
          <w:szCs w:val="24"/>
          <w:lang w:val="en-GB"/>
        </w:rPr>
        <w:t>.</w:t>
      </w:r>
      <w:proofErr w:type="gramEnd"/>
      <w:r w:rsidR="003A10AF" w:rsidRPr="000C784C">
        <w:rPr>
          <w:rFonts w:cs="Times New Roman"/>
          <w:szCs w:val="24"/>
          <w:lang w:val="en-GB"/>
        </w:rPr>
        <w:t xml:space="preserve"> </w:t>
      </w:r>
    </w:p>
    <w:p w14:paraId="5B322928" w14:textId="77777777" w:rsidR="003A10AF" w:rsidRPr="000C784C" w:rsidRDefault="003A10AF" w:rsidP="009835DE">
      <w:pPr>
        <w:tabs>
          <w:tab w:val="left" w:pos="567"/>
          <w:tab w:val="left" w:pos="1134"/>
          <w:tab w:val="left" w:pos="1701"/>
        </w:tabs>
        <w:jc w:val="both"/>
        <w:rPr>
          <w:rFonts w:cs="Times New Roman"/>
          <w:szCs w:val="24"/>
          <w:lang w:val="en-GB"/>
        </w:rPr>
      </w:pPr>
    </w:p>
    <w:p w14:paraId="5B322929" w14:textId="77777777" w:rsidR="0023434E" w:rsidRPr="000C784C" w:rsidRDefault="00E34C03" w:rsidP="009835DE">
      <w:pPr>
        <w:tabs>
          <w:tab w:val="left" w:pos="567"/>
          <w:tab w:val="left" w:pos="1134"/>
          <w:tab w:val="left" w:pos="1701"/>
        </w:tabs>
        <w:jc w:val="both"/>
        <w:rPr>
          <w:rFonts w:cs="Times New Roman"/>
          <w:b/>
          <w:szCs w:val="24"/>
          <w:lang w:val="en-GB"/>
        </w:rPr>
      </w:pPr>
      <w:r w:rsidRPr="000C784C">
        <w:rPr>
          <w:rFonts w:cs="Times New Roman"/>
          <w:b/>
          <w:szCs w:val="24"/>
          <w:lang w:val="en-GB"/>
        </w:rPr>
        <w:t>Article 4</w:t>
      </w:r>
      <w:r w:rsidR="0023434E" w:rsidRPr="000C784C">
        <w:rPr>
          <w:rFonts w:cs="Times New Roman"/>
          <w:b/>
          <w:szCs w:val="24"/>
          <w:lang w:val="en-GB"/>
        </w:rPr>
        <w:t xml:space="preserve">. </w:t>
      </w:r>
      <w:r w:rsidR="00CA080E" w:rsidRPr="000C784C">
        <w:rPr>
          <w:rFonts w:cs="Times New Roman"/>
          <w:b/>
          <w:szCs w:val="24"/>
          <w:lang w:val="en-GB"/>
        </w:rPr>
        <w:t>Member States</w:t>
      </w:r>
      <w:r w:rsidR="0023434E" w:rsidRPr="000C784C">
        <w:rPr>
          <w:rFonts w:cs="Times New Roman"/>
          <w:b/>
          <w:szCs w:val="24"/>
          <w:lang w:val="en-GB"/>
        </w:rPr>
        <w:t xml:space="preserve"> Confirmation</w:t>
      </w:r>
    </w:p>
    <w:p w14:paraId="5B32292A" w14:textId="77777777" w:rsidR="0023434E" w:rsidRPr="000C784C" w:rsidRDefault="0023434E" w:rsidP="009835DE">
      <w:pPr>
        <w:tabs>
          <w:tab w:val="left" w:pos="567"/>
          <w:tab w:val="left" w:pos="1134"/>
          <w:tab w:val="left" w:pos="1701"/>
        </w:tabs>
        <w:jc w:val="both"/>
        <w:rPr>
          <w:rFonts w:cs="Times New Roman"/>
          <w:szCs w:val="24"/>
          <w:lang w:val="en-GB"/>
        </w:rPr>
      </w:pPr>
    </w:p>
    <w:p w14:paraId="5B32292B" w14:textId="77777777" w:rsidR="0023434E" w:rsidRPr="000C784C" w:rsidRDefault="00E34C03" w:rsidP="009835DE">
      <w:pPr>
        <w:tabs>
          <w:tab w:val="left" w:pos="567"/>
          <w:tab w:val="left" w:pos="1134"/>
          <w:tab w:val="left" w:pos="1701"/>
        </w:tabs>
        <w:ind w:left="567" w:hanging="567"/>
        <w:jc w:val="both"/>
        <w:rPr>
          <w:rFonts w:cs="Times New Roman"/>
          <w:szCs w:val="24"/>
          <w:lang w:val="en-GB"/>
        </w:rPr>
      </w:pPr>
      <w:r w:rsidRPr="000C784C">
        <w:rPr>
          <w:rFonts w:cs="Times New Roman"/>
          <w:szCs w:val="24"/>
          <w:lang w:val="en-GB"/>
        </w:rPr>
        <w:t>4.</w:t>
      </w:r>
      <w:r w:rsidR="000C784C">
        <w:rPr>
          <w:rFonts w:cs="Times New Roman"/>
          <w:szCs w:val="24"/>
          <w:lang w:val="en-GB"/>
        </w:rPr>
        <w:tab/>
      </w:r>
      <w:r w:rsidR="00CA080E" w:rsidRPr="000C784C">
        <w:rPr>
          <w:rFonts w:cs="Times New Roman"/>
          <w:szCs w:val="24"/>
          <w:lang w:val="en-GB"/>
        </w:rPr>
        <w:t xml:space="preserve">The Common Understanding </w:t>
      </w:r>
      <w:r w:rsidR="0023434E" w:rsidRPr="000C784C">
        <w:rPr>
          <w:rFonts w:cs="Times New Roman"/>
          <w:szCs w:val="24"/>
          <w:lang w:val="en-GB"/>
        </w:rPr>
        <w:t>shall apply to this Contribution</w:t>
      </w:r>
      <w:r w:rsidR="00EE35A0" w:rsidRPr="000C784C">
        <w:rPr>
          <w:rFonts w:cs="Times New Roman"/>
          <w:szCs w:val="24"/>
          <w:lang w:val="en-GB"/>
        </w:rPr>
        <w:t>,</w:t>
      </w:r>
      <w:r w:rsidR="0023434E" w:rsidRPr="000C784C">
        <w:rPr>
          <w:rFonts w:cs="Times New Roman"/>
          <w:szCs w:val="24"/>
          <w:lang w:val="en-GB"/>
        </w:rPr>
        <w:t xml:space="preserve"> and the </w:t>
      </w:r>
      <w:r w:rsidR="00EE35A0" w:rsidRPr="000C784C">
        <w:rPr>
          <w:rFonts w:cs="Times New Roman"/>
          <w:szCs w:val="24"/>
          <w:lang w:val="en-GB"/>
        </w:rPr>
        <w:t>Commission</w:t>
      </w:r>
      <w:r w:rsidR="0023434E" w:rsidRPr="000C784C">
        <w:rPr>
          <w:rFonts w:cs="Times New Roman"/>
          <w:szCs w:val="24"/>
          <w:lang w:val="en-GB"/>
        </w:rPr>
        <w:t xml:space="preserve"> shall </w:t>
      </w:r>
      <w:r w:rsidR="00EE35A0" w:rsidRPr="000C784C">
        <w:rPr>
          <w:rFonts w:cs="Times New Roman"/>
          <w:szCs w:val="24"/>
          <w:lang w:val="en-GB"/>
        </w:rPr>
        <w:t>manage</w:t>
      </w:r>
      <w:r w:rsidR="0023434E" w:rsidRPr="000C784C">
        <w:rPr>
          <w:rFonts w:cs="Times New Roman"/>
          <w:szCs w:val="24"/>
          <w:lang w:val="en-GB"/>
        </w:rPr>
        <w:t xml:space="preserve"> the Con</w:t>
      </w:r>
      <w:r w:rsidR="00737521" w:rsidRPr="000C784C">
        <w:rPr>
          <w:rFonts w:cs="Times New Roman"/>
          <w:szCs w:val="24"/>
          <w:lang w:val="en-GB"/>
        </w:rPr>
        <w:t>tribution in accordance with this Common Understanding</w:t>
      </w:r>
      <w:r w:rsidR="0023434E" w:rsidRPr="000C784C">
        <w:rPr>
          <w:rFonts w:cs="Times New Roman"/>
          <w:szCs w:val="24"/>
          <w:lang w:val="en-GB"/>
        </w:rPr>
        <w:t>.</w:t>
      </w:r>
    </w:p>
    <w:p w14:paraId="5B32292C" w14:textId="77777777" w:rsidR="003311BE" w:rsidRDefault="003311BE" w:rsidP="009835DE">
      <w:pPr>
        <w:tabs>
          <w:tab w:val="left" w:pos="567"/>
          <w:tab w:val="left" w:pos="1134"/>
          <w:tab w:val="left" w:pos="1701"/>
        </w:tabs>
        <w:ind w:left="567"/>
        <w:jc w:val="both"/>
        <w:rPr>
          <w:rFonts w:cs="Times New Roman"/>
          <w:szCs w:val="24"/>
          <w:lang w:val="en-GB"/>
        </w:rPr>
      </w:pPr>
    </w:p>
    <w:p w14:paraId="5B32292D" w14:textId="77777777" w:rsidR="0023434E" w:rsidRPr="000C784C" w:rsidRDefault="0023434E" w:rsidP="009835DE">
      <w:pPr>
        <w:tabs>
          <w:tab w:val="left" w:pos="567"/>
          <w:tab w:val="left" w:pos="1134"/>
          <w:tab w:val="left" w:pos="1701"/>
        </w:tabs>
        <w:ind w:left="567"/>
        <w:jc w:val="both"/>
        <w:rPr>
          <w:rFonts w:cs="Times New Roman"/>
          <w:szCs w:val="24"/>
          <w:lang w:val="en-GB"/>
        </w:rPr>
      </w:pPr>
      <w:r w:rsidRPr="000C784C">
        <w:rPr>
          <w:rFonts w:cs="Times New Roman"/>
          <w:szCs w:val="24"/>
          <w:lang w:val="en-GB"/>
        </w:rPr>
        <w:t xml:space="preserve">By signing this Contribution </w:t>
      </w:r>
      <w:r w:rsidRPr="00DA63F4">
        <w:rPr>
          <w:rFonts w:cs="Times New Roman"/>
          <w:szCs w:val="24"/>
          <w:lang w:val="en-GB"/>
        </w:rPr>
        <w:t xml:space="preserve">Certificate, </w:t>
      </w:r>
      <w:r w:rsidR="00BE023A" w:rsidRPr="00DA63F4">
        <w:rPr>
          <w:rFonts w:cs="Times New Roman"/>
          <w:szCs w:val="24"/>
          <w:lang w:val="en-GB"/>
        </w:rPr>
        <w:t xml:space="preserve">the Republic of </w:t>
      </w:r>
      <w:r w:rsidR="00072176" w:rsidRPr="00DA63F4">
        <w:rPr>
          <w:rFonts w:cs="Times New Roman"/>
          <w:szCs w:val="24"/>
          <w:lang w:val="en-GB"/>
        </w:rPr>
        <w:t xml:space="preserve">Lithuania </w:t>
      </w:r>
      <w:r w:rsidRPr="00DA63F4">
        <w:rPr>
          <w:rFonts w:cs="Times New Roman"/>
          <w:szCs w:val="24"/>
          <w:lang w:val="en-GB"/>
        </w:rPr>
        <w:t>acknowledges</w:t>
      </w:r>
      <w:r w:rsidRPr="000C784C">
        <w:rPr>
          <w:rFonts w:cs="Times New Roman"/>
          <w:szCs w:val="24"/>
          <w:lang w:val="en-GB"/>
        </w:rPr>
        <w:t xml:space="preserve"> that it has received a copy of the </w:t>
      </w:r>
      <w:r w:rsidR="00CA080E" w:rsidRPr="000C784C">
        <w:rPr>
          <w:rFonts w:cs="Times New Roman"/>
          <w:szCs w:val="24"/>
          <w:lang w:val="en-GB"/>
        </w:rPr>
        <w:t>Common Understanding</w:t>
      </w:r>
      <w:r w:rsidR="00096A54" w:rsidRPr="000C784C">
        <w:rPr>
          <w:rFonts w:cs="Times New Roman"/>
          <w:szCs w:val="24"/>
          <w:lang w:val="en-GB"/>
        </w:rPr>
        <w:t xml:space="preserve"> applying to this contribution.</w:t>
      </w:r>
      <w:r w:rsidR="000C784C">
        <w:rPr>
          <w:rFonts w:cs="Times New Roman"/>
          <w:szCs w:val="24"/>
          <w:lang w:val="en-GB"/>
        </w:rPr>
        <w:t xml:space="preserve"> </w:t>
      </w:r>
    </w:p>
    <w:p w14:paraId="5B32292E" w14:textId="77777777" w:rsidR="000C784C" w:rsidRDefault="000C784C" w:rsidP="009835DE">
      <w:pPr>
        <w:spacing w:after="200" w:line="276" w:lineRule="auto"/>
        <w:jc w:val="both"/>
        <w:rPr>
          <w:rFonts w:cs="Times New Roman"/>
          <w:szCs w:val="24"/>
          <w:lang w:val="en-GB"/>
        </w:rPr>
      </w:pPr>
      <w:r>
        <w:rPr>
          <w:rFonts w:cs="Times New Roman"/>
          <w:szCs w:val="24"/>
          <w:lang w:val="en-GB"/>
        </w:rPr>
        <w:br w:type="page"/>
      </w:r>
    </w:p>
    <w:p w14:paraId="5B32292F" w14:textId="77777777" w:rsidR="0023434E" w:rsidRPr="000C784C" w:rsidRDefault="0023434E" w:rsidP="009835DE">
      <w:pPr>
        <w:tabs>
          <w:tab w:val="left" w:pos="567"/>
          <w:tab w:val="left" w:pos="1134"/>
          <w:tab w:val="left" w:pos="1701"/>
        </w:tabs>
        <w:ind w:left="851" w:hanging="851"/>
        <w:jc w:val="both"/>
        <w:rPr>
          <w:rFonts w:cs="Times New Roman"/>
          <w:b/>
          <w:szCs w:val="24"/>
          <w:lang w:val="en-GB"/>
        </w:rPr>
      </w:pPr>
      <w:r w:rsidRPr="000C784C">
        <w:rPr>
          <w:rFonts w:cs="Times New Roman"/>
          <w:b/>
          <w:szCs w:val="24"/>
          <w:lang w:val="en-GB"/>
        </w:rPr>
        <w:lastRenderedPageBreak/>
        <w:t xml:space="preserve">Article </w:t>
      </w:r>
      <w:r w:rsidR="006D02DB" w:rsidRPr="000C784C">
        <w:rPr>
          <w:rFonts w:cs="Times New Roman"/>
          <w:b/>
          <w:szCs w:val="24"/>
          <w:lang w:val="en-GB"/>
        </w:rPr>
        <w:t>5</w:t>
      </w:r>
      <w:r w:rsidRPr="000C784C">
        <w:rPr>
          <w:rFonts w:cs="Times New Roman"/>
          <w:b/>
          <w:szCs w:val="24"/>
          <w:lang w:val="en-GB"/>
        </w:rPr>
        <w:t>. Communications</w:t>
      </w:r>
    </w:p>
    <w:p w14:paraId="5B322930" w14:textId="77777777" w:rsidR="0023434E" w:rsidRPr="000C784C" w:rsidRDefault="0023434E" w:rsidP="009835DE">
      <w:pPr>
        <w:tabs>
          <w:tab w:val="left" w:pos="567"/>
          <w:tab w:val="left" w:pos="1134"/>
          <w:tab w:val="left" w:pos="1701"/>
        </w:tabs>
        <w:ind w:left="851" w:hanging="851"/>
        <w:jc w:val="both"/>
        <w:rPr>
          <w:rFonts w:cs="Times New Roman"/>
          <w:szCs w:val="24"/>
          <w:lang w:val="en-GB"/>
        </w:rPr>
      </w:pPr>
    </w:p>
    <w:p w14:paraId="5B322931" w14:textId="77777777" w:rsidR="0023434E" w:rsidRPr="00DA63F4" w:rsidRDefault="00737521" w:rsidP="009835DE">
      <w:pPr>
        <w:tabs>
          <w:tab w:val="left" w:pos="567"/>
          <w:tab w:val="left" w:pos="1134"/>
          <w:tab w:val="left" w:pos="1701"/>
        </w:tabs>
        <w:ind w:left="567" w:hanging="567"/>
        <w:jc w:val="both"/>
        <w:rPr>
          <w:rFonts w:cs="Times New Roman"/>
          <w:szCs w:val="24"/>
          <w:lang w:val="en-GB"/>
        </w:rPr>
      </w:pPr>
      <w:r w:rsidRPr="000C784C">
        <w:rPr>
          <w:rFonts w:cs="Times New Roman"/>
          <w:szCs w:val="24"/>
          <w:lang w:val="en-GB"/>
        </w:rPr>
        <w:t>5.1</w:t>
      </w:r>
      <w:r w:rsidR="000C784C">
        <w:rPr>
          <w:rFonts w:cs="Times New Roman"/>
          <w:szCs w:val="24"/>
          <w:lang w:val="en-GB"/>
        </w:rPr>
        <w:tab/>
      </w:r>
      <w:r w:rsidR="0023434E" w:rsidRPr="000C784C">
        <w:rPr>
          <w:rFonts w:cs="Times New Roman"/>
          <w:szCs w:val="24"/>
          <w:lang w:val="en-GB"/>
        </w:rPr>
        <w:t>Any notices or communications address</w:t>
      </w:r>
      <w:r w:rsidR="0023434E" w:rsidRPr="00DA63F4">
        <w:rPr>
          <w:rFonts w:cs="Times New Roman"/>
          <w:szCs w:val="24"/>
          <w:lang w:val="en-GB"/>
        </w:rPr>
        <w:t xml:space="preserve">ed to </w:t>
      </w:r>
      <w:r w:rsidR="00BE023A" w:rsidRPr="00DA63F4">
        <w:rPr>
          <w:rFonts w:cs="Times New Roman"/>
          <w:szCs w:val="24"/>
          <w:lang w:val="en-GB"/>
        </w:rPr>
        <w:t xml:space="preserve">the Republic of </w:t>
      </w:r>
      <w:r w:rsidR="00072176" w:rsidRPr="00DA63F4">
        <w:rPr>
          <w:rFonts w:cs="Times New Roman"/>
          <w:szCs w:val="24"/>
          <w:lang w:val="en-GB"/>
        </w:rPr>
        <w:t xml:space="preserve">Lithuania </w:t>
      </w:r>
      <w:r w:rsidR="0023434E" w:rsidRPr="00DA63F4">
        <w:rPr>
          <w:rFonts w:cs="Times New Roman"/>
          <w:szCs w:val="24"/>
          <w:lang w:val="en-GB"/>
        </w:rPr>
        <w:t xml:space="preserve">in connection with the </w:t>
      </w:r>
      <w:r w:rsidR="003311BE" w:rsidRPr="00DA63F4">
        <w:rPr>
          <w:rFonts w:cs="Times New Roman"/>
          <w:szCs w:val="24"/>
          <w:lang w:val="en-GB"/>
        </w:rPr>
        <w:t>Facility shall be addressed to:</w:t>
      </w:r>
    </w:p>
    <w:p w14:paraId="5B32293C" w14:textId="486B49A4" w:rsidR="004623B3" w:rsidRDefault="004623B3" w:rsidP="00283446">
      <w:pPr>
        <w:tabs>
          <w:tab w:val="left" w:pos="567"/>
          <w:tab w:val="left" w:pos="1134"/>
          <w:tab w:val="left" w:pos="1701"/>
        </w:tabs>
        <w:jc w:val="both"/>
        <w:rPr>
          <w:rFonts w:cs="Times New Roman"/>
          <w:szCs w:val="24"/>
          <w:highlight w:val="yellow"/>
          <w:lang w:val="en-GB"/>
        </w:rPr>
      </w:pPr>
    </w:p>
    <w:p w14:paraId="3D3870F6" w14:textId="77777777" w:rsidR="00953B43" w:rsidRPr="00DA63F4" w:rsidRDefault="00953B43" w:rsidP="00953B43">
      <w:pPr>
        <w:tabs>
          <w:tab w:val="left" w:pos="567"/>
          <w:tab w:val="left" w:pos="1134"/>
          <w:tab w:val="left" w:pos="1701"/>
        </w:tabs>
        <w:ind w:left="567"/>
        <w:jc w:val="both"/>
        <w:rPr>
          <w:rFonts w:cs="Times New Roman"/>
          <w:szCs w:val="24"/>
          <w:lang w:val="en-GB"/>
        </w:rPr>
      </w:pPr>
      <w:r w:rsidRPr="00DA63F4">
        <w:rPr>
          <w:rFonts w:cs="Times New Roman"/>
          <w:szCs w:val="24"/>
          <w:lang w:val="en-GB"/>
        </w:rPr>
        <w:t>Ministry of Finance of the Republic of Lithuania</w:t>
      </w:r>
    </w:p>
    <w:p w14:paraId="3952713F" w14:textId="77777777" w:rsidR="00953B43" w:rsidRPr="00DA63F4" w:rsidRDefault="00953B43" w:rsidP="00953B43">
      <w:pPr>
        <w:tabs>
          <w:tab w:val="left" w:pos="567"/>
          <w:tab w:val="left" w:pos="1134"/>
          <w:tab w:val="left" w:pos="1701"/>
        </w:tabs>
        <w:ind w:left="567"/>
        <w:jc w:val="both"/>
        <w:rPr>
          <w:rFonts w:cs="Arial"/>
          <w:sz w:val="23"/>
          <w:szCs w:val="23"/>
        </w:rPr>
      </w:pPr>
      <w:proofErr w:type="spellStart"/>
      <w:r w:rsidRPr="00DA63F4">
        <w:rPr>
          <w:rFonts w:cs="Arial"/>
          <w:sz w:val="23"/>
          <w:szCs w:val="23"/>
        </w:rPr>
        <w:t>Lukiškių</w:t>
      </w:r>
      <w:proofErr w:type="spellEnd"/>
      <w:r w:rsidRPr="00DA63F4">
        <w:rPr>
          <w:rFonts w:cs="Arial"/>
          <w:sz w:val="23"/>
          <w:szCs w:val="23"/>
        </w:rPr>
        <w:t xml:space="preserve"> Str. 2 </w:t>
      </w:r>
    </w:p>
    <w:p w14:paraId="2ACF5C99" w14:textId="77777777" w:rsidR="00953B43" w:rsidRPr="00DA63F4" w:rsidRDefault="00953B43" w:rsidP="00953B43">
      <w:pPr>
        <w:tabs>
          <w:tab w:val="left" w:pos="567"/>
          <w:tab w:val="left" w:pos="1134"/>
          <w:tab w:val="left" w:pos="1701"/>
        </w:tabs>
        <w:ind w:left="567"/>
        <w:jc w:val="both"/>
        <w:rPr>
          <w:rFonts w:cs="Arial"/>
          <w:sz w:val="23"/>
          <w:szCs w:val="23"/>
        </w:rPr>
      </w:pPr>
      <w:r w:rsidRPr="00DA63F4">
        <w:rPr>
          <w:rFonts w:cs="Arial"/>
          <w:sz w:val="23"/>
          <w:szCs w:val="23"/>
        </w:rPr>
        <w:t>01512 Vilnius</w:t>
      </w:r>
    </w:p>
    <w:p w14:paraId="702023D5" w14:textId="77777777" w:rsidR="00953B43" w:rsidRPr="00DA63F4" w:rsidRDefault="00953B43" w:rsidP="00953B43">
      <w:pPr>
        <w:tabs>
          <w:tab w:val="left" w:pos="567"/>
          <w:tab w:val="left" w:pos="1134"/>
          <w:tab w:val="left" w:pos="1701"/>
        </w:tabs>
        <w:ind w:left="567"/>
        <w:jc w:val="both"/>
        <w:rPr>
          <w:rFonts w:cs="Times New Roman"/>
          <w:szCs w:val="24"/>
          <w:lang w:val="en-GB"/>
        </w:rPr>
      </w:pPr>
      <w:r w:rsidRPr="00DA63F4">
        <w:rPr>
          <w:rFonts w:cs="Arial"/>
          <w:sz w:val="23"/>
          <w:szCs w:val="23"/>
        </w:rPr>
        <w:t>Lithuania</w:t>
      </w:r>
      <w:r w:rsidRPr="00DA63F4">
        <w:rPr>
          <w:rFonts w:cs="Times New Roman"/>
          <w:szCs w:val="24"/>
          <w:lang w:val="en-GB"/>
        </w:rPr>
        <w:t xml:space="preserve"> </w:t>
      </w:r>
    </w:p>
    <w:p w14:paraId="1C0BA2CF" w14:textId="77777777" w:rsidR="00953B43" w:rsidRPr="00DA63F4" w:rsidRDefault="00953B43" w:rsidP="00953B43">
      <w:pPr>
        <w:tabs>
          <w:tab w:val="left" w:pos="567"/>
          <w:tab w:val="left" w:pos="1134"/>
          <w:tab w:val="left" w:pos="1701"/>
        </w:tabs>
        <w:ind w:left="567"/>
        <w:jc w:val="both"/>
        <w:rPr>
          <w:rFonts w:cs="Times New Roman"/>
          <w:szCs w:val="24"/>
          <w:lang w:val="en-GB"/>
        </w:rPr>
      </w:pPr>
    </w:p>
    <w:p w14:paraId="05719F91" w14:textId="77777777" w:rsidR="00953B43" w:rsidRPr="00DA63F4" w:rsidRDefault="00953B43" w:rsidP="00953B43">
      <w:pPr>
        <w:tabs>
          <w:tab w:val="left" w:pos="567"/>
          <w:tab w:val="left" w:pos="1134"/>
          <w:tab w:val="left" w:pos="1701"/>
        </w:tabs>
        <w:ind w:left="567"/>
        <w:jc w:val="both"/>
        <w:rPr>
          <w:rFonts w:cs="Times New Roman"/>
          <w:szCs w:val="24"/>
          <w:lang w:val="en-GB"/>
        </w:rPr>
      </w:pPr>
      <w:r w:rsidRPr="00DA63F4">
        <w:rPr>
          <w:rFonts w:cs="Times New Roman"/>
          <w:szCs w:val="24"/>
          <w:lang w:val="en-GB"/>
        </w:rPr>
        <w:t xml:space="preserve">For the attention of: Darius Trakelis, </w:t>
      </w:r>
      <w:r w:rsidRPr="00DA63F4">
        <w:rPr>
          <w:rStyle w:val="Strong"/>
          <w:rFonts w:ascii="Open Sans" w:hAnsi="Open Sans"/>
          <w:b w:val="0"/>
          <w:sz w:val="23"/>
          <w:szCs w:val="23"/>
        </w:rPr>
        <w:t>D</w:t>
      </w:r>
      <w:proofErr w:type="spellStart"/>
      <w:r w:rsidRPr="00DA63F4">
        <w:rPr>
          <w:rFonts w:cs="Times New Roman"/>
          <w:bCs/>
          <w:szCs w:val="24"/>
          <w:lang w:val="en-GB"/>
        </w:rPr>
        <w:t>irector</w:t>
      </w:r>
      <w:proofErr w:type="spellEnd"/>
      <w:r w:rsidRPr="00DA63F4">
        <w:rPr>
          <w:rFonts w:cs="Times New Roman"/>
          <w:bCs/>
          <w:szCs w:val="24"/>
          <w:lang w:val="en-GB"/>
        </w:rPr>
        <w:t xml:space="preserve"> of EU and International Affairs Department</w:t>
      </w:r>
      <w:r w:rsidRPr="00DA63F4">
        <w:rPr>
          <w:rFonts w:cs="Times New Roman"/>
          <w:szCs w:val="24"/>
          <w:lang w:val="en-GB"/>
        </w:rPr>
        <w:t xml:space="preserve">  </w:t>
      </w:r>
    </w:p>
    <w:p w14:paraId="73033246" w14:textId="77777777" w:rsidR="00953B43" w:rsidRPr="00DA63F4" w:rsidRDefault="00953B43" w:rsidP="00953B43">
      <w:pPr>
        <w:tabs>
          <w:tab w:val="left" w:pos="567"/>
          <w:tab w:val="left" w:pos="1134"/>
          <w:tab w:val="left" w:pos="1701"/>
        </w:tabs>
        <w:ind w:left="567"/>
        <w:jc w:val="both"/>
        <w:rPr>
          <w:rFonts w:cs="Times New Roman"/>
          <w:szCs w:val="24"/>
          <w:lang w:val="en-GB"/>
        </w:rPr>
      </w:pPr>
      <w:r w:rsidRPr="00DA63F4">
        <w:rPr>
          <w:rFonts w:cs="Times New Roman"/>
          <w:szCs w:val="24"/>
          <w:lang w:val="en-GB"/>
        </w:rPr>
        <w:t xml:space="preserve">Tel: </w:t>
      </w:r>
      <w:r w:rsidRPr="00DA63F4">
        <w:rPr>
          <w:rFonts w:cs="Times New Roman"/>
          <w:bCs/>
          <w:szCs w:val="24"/>
          <w:lang w:val="fr-FR"/>
        </w:rPr>
        <w:t>+370 5 239 0188</w:t>
      </w:r>
    </w:p>
    <w:p w14:paraId="5CAC94E6" w14:textId="77777777" w:rsidR="00953B43" w:rsidRPr="00DA63F4" w:rsidRDefault="00953B43" w:rsidP="00953B43">
      <w:pPr>
        <w:tabs>
          <w:tab w:val="left" w:pos="567"/>
          <w:tab w:val="left" w:pos="1134"/>
          <w:tab w:val="left" w:pos="1701"/>
        </w:tabs>
        <w:ind w:left="567"/>
        <w:jc w:val="both"/>
        <w:rPr>
          <w:rFonts w:cs="Times New Roman"/>
          <w:szCs w:val="24"/>
          <w:lang w:val="lt-LT"/>
        </w:rPr>
      </w:pPr>
      <w:r w:rsidRPr="00DA63F4">
        <w:rPr>
          <w:rFonts w:cs="Times New Roman"/>
          <w:szCs w:val="24"/>
          <w:lang w:val="en-GB"/>
        </w:rPr>
        <w:t xml:space="preserve">Fax: </w:t>
      </w:r>
      <w:r w:rsidRPr="00DA63F4">
        <w:rPr>
          <w:rFonts w:cs="Arial"/>
          <w:sz w:val="23"/>
          <w:szCs w:val="23"/>
        </w:rPr>
        <w:t>+ 370 5 279 1481</w:t>
      </w:r>
    </w:p>
    <w:p w14:paraId="63D923EE" w14:textId="77777777" w:rsidR="00953B43" w:rsidRPr="00283446" w:rsidRDefault="00953B43" w:rsidP="00953B43">
      <w:pPr>
        <w:tabs>
          <w:tab w:val="left" w:pos="567"/>
          <w:tab w:val="left" w:pos="1134"/>
          <w:tab w:val="left" w:pos="1701"/>
        </w:tabs>
        <w:ind w:left="567"/>
        <w:jc w:val="both"/>
        <w:rPr>
          <w:rFonts w:cs="Times New Roman"/>
          <w:szCs w:val="24"/>
        </w:rPr>
      </w:pPr>
      <w:r w:rsidRPr="00DA63F4">
        <w:rPr>
          <w:rFonts w:cs="Times New Roman"/>
          <w:szCs w:val="24"/>
          <w:lang w:val="en-GB"/>
        </w:rPr>
        <w:t xml:space="preserve">Email: </w:t>
      </w:r>
      <w:hyperlink r:id="rId8" w:history="1">
        <w:r w:rsidRPr="000E3795">
          <w:rPr>
            <w:rStyle w:val="Hyperlink"/>
            <w:rFonts w:cs="Times New Roman"/>
            <w:szCs w:val="24"/>
            <w:lang w:val="en-GB"/>
          </w:rPr>
          <w:t>Darius.Trakelis</w:t>
        </w:r>
        <w:r w:rsidRPr="000E3795">
          <w:rPr>
            <w:rStyle w:val="Hyperlink"/>
            <w:rFonts w:cs="Times New Roman"/>
            <w:szCs w:val="24"/>
          </w:rPr>
          <w:t>@finmin.lt</w:t>
        </w:r>
      </w:hyperlink>
      <w:r>
        <w:rPr>
          <w:rFonts w:cs="Times New Roman"/>
          <w:szCs w:val="24"/>
        </w:rPr>
        <w:t xml:space="preserve"> and </w:t>
      </w:r>
      <w:hyperlink r:id="rId9" w:history="1">
        <w:r w:rsidRPr="000E3795">
          <w:rPr>
            <w:rStyle w:val="Hyperlink"/>
            <w:rFonts w:cs="Times New Roman"/>
            <w:szCs w:val="24"/>
          </w:rPr>
          <w:t>finmin@finmin.lt</w:t>
        </w:r>
      </w:hyperlink>
      <w:r>
        <w:rPr>
          <w:rFonts w:cs="Times New Roman"/>
          <w:szCs w:val="24"/>
        </w:rPr>
        <w:t xml:space="preserve"> </w:t>
      </w:r>
    </w:p>
    <w:p w14:paraId="00C928F8" w14:textId="77777777" w:rsidR="00953B43" w:rsidRDefault="00953B43" w:rsidP="009835DE">
      <w:pPr>
        <w:tabs>
          <w:tab w:val="left" w:pos="567"/>
          <w:tab w:val="left" w:pos="1134"/>
          <w:tab w:val="left" w:pos="1701"/>
        </w:tabs>
        <w:ind w:left="567"/>
        <w:jc w:val="both"/>
        <w:rPr>
          <w:rFonts w:cs="Times New Roman"/>
          <w:szCs w:val="24"/>
          <w:lang w:val="en-GB"/>
        </w:rPr>
      </w:pPr>
    </w:p>
    <w:p w14:paraId="5B32293D" w14:textId="1C443C47" w:rsidR="00FF4B1B" w:rsidRDefault="004623B3" w:rsidP="009835DE">
      <w:pPr>
        <w:tabs>
          <w:tab w:val="left" w:pos="567"/>
          <w:tab w:val="left" w:pos="1134"/>
          <w:tab w:val="left" w:pos="1701"/>
        </w:tabs>
        <w:ind w:left="567"/>
        <w:jc w:val="both"/>
        <w:rPr>
          <w:rFonts w:cs="Times New Roman"/>
          <w:szCs w:val="24"/>
          <w:lang w:val="en-GB"/>
        </w:rPr>
      </w:pPr>
      <w:r w:rsidRPr="004623B3">
        <w:rPr>
          <w:rFonts w:cs="Times New Roman"/>
          <w:szCs w:val="24"/>
          <w:lang w:val="en-GB"/>
        </w:rPr>
        <w:t>Ministry of Foreign Affairs of the Republic of Lithuania</w:t>
      </w:r>
    </w:p>
    <w:p w14:paraId="5B32293E" w14:textId="77777777" w:rsidR="006037CD" w:rsidRDefault="004623B3" w:rsidP="009835DE">
      <w:pPr>
        <w:tabs>
          <w:tab w:val="left" w:pos="567"/>
          <w:tab w:val="left" w:pos="1134"/>
          <w:tab w:val="left" w:pos="1701"/>
        </w:tabs>
        <w:ind w:left="567"/>
        <w:jc w:val="both"/>
        <w:rPr>
          <w:rFonts w:cs="Times New Roman"/>
          <w:szCs w:val="24"/>
          <w:lang w:val="en-GB"/>
        </w:rPr>
      </w:pPr>
      <w:r>
        <w:rPr>
          <w:rFonts w:cs="Times New Roman"/>
          <w:szCs w:val="24"/>
          <w:lang w:val="en-GB"/>
        </w:rPr>
        <w:t xml:space="preserve">J. </w:t>
      </w:r>
      <w:proofErr w:type="spellStart"/>
      <w:r>
        <w:rPr>
          <w:rFonts w:cs="Times New Roman"/>
          <w:szCs w:val="24"/>
          <w:lang w:val="en-GB"/>
        </w:rPr>
        <w:t>Tumo-Vai</w:t>
      </w:r>
      <w:r>
        <w:rPr>
          <w:rFonts w:cs="Times New Roman"/>
          <w:szCs w:val="24"/>
          <w:lang w:val="lt-LT"/>
        </w:rPr>
        <w:t>žganto</w:t>
      </w:r>
      <w:proofErr w:type="spellEnd"/>
      <w:r>
        <w:rPr>
          <w:rFonts w:cs="Times New Roman"/>
          <w:szCs w:val="24"/>
          <w:lang w:val="lt-LT"/>
        </w:rPr>
        <w:t xml:space="preserve"> Str. 2</w:t>
      </w:r>
      <w:r w:rsidR="006037CD">
        <w:rPr>
          <w:rFonts w:cs="Times New Roman"/>
          <w:szCs w:val="24"/>
          <w:lang w:val="en-GB"/>
        </w:rPr>
        <w:t xml:space="preserve"> </w:t>
      </w:r>
    </w:p>
    <w:p w14:paraId="5B32293F" w14:textId="77777777" w:rsidR="004623B3" w:rsidRDefault="004623B3" w:rsidP="009835DE">
      <w:pPr>
        <w:tabs>
          <w:tab w:val="left" w:pos="567"/>
          <w:tab w:val="left" w:pos="1134"/>
          <w:tab w:val="left" w:pos="1701"/>
        </w:tabs>
        <w:ind w:left="567"/>
        <w:jc w:val="both"/>
      </w:pPr>
      <w:r>
        <w:t>01511 Vilnius</w:t>
      </w:r>
    </w:p>
    <w:p w14:paraId="5B322940" w14:textId="77777777" w:rsidR="004623B3" w:rsidRDefault="004623B3" w:rsidP="009835DE">
      <w:pPr>
        <w:tabs>
          <w:tab w:val="left" w:pos="567"/>
          <w:tab w:val="left" w:pos="1134"/>
          <w:tab w:val="left" w:pos="1701"/>
        </w:tabs>
        <w:ind w:left="567"/>
        <w:jc w:val="both"/>
      </w:pPr>
      <w:r>
        <w:t>Lithuania</w:t>
      </w:r>
    </w:p>
    <w:p w14:paraId="5B322941" w14:textId="77777777" w:rsidR="004623B3" w:rsidRDefault="004623B3" w:rsidP="009835DE">
      <w:pPr>
        <w:tabs>
          <w:tab w:val="left" w:pos="567"/>
          <w:tab w:val="left" w:pos="1134"/>
          <w:tab w:val="left" w:pos="1701"/>
        </w:tabs>
        <w:ind w:left="567"/>
        <w:jc w:val="both"/>
        <w:rPr>
          <w:rFonts w:cs="Times New Roman"/>
          <w:szCs w:val="24"/>
          <w:lang w:val="en-GB"/>
        </w:rPr>
      </w:pPr>
    </w:p>
    <w:p w14:paraId="5B322942" w14:textId="08BCAA2E" w:rsidR="004623B3" w:rsidRDefault="004623B3" w:rsidP="009835DE">
      <w:pPr>
        <w:tabs>
          <w:tab w:val="left" w:pos="567"/>
          <w:tab w:val="left" w:pos="1134"/>
          <w:tab w:val="left" w:pos="1701"/>
        </w:tabs>
        <w:ind w:left="567"/>
        <w:jc w:val="both"/>
        <w:rPr>
          <w:rFonts w:cs="Times New Roman"/>
          <w:szCs w:val="24"/>
          <w:lang w:val="en-GB"/>
        </w:rPr>
      </w:pPr>
      <w:r w:rsidRPr="00DA63F4">
        <w:rPr>
          <w:rFonts w:cs="Times New Roman"/>
          <w:szCs w:val="24"/>
          <w:lang w:val="en-GB"/>
        </w:rPr>
        <w:t xml:space="preserve">For the attention of: </w:t>
      </w:r>
      <w:r w:rsidR="00807E35">
        <w:rPr>
          <w:rFonts w:cs="Times New Roman"/>
          <w:szCs w:val="24"/>
          <w:lang w:val="en-GB"/>
        </w:rPr>
        <w:t xml:space="preserve">Vaida </w:t>
      </w:r>
      <w:proofErr w:type="spellStart"/>
      <w:r w:rsidR="00807E35">
        <w:rPr>
          <w:rFonts w:cs="Times New Roman"/>
          <w:szCs w:val="24"/>
          <w:lang w:val="en-GB"/>
        </w:rPr>
        <w:t>Stankevi</w:t>
      </w:r>
      <w:r w:rsidR="00807E35">
        <w:rPr>
          <w:rFonts w:cs="Times New Roman"/>
          <w:szCs w:val="24"/>
          <w:lang w:val="lt-LT"/>
        </w:rPr>
        <w:t>čienė</w:t>
      </w:r>
      <w:proofErr w:type="spellEnd"/>
      <w:r w:rsidRPr="00DA63F4">
        <w:rPr>
          <w:rFonts w:cs="Times New Roman"/>
          <w:szCs w:val="24"/>
          <w:lang w:val="en-GB"/>
        </w:rPr>
        <w:t xml:space="preserve">, </w:t>
      </w:r>
      <w:r>
        <w:rPr>
          <w:rFonts w:cs="Times New Roman"/>
          <w:szCs w:val="24"/>
          <w:lang w:val="en-GB"/>
        </w:rPr>
        <w:t xml:space="preserve">Head of </w:t>
      </w:r>
      <w:r w:rsidR="00807E35">
        <w:rPr>
          <w:rFonts w:cs="Times New Roman"/>
          <w:szCs w:val="24"/>
          <w:lang w:val="en-GB"/>
        </w:rPr>
        <w:t>Southeast Europe</w:t>
      </w:r>
      <w:r>
        <w:rPr>
          <w:rFonts w:cs="Times New Roman"/>
          <w:szCs w:val="24"/>
          <w:lang w:val="en-GB"/>
        </w:rPr>
        <w:t xml:space="preserve"> Division, </w:t>
      </w:r>
      <w:proofErr w:type="gramStart"/>
      <w:r>
        <w:rPr>
          <w:rFonts w:cs="Times New Roman"/>
          <w:szCs w:val="24"/>
          <w:lang w:val="en-GB"/>
        </w:rPr>
        <w:t>European</w:t>
      </w:r>
      <w:proofErr w:type="gramEnd"/>
      <w:r>
        <w:rPr>
          <w:rFonts w:cs="Times New Roman"/>
          <w:szCs w:val="24"/>
          <w:lang w:val="en-GB"/>
        </w:rPr>
        <w:t xml:space="preserve"> </w:t>
      </w:r>
      <w:r w:rsidR="00807E35">
        <w:rPr>
          <w:rFonts w:cs="Times New Roman"/>
          <w:szCs w:val="24"/>
          <w:lang w:val="en-GB"/>
        </w:rPr>
        <w:t>Countries</w:t>
      </w:r>
      <w:r>
        <w:rPr>
          <w:rFonts w:cs="Times New Roman"/>
          <w:szCs w:val="24"/>
          <w:lang w:val="en-GB"/>
        </w:rPr>
        <w:t xml:space="preserve"> </w:t>
      </w:r>
      <w:r w:rsidRPr="00DA63F4">
        <w:rPr>
          <w:rFonts w:cs="Times New Roman"/>
          <w:bCs/>
          <w:szCs w:val="24"/>
          <w:lang w:val="en-GB"/>
        </w:rPr>
        <w:t>Department</w:t>
      </w:r>
      <w:r w:rsidRPr="00DA63F4">
        <w:rPr>
          <w:rFonts w:cs="Times New Roman"/>
          <w:szCs w:val="24"/>
          <w:lang w:val="en-GB"/>
        </w:rPr>
        <w:t xml:space="preserve"> </w:t>
      </w:r>
    </w:p>
    <w:p w14:paraId="5B322943" w14:textId="58F7D29C" w:rsidR="006037CD" w:rsidRDefault="006037CD" w:rsidP="009835DE">
      <w:pPr>
        <w:tabs>
          <w:tab w:val="left" w:pos="567"/>
          <w:tab w:val="left" w:pos="1134"/>
          <w:tab w:val="left" w:pos="1701"/>
        </w:tabs>
        <w:ind w:left="567"/>
        <w:jc w:val="both"/>
        <w:rPr>
          <w:rFonts w:cs="Times New Roman"/>
          <w:szCs w:val="24"/>
          <w:lang w:val="en-GB"/>
        </w:rPr>
      </w:pPr>
      <w:r>
        <w:rPr>
          <w:rFonts w:cs="Times New Roman"/>
          <w:szCs w:val="24"/>
          <w:lang w:val="en-GB"/>
        </w:rPr>
        <w:t>Tel:</w:t>
      </w:r>
      <w:r w:rsidR="004623B3">
        <w:rPr>
          <w:rFonts w:cs="Times New Roman"/>
          <w:szCs w:val="24"/>
          <w:lang w:val="en-GB"/>
        </w:rPr>
        <w:t xml:space="preserve"> +370</w:t>
      </w:r>
      <w:r w:rsidR="004623B3" w:rsidRPr="004623B3">
        <w:rPr>
          <w:rFonts w:eastAsiaTheme="minorEastAsia"/>
          <w:noProof/>
          <w:lang w:eastAsia="lt-LT"/>
        </w:rPr>
        <w:t xml:space="preserve"> </w:t>
      </w:r>
      <w:r w:rsidR="004623B3">
        <w:rPr>
          <w:rFonts w:eastAsiaTheme="minorEastAsia"/>
          <w:noProof/>
          <w:lang w:eastAsia="lt-LT"/>
        </w:rPr>
        <w:t>706</w:t>
      </w:r>
      <w:r w:rsidR="00807E35">
        <w:rPr>
          <w:rFonts w:eastAsiaTheme="minorEastAsia"/>
          <w:noProof/>
          <w:lang w:eastAsia="lt-LT"/>
        </w:rPr>
        <w:t xml:space="preserve"> </w:t>
      </w:r>
      <w:r w:rsidR="004623B3">
        <w:rPr>
          <w:rFonts w:eastAsiaTheme="minorEastAsia"/>
          <w:noProof/>
          <w:lang w:eastAsia="lt-LT"/>
        </w:rPr>
        <w:t>52</w:t>
      </w:r>
      <w:r w:rsidR="00807E35">
        <w:rPr>
          <w:rFonts w:eastAsiaTheme="minorEastAsia"/>
          <w:noProof/>
          <w:lang w:eastAsia="lt-LT"/>
        </w:rPr>
        <w:t>653</w:t>
      </w:r>
      <w:r>
        <w:rPr>
          <w:rFonts w:cs="Times New Roman"/>
          <w:szCs w:val="24"/>
          <w:lang w:val="en-GB"/>
        </w:rPr>
        <w:t xml:space="preserve"> </w:t>
      </w:r>
    </w:p>
    <w:p w14:paraId="5B322944" w14:textId="77777777" w:rsidR="006037CD" w:rsidRDefault="006037CD" w:rsidP="009835DE">
      <w:pPr>
        <w:tabs>
          <w:tab w:val="left" w:pos="567"/>
          <w:tab w:val="left" w:pos="1134"/>
          <w:tab w:val="left" w:pos="1701"/>
        </w:tabs>
        <w:ind w:left="567"/>
        <w:jc w:val="both"/>
        <w:rPr>
          <w:rFonts w:cs="Times New Roman"/>
          <w:szCs w:val="24"/>
          <w:lang w:val="en-GB"/>
        </w:rPr>
      </w:pPr>
      <w:r>
        <w:rPr>
          <w:rFonts w:cs="Times New Roman"/>
          <w:szCs w:val="24"/>
          <w:lang w:val="en-GB"/>
        </w:rPr>
        <w:t xml:space="preserve">Fax: </w:t>
      </w:r>
      <w:r w:rsidR="004623B3">
        <w:rPr>
          <w:rFonts w:cs="Times New Roman"/>
          <w:szCs w:val="24"/>
          <w:lang w:val="en-GB"/>
        </w:rPr>
        <w:t xml:space="preserve">+370 </w:t>
      </w:r>
      <w:r w:rsidR="004623B3">
        <w:t>5 231 3090</w:t>
      </w:r>
    </w:p>
    <w:p w14:paraId="5B322945" w14:textId="42C712B3" w:rsidR="006037CD" w:rsidRPr="004623B3" w:rsidRDefault="006037CD" w:rsidP="009835DE">
      <w:pPr>
        <w:tabs>
          <w:tab w:val="left" w:pos="567"/>
          <w:tab w:val="left" w:pos="1134"/>
          <w:tab w:val="left" w:pos="1701"/>
        </w:tabs>
        <w:ind w:left="567"/>
        <w:jc w:val="both"/>
        <w:rPr>
          <w:rFonts w:cs="Times New Roman"/>
          <w:szCs w:val="24"/>
        </w:rPr>
      </w:pPr>
      <w:r>
        <w:rPr>
          <w:rFonts w:cs="Times New Roman"/>
          <w:szCs w:val="24"/>
          <w:lang w:val="en-GB"/>
        </w:rPr>
        <w:t>Email:</w:t>
      </w:r>
      <w:r w:rsidR="004623B3">
        <w:rPr>
          <w:rFonts w:cs="Times New Roman"/>
          <w:szCs w:val="24"/>
          <w:lang w:val="en-GB"/>
        </w:rPr>
        <w:t xml:space="preserve"> </w:t>
      </w:r>
      <w:hyperlink r:id="rId10" w:history="1">
        <w:r w:rsidR="00807E35" w:rsidRPr="00F157C6">
          <w:rPr>
            <w:rStyle w:val="Hyperlink"/>
            <w:rFonts w:cs="Times New Roman"/>
            <w:szCs w:val="24"/>
            <w:lang w:val="en-GB"/>
          </w:rPr>
          <w:t>Vaida.Stankeviciene</w:t>
        </w:r>
        <w:r w:rsidR="00807E35" w:rsidRPr="00F157C6">
          <w:rPr>
            <w:rStyle w:val="Hyperlink"/>
            <w:rFonts w:cs="Times New Roman"/>
            <w:szCs w:val="24"/>
          </w:rPr>
          <w:t>@urm.lt</w:t>
        </w:r>
      </w:hyperlink>
      <w:r w:rsidR="004623B3">
        <w:rPr>
          <w:rFonts w:cs="Times New Roman"/>
          <w:szCs w:val="24"/>
        </w:rPr>
        <w:t xml:space="preserve"> and </w:t>
      </w:r>
      <w:hyperlink r:id="rId11" w:history="1">
        <w:r w:rsidR="00807E35" w:rsidRPr="00F157C6">
          <w:rPr>
            <w:rStyle w:val="Hyperlink"/>
            <w:rFonts w:cs="Times New Roman"/>
            <w:szCs w:val="24"/>
          </w:rPr>
          <w:t>esps@urm.lt</w:t>
        </w:r>
      </w:hyperlink>
      <w:r w:rsidR="004623B3">
        <w:rPr>
          <w:rFonts w:cs="Times New Roman"/>
          <w:szCs w:val="24"/>
        </w:rPr>
        <w:t xml:space="preserve"> </w:t>
      </w:r>
    </w:p>
    <w:p w14:paraId="072518F5" w14:textId="77777777" w:rsidR="00283446" w:rsidRDefault="00283446" w:rsidP="00283446">
      <w:pPr>
        <w:tabs>
          <w:tab w:val="left" w:pos="567"/>
          <w:tab w:val="left" w:pos="1134"/>
          <w:tab w:val="left" w:pos="1701"/>
        </w:tabs>
        <w:ind w:left="567"/>
        <w:jc w:val="both"/>
        <w:rPr>
          <w:rFonts w:cs="Times New Roman"/>
          <w:szCs w:val="24"/>
          <w:lang w:val="en-GB"/>
        </w:rPr>
      </w:pPr>
    </w:p>
    <w:p w14:paraId="5B322947" w14:textId="77777777" w:rsidR="0023434E" w:rsidRDefault="000C784C" w:rsidP="009835DE">
      <w:pPr>
        <w:tabs>
          <w:tab w:val="left" w:pos="567"/>
          <w:tab w:val="left" w:pos="1134"/>
          <w:tab w:val="left" w:pos="1701"/>
        </w:tabs>
        <w:ind w:left="567" w:hanging="567"/>
        <w:jc w:val="both"/>
        <w:rPr>
          <w:rFonts w:cs="Times New Roman"/>
          <w:szCs w:val="24"/>
          <w:lang w:val="en-GB"/>
        </w:rPr>
      </w:pPr>
      <w:r>
        <w:rPr>
          <w:rFonts w:cs="Times New Roman"/>
          <w:szCs w:val="24"/>
          <w:lang w:val="en-GB"/>
        </w:rPr>
        <w:t>5.2</w:t>
      </w:r>
      <w:r>
        <w:rPr>
          <w:rFonts w:cs="Times New Roman"/>
          <w:szCs w:val="24"/>
          <w:lang w:val="en-GB"/>
        </w:rPr>
        <w:tab/>
      </w:r>
      <w:r w:rsidR="0023434E" w:rsidRPr="000C784C">
        <w:rPr>
          <w:rFonts w:cs="Times New Roman"/>
          <w:szCs w:val="24"/>
          <w:lang w:val="en-GB"/>
        </w:rPr>
        <w:t xml:space="preserve">Any notices or communications addressed to the </w:t>
      </w:r>
      <w:r w:rsidR="00EE35A0" w:rsidRPr="000C784C">
        <w:rPr>
          <w:rFonts w:cs="Times New Roman"/>
          <w:szCs w:val="24"/>
          <w:lang w:val="en-GB"/>
        </w:rPr>
        <w:t>Commission</w:t>
      </w:r>
      <w:r w:rsidR="0023434E" w:rsidRPr="000C784C">
        <w:rPr>
          <w:rFonts w:cs="Times New Roman"/>
          <w:szCs w:val="24"/>
          <w:lang w:val="en-GB"/>
        </w:rPr>
        <w:t xml:space="preserve"> in connection with the </w:t>
      </w:r>
      <w:r w:rsidR="003311BE">
        <w:rPr>
          <w:rFonts w:cs="Times New Roman"/>
          <w:szCs w:val="24"/>
          <w:lang w:val="en-GB"/>
        </w:rPr>
        <w:t xml:space="preserve">Facility </w:t>
      </w:r>
      <w:proofErr w:type="gramStart"/>
      <w:r w:rsidR="003311BE">
        <w:rPr>
          <w:rFonts w:cs="Times New Roman"/>
          <w:szCs w:val="24"/>
          <w:lang w:val="en-GB"/>
        </w:rPr>
        <w:t>shall be addressed</w:t>
      </w:r>
      <w:proofErr w:type="gramEnd"/>
      <w:r w:rsidR="003311BE">
        <w:rPr>
          <w:rFonts w:cs="Times New Roman"/>
          <w:szCs w:val="24"/>
          <w:lang w:val="en-GB"/>
        </w:rPr>
        <w:t xml:space="preserve"> to:</w:t>
      </w:r>
    </w:p>
    <w:p w14:paraId="5B322948" w14:textId="77777777" w:rsidR="0023434E" w:rsidRPr="00AF429F" w:rsidRDefault="0023434E" w:rsidP="009835DE">
      <w:pPr>
        <w:tabs>
          <w:tab w:val="left" w:pos="567"/>
          <w:tab w:val="left" w:pos="1134"/>
          <w:tab w:val="left" w:pos="1701"/>
        </w:tabs>
        <w:ind w:left="851" w:hanging="851"/>
        <w:jc w:val="both"/>
        <w:rPr>
          <w:rFonts w:cs="Times New Roman"/>
          <w:szCs w:val="24"/>
          <w:lang w:val="en-GB"/>
        </w:rPr>
      </w:pPr>
    </w:p>
    <w:p w14:paraId="5B322949" w14:textId="77777777"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European Commission</w:t>
      </w:r>
    </w:p>
    <w:p w14:paraId="5B32294A" w14:textId="77777777"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Directorate-General for Neighbourhood and Enlargement Negotiations</w:t>
      </w:r>
    </w:p>
    <w:p w14:paraId="5B32294B" w14:textId="77777777"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 xml:space="preserve">Unit A5 - Turkey </w:t>
      </w:r>
    </w:p>
    <w:p w14:paraId="5B32294C" w14:textId="77777777"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L-15</w:t>
      </w:r>
      <w:r w:rsidR="00D41518" w:rsidRPr="002B0EDE">
        <w:rPr>
          <w:rFonts w:cs="Times New Roman"/>
          <w:szCs w:val="24"/>
          <w:lang w:val="en-GB"/>
        </w:rPr>
        <w:t>,</w:t>
      </w:r>
      <w:r w:rsidRPr="002B0EDE">
        <w:rPr>
          <w:rFonts w:cs="Times New Roman"/>
          <w:szCs w:val="24"/>
          <w:lang w:val="en-GB"/>
        </w:rPr>
        <w:t xml:space="preserve"> 07/090</w:t>
      </w:r>
    </w:p>
    <w:p w14:paraId="5B32294D" w14:textId="77777777"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B-1049 Brussels</w:t>
      </w:r>
    </w:p>
    <w:p w14:paraId="5B32294E" w14:textId="77777777" w:rsidR="00CA4E34" w:rsidRPr="002B0EDE" w:rsidRDefault="00CA4E34" w:rsidP="009835DE">
      <w:pPr>
        <w:tabs>
          <w:tab w:val="left" w:pos="567"/>
          <w:tab w:val="left" w:pos="1134"/>
          <w:tab w:val="left" w:pos="1701"/>
        </w:tabs>
        <w:ind w:left="567"/>
        <w:jc w:val="both"/>
        <w:rPr>
          <w:rFonts w:cs="Times New Roman"/>
          <w:szCs w:val="24"/>
          <w:lang w:val="en-GB"/>
        </w:rPr>
      </w:pPr>
    </w:p>
    <w:p w14:paraId="5B32294F" w14:textId="701E814C" w:rsidR="00CA4E34" w:rsidRPr="002B0EDE" w:rsidRDefault="00CA4E34" w:rsidP="009835DE">
      <w:pPr>
        <w:tabs>
          <w:tab w:val="left" w:pos="567"/>
          <w:tab w:val="left" w:pos="1134"/>
          <w:tab w:val="left" w:pos="1701"/>
        </w:tabs>
        <w:ind w:left="567"/>
        <w:jc w:val="both"/>
        <w:rPr>
          <w:rFonts w:cs="Times New Roman"/>
          <w:szCs w:val="24"/>
          <w:lang w:val="en-GB"/>
        </w:rPr>
      </w:pPr>
      <w:r w:rsidRPr="002B0EDE">
        <w:rPr>
          <w:rFonts w:cs="Times New Roman"/>
          <w:szCs w:val="24"/>
          <w:lang w:val="en-GB"/>
        </w:rPr>
        <w:t xml:space="preserve">For the attention of: </w:t>
      </w:r>
      <w:r w:rsidR="00283446">
        <w:rPr>
          <w:rFonts w:cs="Times New Roman"/>
          <w:szCs w:val="24"/>
          <w:lang w:val="en-GB"/>
        </w:rPr>
        <w:t>Bernard Brunet</w:t>
      </w:r>
      <w:r w:rsidRPr="002B0EDE">
        <w:rPr>
          <w:rFonts w:cs="Times New Roman"/>
          <w:szCs w:val="24"/>
          <w:lang w:val="en-GB"/>
        </w:rPr>
        <w:t>, Head of Unit</w:t>
      </w:r>
    </w:p>
    <w:p w14:paraId="5B322950" w14:textId="77777777" w:rsidR="00CA4E34" w:rsidRPr="002B0EDE" w:rsidRDefault="00CA4E34" w:rsidP="009835DE">
      <w:pPr>
        <w:tabs>
          <w:tab w:val="left" w:pos="567"/>
          <w:tab w:val="left" w:pos="1134"/>
          <w:tab w:val="left" w:pos="1701"/>
        </w:tabs>
        <w:ind w:left="567"/>
        <w:jc w:val="both"/>
        <w:rPr>
          <w:rFonts w:cs="Times New Roman"/>
          <w:szCs w:val="24"/>
          <w:lang w:val="fr-FR"/>
        </w:rPr>
      </w:pPr>
      <w:r w:rsidRPr="002B0EDE">
        <w:rPr>
          <w:rFonts w:cs="Times New Roman"/>
          <w:szCs w:val="24"/>
          <w:lang w:val="fr-FR"/>
        </w:rPr>
        <w:t>Tel: +32 2 296 91 19</w:t>
      </w:r>
    </w:p>
    <w:p w14:paraId="5B322951" w14:textId="77777777" w:rsidR="004623B3" w:rsidRDefault="00CA4E34" w:rsidP="009835DE">
      <w:pPr>
        <w:tabs>
          <w:tab w:val="left" w:pos="567"/>
          <w:tab w:val="left" w:pos="1134"/>
          <w:tab w:val="left" w:pos="1701"/>
        </w:tabs>
        <w:ind w:left="567"/>
        <w:jc w:val="both"/>
        <w:rPr>
          <w:rFonts w:cs="Times New Roman"/>
          <w:szCs w:val="24"/>
          <w:lang w:val="fr-FR"/>
        </w:rPr>
      </w:pPr>
      <w:r w:rsidRPr="002B0EDE">
        <w:rPr>
          <w:rFonts w:cs="Times New Roman"/>
          <w:szCs w:val="24"/>
          <w:lang w:val="fr-FR"/>
        </w:rPr>
        <w:t>Email:</w:t>
      </w:r>
      <w:r w:rsidRPr="002B0EDE">
        <w:rPr>
          <w:lang w:val="fr-FR"/>
        </w:rPr>
        <w:t xml:space="preserve"> </w:t>
      </w:r>
      <w:hyperlink r:id="rId12" w:history="1">
        <w:r w:rsidR="00E43EE4" w:rsidRPr="000E3795">
          <w:rPr>
            <w:rStyle w:val="Hyperlink"/>
            <w:rFonts w:cs="Times New Roman"/>
            <w:szCs w:val="24"/>
            <w:lang w:val="fr-FR"/>
          </w:rPr>
          <w:t>NEAR-TURKEY-FACILITY@ec.europa.eu</w:t>
        </w:r>
      </w:hyperlink>
      <w:r w:rsidR="00E43EE4">
        <w:rPr>
          <w:rFonts w:cs="Times New Roman"/>
          <w:szCs w:val="24"/>
          <w:lang w:val="fr-FR"/>
        </w:rPr>
        <w:t xml:space="preserve"> </w:t>
      </w:r>
      <w:r w:rsidR="004623B3">
        <w:rPr>
          <w:rFonts w:cs="Times New Roman"/>
          <w:szCs w:val="24"/>
          <w:lang w:val="fr-FR"/>
        </w:rPr>
        <w:br w:type="page"/>
      </w:r>
    </w:p>
    <w:p w14:paraId="5B322952" w14:textId="77777777" w:rsidR="00CA4E34" w:rsidRPr="002B0EDE" w:rsidRDefault="00CA4E34" w:rsidP="009835DE">
      <w:pPr>
        <w:tabs>
          <w:tab w:val="left" w:pos="567"/>
          <w:tab w:val="left" w:pos="1134"/>
          <w:tab w:val="left" w:pos="1701"/>
        </w:tabs>
        <w:ind w:left="567"/>
        <w:jc w:val="both"/>
        <w:rPr>
          <w:rFonts w:cs="Times New Roman"/>
          <w:szCs w:val="24"/>
          <w:lang w:val="fr-FR"/>
        </w:rPr>
      </w:pPr>
    </w:p>
    <w:p w14:paraId="5B322953" w14:textId="77777777" w:rsidR="00774B65" w:rsidRPr="000C784C" w:rsidRDefault="00774B65" w:rsidP="009835DE">
      <w:pPr>
        <w:tabs>
          <w:tab w:val="left" w:pos="567"/>
          <w:tab w:val="left" w:pos="1134"/>
          <w:tab w:val="left" w:pos="1701"/>
        </w:tabs>
        <w:ind w:left="851" w:hanging="851"/>
        <w:jc w:val="both"/>
        <w:rPr>
          <w:rFonts w:cs="Times New Roman"/>
          <w:b/>
          <w:szCs w:val="24"/>
          <w:lang w:val="en-GB"/>
        </w:rPr>
      </w:pPr>
      <w:r w:rsidRPr="000C784C">
        <w:rPr>
          <w:rFonts w:cs="Times New Roman"/>
          <w:b/>
          <w:szCs w:val="24"/>
          <w:lang w:val="en-GB"/>
        </w:rPr>
        <w:t xml:space="preserve">Article </w:t>
      </w:r>
      <w:r w:rsidR="005562DA" w:rsidRPr="000C784C">
        <w:rPr>
          <w:rFonts w:cs="Times New Roman"/>
          <w:b/>
          <w:szCs w:val="24"/>
          <w:lang w:val="en-GB"/>
        </w:rPr>
        <w:t>6</w:t>
      </w:r>
      <w:r w:rsidRPr="000C784C">
        <w:rPr>
          <w:rFonts w:cs="Times New Roman"/>
          <w:b/>
          <w:szCs w:val="24"/>
          <w:lang w:val="en-GB"/>
        </w:rPr>
        <w:t xml:space="preserve">. Representation to the </w:t>
      </w:r>
      <w:r w:rsidR="00334713" w:rsidRPr="000C784C">
        <w:rPr>
          <w:rFonts w:cs="Times New Roman"/>
          <w:b/>
          <w:szCs w:val="24"/>
          <w:lang w:val="en-GB"/>
        </w:rPr>
        <w:t>Steering Committee of the Facility</w:t>
      </w:r>
    </w:p>
    <w:p w14:paraId="5B322954" w14:textId="77777777" w:rsidR="00774B65" w:rsidRPr="000C784C" w:rsidRDefault="00774B65" w:rsidP="009835DE">
      <w:pPr>
        <w:tabs>
          <w:tab w:val="left" w:pos="567"/>
          <w:tab w:val="left" w:pos="1134"/>
          <w:tab w:val="left" w:pos="1701"/>
        </w:tabs>
        <w:jc w:val="both"/>
        <w:rPr>
          <w:rFonts w:cs="Times New Roman"/>
          <w:szCs w:val="24"/>
          <w:lang w:val="en-GB"/>
        </w:rPr>
      </w:pPr>
    </w:p>
    <w:p w14:paraId="5B322955" w14:textId="7F3557D3" w:rsidR="00774B65" w:rsidRDefault="005562DA" w:rsidP="009835DE">
      <w:pPr>
        <w:tabs>
          <w:tab w:val="left" w:pos="567"/>
          <w:tab w:val="left" w:pos="1134"/>
          <w:tab w:val="left" w:pos="1701"/>
        </w:tabs>
        <w:ind w:left="567" w:hanging="567"/>
        <w:jc w:val="both"/>
        <w:rPr>
          <w:rFonts w:cs="Times New Roman"/>
          <w:szCs w:val="24"/>
          <w:lang w:val="en-GB"/>
        </w:rPr>
      </w:pPr>
      <w:r w:rsidRPr="000C784C">
        <w:rPr>
          <w:rFonts w:cs="Times New Roman"/>
          <w:szCs w:val="24"/>
          <w:lang w:val="en-GB"/>
        </w:rPr>
        <w:t>6</w:t>
      </w:r>
      <w:r w:rsidR="000C784C">
        <w:rPr>
          <w:rFonts w:cs="Times New Roman"/>
          <w:szCs w:val="24"/>
          <w:lang w:val="en-GB"/>
        </w:rPr>
        <w:tab/>
      </w:r>
      <w:r w:rsidR="00774B65" w:rsidRPr="000C784C">
        <w:rPr>
          <w:rFonts w:cs="Times New Roman"/>
          <w:szCs w:val="24"/>
          <w:lang w:val="en-GB"/>
        </w:rPr>
        <w:t xml:space="preserve">In application of </w:t>
      </w:r>
      <w:r w:rsidR="00334713" w:rsidRPr="000C784C">
        <w:rPr>
          <w:rFonts w:cs="Times New Roman"/>
          <w:szCs w:val="24"/>
          <w:lang w:val="en-GB"/>
        </w:rPr>
        <w:t>point 6</w:t>
      </w:r>
      <w:r w:rsidR="00774B65" w:rsidRPr="000C784C">
        <w:rPr>
          <w:rFonts w:cs="Times New Roman"/>
          <w:szCs w:val="24"/>
          <w:lang w:val="en-GB"/>
        </w:rPr>
        <w:t xml:space="preserve"> of</w:t>
      </w:r>
      <w:r w:rsidR="00CA080E" w:rsidRPr="000C784C">
        <w:rPr>
          <w:rFonts w:cs="Times New Roman"/>
          <w:szCs w:val="24"/>
          <w:lang w:val="en-GB"/>
        </w:rPr>
        <w:t xml:space="preserve"> the Common Understanding</w:t>
      </w:r>
      <w:r w:rsidR="00774B65" w:rsidRPr="00DA63F4">
        <w:rPr>
          <w:rFonts w:cs="Times New Roman"/>
          <w:szCs w:val="24"/>
          <w:lang w:val="en-GB"/>
        </w:rPr>
        <w:t xml:space="preserve">, </w:t>
      </w:r>
      <w:r w:rsidR="00BE023A" w:rsidRPr="00DA63F4">
        <w:rPr>
          <w:rFonts w:cs="Times New Roman"/>
          <w:szCs w:val="24"/>
          <w:lang w:val="en-GB"/>
        </w:rPr>
        <w:t xml:space="preserve">the Republic </w:t>
      </w:r>
      <w:r w:rsidR="006825CD" w:rsidRPr="00DA63F4">
        <w:rPr>
          <w:rFonts w:cs="Times New Roman"/>
          <w:szCs w:val="24"/>
          <w:lang w:val="en-GB"/>
        </w:rPr>
        <w:t>Lithuania</w:t>
      </w:r>
      <w:r w:rsidR="006825CD">
        <w:rPr>
          <w:rFonts w:cs="Times New Roman"/>
          <w:szCs w:val="24"/>
          <w:lang w:val="en-GB"/>
        </w:rPr>
        <w:t xml:space="preserve"> </w:t>
      </w:r>
      <w:r w:rsidR="00283446">
        <w:rPr>
          <w:rFonts w:cs="Times New Roman"/>
          <w:szCs w:val="24"/>
          <w:lang w:val="en-GB"/>
        </w:rPr>
        <w:t>has</w:t>
      </w:r>
      <w:r w:rsidR="00774B65" w:rsidRPr="000C784C">
        <w:rPr>
          <w:rFonts w:cs="Times New Roman"/>
          <w:szCs w:val="24"/>
          <w:lang w:val="en-GB"/>
        </w:rPr>
        <w:t xml:space="preserve"> appoint</w:t>
      </w:r>
      <w:r w:rsidR="00283446">
        <w:rPr>
          <w:rFonts w:cs="Times New Roman"/>
          <w:szCs w:val="24"/>
          <w:lang w:val="en-GB"/>
        </w:rPr>
        <w:t>ed</w:t>
      </w:r>
      <w:r w:rsidR="00774B65" w:rsidRPr="000C784C">
        <w:rPr>
          <w:rFonts w:cs="Times New Roman"/>
          <w:szCs w:val="24"/>
          <w:lang w:val="en-GB"/>
        </w:rPr>
        <w:t xml:space="preserve"> a representative and alternate representative to the Steering </w:t>
      </w:r>
      <w:r w:rsidR="00443FA8" w:rsidRPr="000C784C">
        <w:rPr>
          <w:rFonts w:cs="Times New Roman"/>
          <w:szCs w:val="24"/>
          <w:lang w:val="en-GB"/>
        </w:rPr>
        <w:t>Committee of the Facility</w:t>
      </w:r>
      <w:r w:rsidR="00774B65" w:rsidRPr="000C784C">
        <w:rPr>
          <w:rFonts w:cs="Times New Roman"/>
          <w:szCs w:val="24"/>
          <w:lang w:val="en-GB"/>
        </w:rPr>
        <w:t>. Their name</w:t>
      </w:r>
      <w:r w:rsidR="00334713" w:rsidRPr="000C784C">
        <w:rPr>
          <w:rFonts w:cs="Times New Roman"/>
          <w:szCs w:val="24"/>
          <w:lang w:val="en-GB"/>
        </w:rPr>
        <w:t>s</w:t>
      </w:r>
      <w:r w:rsidR="00774B65" w:rsidRPr="000C784C">
        <w:rPr>
          <w:rFonts w:cs="Times New Roman"/>
          <w:szCs w:val="24"/>
          <w:lang w:val="en-GB"/>
        </w:rPr>
        <w:t xml:space="preserve"> will be communicated to the </w:t>
      </w:r>
      <w:r w:rsidR="00334713" w:rsidRPr="000C784C">
        <w:rPr>
          <w:rFonts w:cs="Times New Roman"/>
          <w:szCs w:val="24"/>
          <w:lang w:val="en-GB"/>
        </w:rPr>
        <w:t>Commission</w:t>
      </w:r>
      <w:r w:rsidR="00774B65" w:rsidRPr="000C784C">
        <w:rPr>
          <w:rFonts w:cs="Times New Roman"/>
          <w:szCs w:val="24"/>
          <w:lang w:val="en-GB"/>
        </w:rPr>
        <w:t xml:space="preserve"> before the first meeting of the Steering </w:t>
      </w:r>
      <w:r w:rsidR="00537C55" w:rsidRPr="000C784C">
        <w:rPr>
          <w:rFonts w:cs="Times New Roman"/>
          <w:szCs w:val="24"/>
          <w:lang w:val="en-GB"/>
        </w:rPr>
        <w:t>Committee</w:t>
      </w:r>
      <w:r w:rsidR="000C784C">
        <w:rPr>
          <w:rFonts w:cs="Times New Roman"/>
          <w:szCs w:val="24"/>
          <w:lang w:val="en-GB"/>
        </w:rPr>
        <w:t>.</w:t>
      </w:r>
    </w:p>
    <w:p w14:paraId="5B322956" w14:textId="77777777" w:rsidR="009835DE" w:rsidRPr="000C784C" w:rsidRDefault="009835DE" w:rsidP="009835DE">
      <w:pPr>
        <w:tabs>
          <w:tab w:val="left" w:pos="567"/>
          <w:tab w:val="left" w:pos="1134"/>
          <w:tab w:val="left" w:pos="1701"/>
        </w:tabs>
        <w:ind w:left="567" w:hanging="567"/>
        <w:jc w:val="both"/>
        <w:rPr>
          <w:rFonts w:cs="Times New Roman"/>
          <w:szCs w:val="24"/>
          <w:lang w:val="en-GB"/>
        </w:rPr>
      </w:pPr>
    </w:p>
    <w:p w14:paraId="5B322957" w14:textId="77777777" w:rsidR="00EC6A66" w:rsidRPr="000C784C" w:rsidRDefault="00EC6A66" w:rsidP="009835DE">
      <w:pPr>
        <w:tabs>
          <w:tab w:val="left" w:pos="567"/>
          <w:tab w:val="left" w:pos="1134"/>
          <w:tab w:val="left" w:pos="1701"/>
        </w:tabs>
        <w:jc w:val="both"/>
        <w:rPr>
          <w:rFonts w:cs="Times New Roman"/>
          <w:b/>
          <w:szCs w:val="24"/>
          <w:lang w:val="en-GB"/>
        </w:rPr>
      </w:pPr>
      <w:r w:rsidRPr="000C784C">
        <w:rPr>
          <w:rFonts w:cs="Times New Roman"/>
          <w:b/>
          <w:szCs w:val="24"/>
          <w:lang w:val="en-GB"/>
        </w:rPr>
        <w:t xml:space="preserve">Article </w:t>
      </w:r>
      <w:r w:rsidR="005562DA" w:rsidRPr="000C784C">
        <w:rPr>
          <w:rFonts w:cs="Times New Roman"/>
          <w:b/>
          <w:szCs w:val="24"/>
          <w:lang w:val="en-GB"/>
        </w:rPr>
        <w:t>7</w:t>
      </w:r>
      <w:r w:rsidRPr="000C784C">
        <w:rPr>
          <w:rFonts w:cs="Times New Roman"/>
          <w:b/>
          <w:szCs w:val="24"/>
          <w:lang w:val="en-GB"/>
        </w:rPr>
        <w:t>. Validity</w:t>
      </w:r>
    </w:p>
    <w:p w14:paraId="5B322958" w14:textId="77777777" w:rsidR="00EC6A66" w:rsidRPr="000C784C" w:rsidRDefault="00EC6A66" w:rsidP="009835DE">
      <w:pPr>
        <w:tabs>
          <w:tab w:val="left" w:pos="567"/>
          <w:tab w:val="left" w:pos="1134"/>
          <w:tab w:val="left" w:pos="1701"/>
        </w:tabs>
        <w:jc w:val="both"/>
        <w:rPr>
          <w:rFonts w:cs="Times New Roman"/>
          <w:szCs w:val="24"/>
          <w:lang w:val="en-GB"/>
        </w:rPr>
      </w:pPr>
    </w:p>
    <w:p w14:paraId="5B322959" w14:textId="08455F12" w:rsidR="00EA3AC6" w:rsidRPr="000C784C" w:rsidRDefault="005562DA" w:rsidP="009835DE">
      <w:pPr>
        <w:tabs>
          <w:tab w:val="left" w:pos="567"/>
          <w:tab w:val="left" w:pos="1134"/>
          <w:tab w:val="left" w:pos="1701"/>
        </w:tabs>
        <w:ind w:left="567" w:hanging="567"/>
        <w:jc w:val="both"/>
        <w:rPr>
          <w:rFonts w:eastAsia="Times New Roman" w:cs="Times New Roman"/>
          <w:color w:val="000000"/>
          <w:szCs w:val="24"/>
        </w:rPr>
      </w:pPr>
      <w:r w:rsidRPr="000C784C">
        <w:rPr>
          <w:rFonts w:cs="Times New Roman"/>
          <w:szCs w:val="24"/>
          <w:lang w:val="en-GB"/>
        </w:rPr>
        <w:t>7</w:t>
      </w:r>
      <w:r w:rsidR="00737521" w:rsidRPr="000C784C">
        <w:rPr>
          <w:rFonts w:cs="Times New Roman"/>
          <w:szCs w:val="24"/>
          <w:lang w:val="en-GB"/>
        </w:rPr>
        <w:t>.</w:t>
      </w:r>
      <w:r w:rsidR="000C784C">
        <w:rPr>
          <w:rFonts w:cs="Times New Roman"/>
          <w:szCs w:val="24"/>
          <w:lang w:val="en-GB"/>
        </w:rPr>
        <w:tab/>
      </w:r>
      <w:r w:rsidR="00EC6A66" w:rsidRPr="000C784C">
        <w:rPr>
          <w:rFonts w:cs="Times New Roman"/>
          <w:szCs w:val="24"/>
          <w:lang w:val="en-GB"/>
        </w:rPr>
        <w:t>This Contribu</w:t>
      </w:r>
      <w:r w:rsidR="00D763F8">
        <w:rPr>
          <w:rFonts w:cs="Times New Roman"/>
          <w:szCs w:val="24"/>
          <w:lang w:val="en-GB"/>
        </w:rPr>
        <w:t>tion Certificate shall be immediately valid.</w:t>
      </w:r>
    </w:p>
    <w:p w14:paraId="5B32295A" w14:textId="77777777" w:rsidR="00774B65" w:rsidRDefault="00774B65" w:rsidP="009835DE">
      <w:pPr>
        <w:tabs>
          <w:tab w:val="left" w:pos="567"/>
          <w:tab w:val="left" w:pos="1134"/>
          <w:tab w:val="left" w:pos="1701"/>
        </w:tabs>
        <w:jc w:val="both"/>
        <w:rPr>
          <w:rFonts w:cs="Times New Roman"/>
          <w:szCs w:val="24"/>
          <w:lang w:val="en-GB"/>
        </w:rPr>
      </w:pPr>
    </w:p>
    <w:p w14:paraId="5B32295B" w14:textId="77777777" w:rsidR="00BE023A" w:rsidRPr="000C784C" w:rsidRDefault="00BE023A" w:rsidP="009835DE">
      <w:pPr>
        <w:tabs>
          <w:tab w:val="left" w:pos="567"/>
          <w:tab w:val="left" w:pos="1134"/>
          <w:tab w:val="left" w:pos="1701"/>
        </w:tabs>
        <w:jc w:val="both"/>
        <w:rPr>
          <w:rFonts w:cs="Times New Roman"/>
          <w:szCs w:val="24"/>
          <w:lang w:val="en-GB"/>
        </w:rPr>
      </w:pPr>
    </w:p>
    <w:p w14:paraId="5B32295C" w14:textId="77777777" w:rsidR="00774B65" w:rsidRPr="00DA63F4" w:rsidRDefault="00BE023A" w:rsidP="009835DE">
      <w:pPr>
        <w:tabs>
          <w:tab w:val="left" w:pos="567"/>
          <w:tab w:val="left" w:pos="1134"/>
          <w:tab w:val="left" w:pos="1701"/>
        </w:tabs>
        <w:jc w:val="both"/>
        <w:rPr>
          <w:rFonts w:cs="Times New Roman"/>
          <w:szCs w:val="24"/>
          <w:lang w:val="en-GB"/>
        </w:rPr>
      </w:pPr>
      <w:r w:rsidRPr="00DA63F4">
        <w:rPr>
          <w:rFonts w:cs="Times New Roman"/>
          <w:szCs w:val="24"/>
          <w:lang w:val="en-GB"/>
        </w:rPr>
        <w:t xml:space="preserve">The Republic of </w:t>
      </w:r>
      <w:r w:rsidR="006825CD" w:rsidRPr="00DA63F4">
        <w:rPr>
          <w:rFonts w:cs="Times New Roman"/>
          <w:szCs w:val="24"/>
          <w:lang w:val="en-GB"/>
        </w:rPr>
        <w:t>Lithuania</w:t>
      </w:r>
    </w:p>
    <w:p w14:paraId="5B32295D" w14:textId="77777777" w:rsidR="00774B65" w:rsidRPr="00DA63F4" w:rsidRDefault="00774B65" w:rsidP="009835DE">
      <w:pPr>
        <w:tabs>
          <w:tab w:val="left" w:pos="567"/>
          <w:tab w:val="left" w:pos="1134"/>
          <w:tab w:val="left" w:pos="1701"/>
        </w:tabs>
        <w:jc w:val="both"/>
        <w:rPr>
          <w:rFonts w:cs="Times New Roman"/>
          <w:szCs w:val="24"/>
          <w:lang w:val="en-GB"/>
        </w:rPr>
      </w:pPr>
    </w:p>
    <w:p w14:paraId="5B32295E" w14:textId="770E697B" w:rsidR="00774B65" w:rsidRPr="00DA63F4" w:rsidRDefault="00774B65" w:rsidP="009835DE">
      <w:pPr>
        <w:pStyle w:val="Default"/>
        <w:tabs>
          <w:tab w:val="left" w:pos="567"/>
          <w:tab w:val="left" w:pos="1134"/>
          <w:tab w:val="left" w:pos="1701"/>
        </w:tabs>
        <w:spacing w:line="360" w:lineRule="auto"/>
        <w:jc w:val="both"/>
        <w:rPr>
          <w:lang w:val="en-US"/>
        </w:rPr>
      </w:pPr>
      <w:r w:rsidRPr="00DA63F4">
        <w:rPr>
          <w:lang w:val="en-US"/>
        </w:rPr>
        <w:t xml:space="preserve">By: </w:t>
      </w:r>
      <w:proofErr w:type="spellStart"/>
      <w:r w:rsidR="00953B43">
        <w:rPr>
          <w:lang w:val="en-US"/>
        </w:rPr>
        <w:t>Vilius</w:t>
      </w:r>
      <w:proofErr w:type="spellEnd"/>
      <w:r w:rsidR="00953B43">
        <w:rPr>
          <w:lang w:val="en-US"/>
        </w:rPr>
        <w:t xml:space="preserve"> </w:t>
      </w:r>
      <w:proofErr w:type="spellStart"/>
      <w:r w:rsidR="00953B43">
        <w:rPr>
          <w:lang w:val="en-US"/>
        </w:rPr>
        <w:t>Šapoka</w:t>
      </w:r>
      <w:proofErr w:type="spellEnd"/>
      <w:r w:rsidR="006825CD" w:rsidRPr="00DA63F4">
        <w:rPr>
          <w:lang w:val="en-US"/>
        </w:rPr>
        <w:t xml:space="preserve">, </w:t>
      </w:r>
      <w:r w:rsidR="00BE023A" w:rsidRPr="00DA63F4">
        <w:rPr>
          <w:lang w:val="en-US"/>
        </w:rPr>
        <w:t>Minister of F</w:t>
      </w:r>
      <w:r w:rsidR="00953B43">
        <w:rPr>
          <w:lang w:val="en-US"/>
        </w:rPr>
        <w:t>inance</w:t>
      </w:r>
    </w:p>
    <w:p w14:paraId="5B32295F" w14:textId="77777777" w:rsidR="00774B65" w:rsidRPr="00DA63F4" w:rsidRDefault="00774B65" w:rsidP="009835DE">
      <w:pPr>
        <w:pStyle w:val="Default"/>
        <w:tabs>
          <w:tab w:val="left" w:pos="567"/>
          <w:tab w:val="left" w:pos="1134"/>
          <w:tab w:val="left" w:pos="1701"/>
        </w:tabs>
        <w:spacing w:line="360" w:lineRule="auto"/>
        <w:jc w:val="both"/>
        <w:rPr>
          <w:lang w:val="en-US"/>
        </w:rPr>
      </w:pPr>
    </w:p>
    <w:p w14:paraId="5B322960" w14:textId="77777777" w:rsidR="00774B65" w:rsidRPr="00DA63F4" w:rsidRDefault="00774B65" w:rsidP="009835DE">
      <w:pPr>
        <w:pStyle w:val="Default"/>
        <w:tabs>
          <w:tab w:val="left" w:pos="567"/>
          <w:tab w:val="left" w:pos="1134"/>
          <w:tab w:val="left" w:pos="1701"/>
        </w:tabs>
        <w:spacing w:line="360" w:lineRule="auto"/>
        <w:jc w:val="both"/>
        <w:rPr>
          <w:lang w:val="en-US"/>
        </w:rPr>
      </w:pPr>
    </w:p>
    <w:p w14:paraId="5B322961" w14:textId="77777777" w:rsidR="00774B65" w:rsidRDefault="00774B65" w:rsidP="009835DE">
      <w:pPr>
        <w:pStyle w:val="Default"/>
        <w:tabs>
          <w:tab w:val="left" w:pos="567"/>
          <w:tab w:val="left" w:pos="1134"/>
          <w:tab w:val="left" w:pos="1701"/>
        </w:tabs>
        <w:spacing w:line="360" w:lineRule="auto"/>
        <w:jc w:val="both"/>
        <w:rPr>
          <w:lang w:val="en-US"/>
        </w:rPr>
      </w:pPr>
      <w:r w:rsidRPr="00DA63F4">
        <w:rPr>
          <w:lang w:val="en-US"/>
        </w:rPr>
        <w:t>Date:</w:t>
      </w:r>
      <w:r w:rsidR="000C784C" w:rsidRPr="00DA63F4">
        <w:rPr>
          <w:lang w:val="en-US"/>
        </w:rPr>
        <w:t xml:space="preserve"> _________</w:t>
      </w:r>
    </w:p>
    <w:p w14:paraId="5B322962" w14:textId="77777777" w:rsidR="000C784C" w:rsidRPr="000C784C" w:rsidRDefault="000C784C" w:rsidP="009835DE">
      <w:pPr>
        <w:pStyle w:val="Default"/>
        <w:tabs>
          <w:tab w:val="left" w:pos="567"/>
          <w:tab w:val="left" w:pos="1134"/>
          <w:tab w:val="left" w:pos="1701"/>
        </w:tabs>
        <w:spacing w:line="360" w:lineRule="auto"/>
        <w:jc w:val="both"/>
        <w:rPr>
          <w:lang w:val="en-US"/>
        </w:rPr>
      </w:pPr>
    </w:p>
    <w:p w14:paraId="5B322963" w14:textId="77777777" w:rsidR="000C784C" w:rsidRDefault="000C784C" w:rsidP="009835DE">
      <w:pPr>
        <w:tabs>
          <w:tab w:val="left" w:pos="567"/>
          <w:tab w:val="left" w:pos="1134"/>
          <w:tab w:val="left" w:pos="1701"/>
        </w:tabs>
        <w:ind w:left="851" w:hanging="851"/>
        <w:jc w:val="both"/>
        <w:rPr>
          <w:rFonts w:cs="Times New Roman"/>
          <w:b/>
          <w:szCs w:val="24"/>
          <w:u w:val="single"/>
          <w:lang w:val="en-GB"/>
        </w:rPr>
        <w:sectPr w:rsidR="000C784C" w:rsidSect="004623B3">
          <w:pgSz w:w="11907" w:h="16840" w:code="9"/>
          <w:pgMar w:top="709" w:right="1134" w:bottom="426" w:left="1134" w:header="567" w:footer="567" w:gutter="0"/>
          <w:cols w:space="708"/>
          <w:docGrid w:linePitch="360"/>
        </w:sectPr>
      </w:pPr>
    </w:p>
    <w:p w14:paraId="5B322964" w14:textId="77777777" w:rsidR="000C784C" w:rsidRDefault="00E34C03" w:rsidP="000C784C">
      <w:pPr>
        <w:tabs>
          <w:tab w:val="left" w:pos="567"/>
          <w:tab w:val="left" w:pos="1134"/>
          <w:tab w:val="left" w:pos="1701"/>
        </w:tabs>
        <w:ind w:left="851" w:hanging="851"/>
        <w:jc w:val="center"/>
        <w:rPr>
          <w:rFonts w:cs="Times New Roman"/>
          <w:b/>
          <w:szCs w:val="24"/>
          <w:lang w:val="en-GB"/>
        </w:rPr>
      </w:pPr>
      <w:r w:rsidRPr="000C784C">
        <w:rPr>
          <w:rFonts w:cs="Times New Roman"/>
          <w:b/>
          <w:szCs w:val="24"/>
          <w:u w:val="single"/>
          <w:lang w:val="en-GB"/>
        </w:rPr>
        <w:lastRenderedPageBreak/>
        <w:t>ANNEX</w:t>
      </w:r>
    </w:p>
    <w:p w14:paraId="5B322965" w14:textId="77777777" w:rsidR="000C784C" w:rsidRDefault="000C784C" w:rsidP="000C784C">
      <w:pPr>
        <w:tabs>
          <w:tab w:val="left" w:pos="567"/>
          <w:tab w:val="left" w:pos="1134"/>
          <w:tab w:val="left" w:pos="1701"/>
        </w:tabs>
        <w:ind w:left="851" w:hanging="851"/>
        <w:jc w:val="center"/>
        <w:rPr>
          <w:rFonts w:cs="Times New Roman"/>
          <w:b/>
          <w:szCs w:val="24"/>
          <w:lang w:val="en-GB"/>
        </w:rPr>
      </w:pPr>
    </w:p>
    <w:p w14:paraId="5B322966" w14:textId="77777777" w:rsidR="00E34C03" w:rsidRDefault="00E34C03" w:rsidP="000C784C">
      <w:pPr>
        <w:tabs>
          <w:tab w:val="left" w:pos="567"/>
          <w:tab w:val="left" w:pos="1134"/>
          <w:tab w:val="left" w:pos="1701"/>
        </w:tabs>
        <w:ind w:left="851" w:hanging="851"/>
        <w:jc w:val="center"/>
        <w:rPr>
          <w:rFonts w:cs="Times New Roman"/>
          <w:b/>
          <w:szCs w:val="24"/>
          <w:lang w:val="en-GB"/>
        </w:rPr>
      </w:pPr>
      <w:r w:rsidRPr="000C784C">
        <w:rPr>
          <w:rFonts w:cs="Times New Roman"/>
          <w:b/>
          <w:szCs w:val="24"/>
          <w:lang w:val="en-GB"/>
        </w:rPr>
        <w:t>SCHEDULE OF PAYMENT</w:t>
      </w:r>
    </w:p>
    <w:p w14:paraId="5B322967" w14:textId="77777777" w:rsidR="00BE2256" w:rsidRDefault="00BE2256" w:rsidP="000C784C">
      <w:pPr>
        <w:tabs>
          <w:tab w:val="left" w:pos="567"/>
          <w:tab w:val="left" w:pos="1134"/>
          <w:tab w:val="left" w:pos="1701"/>
        </w:tabs>
        <w:ind w:left="851" w:hanging="851"/>
        <w:jc w:val="center"/>
        <w:rPr>
          <w:rFonts w:cs="Times New Roman"/>
          <w:b/>
          <w:szCs w:val="24"/>
          <w:lang w:val="en-GB"/>
        </w:rPr>
      </w:pPr>
    </w:p>
    <w:tbl>
      <w:tblPr>
        <w:tblW w:w="8900" w:type="dxa"/>
        <w:tblInd w:w="93" w:type="dxa"/>
        <w:tblLook w:val="04A0" w:firstRow="1" w:lastRow="0" w:firstColumn="1" w:lastColumn="0" w:noHBand="0" w:noVBand="1"/>
      </w:tblPr>
      <w:tblGrid>
        <w:gridCol w:w="1332"/>
        <w:gridCol w:w="500"/>
        <w:gridCol w:w="500"/>
        <w:gridCol w:w="2010"/>
        <w:gridCol w:w="2010"/>
        <w:gridCol w:w="2580"/>
      </w:tblGrid>
      <w:tr w:rsidR="00BE2256" w:rsidRPr="00DA63F4" w14:paraId="5B32296E" w14:textId="77777777" w:rsidTr="00FF4B1B">
        <w:trPr>
          <w:trHeight w:val="300"/>
        </w:trPr>
        <w:tc>
          <w:tcPr>
            <w:tcW w:w="1332" w:type="dxa"/>
            <w:tcBorders>
              <w:top w:val="nil"/>
              <w:left w:val="nil"/>
              <w:bottom w:val="nil"/>
              <w:right w:val="nil"/>
            </w:tcBorders>
            <w:shd w:val="clear" w:color="auto" w:fill="auto"/>
            <w:noWrap/>
            <w:hideMark/>
          </w:tcPr>
          <w:p w14:paraId="5B322968" w14:textId="77777777" w:rsidR="00BE2256" w:rsidRPr="00DA63F4" w:rsidRDefault="00BE2256" w:rsidP="00FF4B1B">
            <w:pPr>
              <w:spacing w:line="240" w:lineRule="auto"/>
              <w:rPr>
                <w:rFonts w:ascii="Calibri" w:eastAsia="Times New Roman" w:hAnsi="Calibri" w:cs="Times New Roman"/>
                <w:b/>
                <w:bCs/>
                <w:color w:val="000000"/>
                <w:sz w:val="18"/>
                <w:szCs w:val="18"/>
                <w:lang w:eastAsia="en-GB"/>
              </w:rPr>
            </w:pPr>
            <w:r w:rsidRPr="00DA63F4">
              <w:rPr>
                <w:rFonts w:ascii="Calibri" w:eastAsia="Times New Roman" w:hAnsi="Calibri" w:cs="Times New Roman"/>
                <w:b/>
                <w:bCs/>
                <w:color w:val="000000"/>
                <w:sz w:val="18"/>
                <w:szCs w:val="18"/>
                <w:lang w:eastAsia="en-GB"/>
              </w:rPr>
              <w:t xml:space="preserve">EUR million </w:t>
            </w:r>
          </w:p>
        </w:tc>
        <w:tc>
          <w:tcPr>
            <w:tcW w:w="484" w:type="dxa"/>
            <w:tcBorders>
              <w:top w:val="nil"/>
              <w:left w:val="nil"/>
              <w:bottom w:val="nil"/>
              <w:right w:val="nil"/>
            </w:tcBorders>
            <w:shd w:val="clear" w:color="auto" w:fill="auto"/>
            <w:noWrap/>
            <w:vAlign w:val="bottom"/>
            <w:hideMark/>
          </w:tcPr>
          <w:p w14:paraId="5B322969" w14:textId="77777777" w:rsidR="00BE2256" w:rsidRPr="00DA63F4" w:rsidRDefault="00BE2256" w:rsidP="00FF4B1B">
            <w:pPr>
              <w:spacing w:line="240" w:lineRule="auto"/>
              <w:rPr>
                <w:rFonts w:ascii="Calibri" w:eastAsia="Times New Roman" w:hAnsi="Calibri" w:cs="Times New Roman"/>
                <w:color w:val="000000"/>
                <w:lang w:eastAsia="en-GB"/>
              </w:rPr>
            </w:pPr>
          </w:p>
        </w:tc>
        <w:tc>
          <w:tcPr>
            <w:tcW w:w="484" w:type="dxa"/>
            <w:tcBorders>
              <w:top w:val="nil"/>
              <w:left w:val="nil"/>
              <w:bottom w:val="nil"/>
              <w:right w:val="nil"/>
            </w:tcBorders>
            <w:shd w:val="clear" w:color="auto" w:fill="auto"/>
            <w:noWrap/>
            <w:vAlign w:val="bottom"/>
            <w:hideMark/>
          </w:tcPr>
          <w:p w14:paraId="5B32296A" w14:textId="77777777" w:rsidR="00BE2256" w:rsidRPr="00DA63F4" w:rsidRDefault="00BE2256" w:rsidP="00FF4B1B">
            <w:pPr>
              <w:spacing w:line="240" w:lineRule="auto"/>
              <w:rPr>
                <w:rFonts w:ascii="Calibri" w:eastAsia="Times New Roman" w:hAnsi="Calibri" w:cs="Times New Roman"/>
                <w:color w:val="000000"/>
                <w:lang w:eastAsia="en-GB"/>
              </w:rPr>
            </w:pPr>
          </w:p>
        </w:tc>
        <w:tc>
          <w:tcPr>
            <w:tcW w:w="2010" w:type="dxa"/>
            <w:tcBorders>
              <w:top w:val="nil"/>
              <w:left w:val="nil"/>
              <w:bottom w:val="nil"/>
              <w:right w:val="nil"/>
            </w:tcBorders>
            <w:shd w:val="clear" w:color="auto" w:fill="auto"/>
            <w:noWrap/>
            <w:vAlign w:val="bottom"/>
            <w:hideMark/>
          </w:tcPr>
          <w:p w14:paraId="5B32296B" w14:textId="77777777" w:rsidR="00BE2256" w:rsidRPr="00DA63F4" w:rsidRDefault="00BE2256" w:rsidP="00FF4B1B">
            <w:pPr>
              <w:spacing w:line="240" w:lineRule="auto"/>
              <w:rPr>
                <w:rFonts w:ascii="Calibri" w:eastAsia="Times New Roman" w:hAnsi="Calibri" w:cs="Times New Roman"/>
                <w:color w:val="000000"/>
                <w:lang w:eastAsia="en-GB"/>
              </w:rPr>
            </w:pPr>
          </w:p>
        </w:tc>
        <w:tc>
          <w:tcPr>
            <w:tcW w:w="2010" w:type="dxa"/>
            <w:tcBorders>
              <w:top w:val="nil"/>
              <w:left w:val="nil"/>
              <w:bottom w:val="nil"/>
              <w:right w:val="nil"/>
            </w:tcBorders>
            <w:shd w:val="clear" w:color="auto" w:fill="auto"/>
            <w:noWrap/>
            <w:vAlign w:val="bottom"/>
            <w:hideMark/>
          </w:tcPr>
          <w:p w14:paraId="5B32296C" w14:textId="03D54667" w:rsidR="00BE2256" w:rsidRPr="00DA63F4" w:rsidRDefault="00D763F8" w:rsidP="00FF4B1B">
            <w:pPr>
              <w:spacing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GNI key based on budget 2018</w:t>
            </w:r>
          </w:p>
        </w:tc>
        <w:tc>
          <w:tcPr>
            <w:tcW w:w="2580" w:type="dxa"/>
            <w:tcBorders>
              <w:top w:val="nil"/>
              <w:left w:val="nil"/>
              <w:bottom w:val="nil"/>
              <w:right w:val="nil"/>
            </w:tcBorders>
            <w:shd w:val="clear" w:color="auto" w:fill="auto"/>
            <w:noWrap/>
            <w:vAlign w:val="bottom"/>
            <w:hideMark/>
          </w:tcPr>
          <w:p w14:paraId="5B32296D" w14:textId="77777777" w:rsidR="00BE2256" w:rsidRPr="00DA63F4" w:rsidRDefault="00BE2256" w:rsidP="00FF4B1B">
            <w:pPr>
              <w:spacing w:line="240" w:lineRule="auto"/>
              <w:jc w:val="right"/>
              <w:rPr>
                <w:rFonts w:ascii="Calibri" w:eastAsia="Times New Roman" w:hAnsi="Calibri" w:cs="Times New Roman"/>
                <w:b/>
                <w:bCs/>
                <w:color w:val="000000"/>
                <w:lang w:eastAsia="en-GB"/>
              </w:rPr>
            </w:pPr>
            <w:r w:rsidRPr="00DA63F4">
              <w:rPr>
                <w:rFonts w:ascii="Calibri" w:eastAsia="Times New Roman" w:hAnsi="Calibri" w:cs="Times New Roman"/>
                <w:b/>
                <w:bCs/>
                <w:color w:val="000000"/>
                <w:lang w:eastAsia="en-GB"/>
              </w:rPr>
              <w:t>0,26%</w:t>
            </w:r>
          </w:p>
        </w:tc>
      </w:tr>
      <w:tr w:rsidR="00BE2256" w:rsidRPr="00DA63F4" w14:paraId="5B322975" w14:textId="77777777" w:rsidTr="00FF4B1B">
        <w:trPr>
          <w:trHeight w:val="300"/>
        </w:trPr>
        <w:tc>
          <w:tcPr>
            <w:tcW w:w="1332"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B32296F" w14:textId="110BA116" w:rsidR="00BE2256" w:rsidRPr="00DA63F4" w:rsidRDefault="00BE2256" w:rsidP="00D763F8">
            <w:pPr>
              <w:spacing w:line="240" w:lineRule="auto"/>
              <w:jc w:val="center"/>
              <w:rPr>
                <w:rFonts w:ascii="Calibri" w:eastAsia="Times New Roman" w:hAnsi="Calibri" w:cs="Times New Roman"/>
                <w:b/>
                <w:bCs/>
                <w:color w:val="000000"/>
                <w:lang w:eastAsia="en-GB"/>
              </w:rPr>
            </w:pPr>
            <w:r w:rsidRPr="00DA63F4">
              <w:rPr>
                <w:rFonts w:ascii="Calibri" w:eastAsia="Times New Roman" w:hAnsi="Calibri" w:cs="Times New Roman"/>
                <w:b/>
                <w:bCs/>
                <w:color w:val="000000"/>
                <w:lang w:eastAsia="en-GB"/>
              </w:rPr>
              <w:t>Year</w:t>
            </w:r>
          </w:p>
        </w:tc>
        <w:tc>
          <w:tcPr>
            <w:tcW w:w="484" w:type="dxa"/>
            <w:tcBorders>
              <w:top w:val="single" w:sz="8" w:space="0" w:color="auto"/>
              <w:left w:val="nil"/>
              <w:bottom w:val="single" w:sz="8" w:space="0" w:color="auto"/>
              <w:right w:val="single" w:sz="4" w:space="0" w:color="auto"/>
            </w:tcBorders>
            <w:shd w:val="clear" w:color="auto" w:fill="auto"/>
            <w:noWrap/>
            <w:vAlign w:val="bottom"/>
            <w:hideMark/>
          </w:tcPr>
          <w:p w14:paraId="5B322970" w14:textId="65796844" w:rsidR="00BE2256" w:rsidRPr="00DA63F4" w:rsidRDefault="00BE2256" w:rsidP="00D763F8">
            <w:pPr>
              <w:spacing w:line="240" w:lineRule="auto"/>
              <w:jc w:val="center"/>
              <w:rPr>
                <w:rFonts w:ascii="Calibri" w:eastAsia="Times New Roman" w:hAnsi="Calibri" w:cs="Times New Roman"/>
                <w:color w:val="000000"/>
                <w:lang w:eastAsia="en-GB"/>
              </w:rPr>
            </w:pPr>
            <w:r w:rsidRPr="00DA63F4">
              <w:rPr>
                <w:rFonts w:ascii="Calibri" w:eastAsia="Times New Roman" w:hAnsi="Calibri" w:cs="Times New Roman"/>
                <w:color w:val="000000"/>
                <w:lang w:eastAsia="en-GB"/>
              </w:rPr>
              <w:t>Q1</w:t>
            </w:r>
          </w:p>
        </w:tc>
        <w:tc>
          <w:tcPr>
            <w:tcW w:w="484" w:type="dxa"/>
            <w:tcBorders>
              <w:top w:val="single" w:sz="8" w:space="0" w:color="auto"/>
              <w:left w:val="nil"/>
              <w:bottom w:val="single" w:sz="8" w:space="0" w:color="auto"/>
              <w:right w:val="single" w:sz="4" w:space="0" w:color="auto"/>
            </w:tcBorders>
            <w:shd w:val="clear" w:color="auto" w:fill="auto"/>
            <w:noWrap/>
            <w:vAlign w:val="bottom"/>
            <w:hideMark/>
          </w:tcPr>
          <w:p w14:paraId="5B322971" w14:textId="46AC126C" w:rsidR="00BE2256" w:rsidRPr="00DA63F4" w:rsidRDefault="00BE2256" w:rsidP="00D763F8">
            <w:pPr>
              <w:spacing w:line="240" w:lineRule="auto"/>
              <w:jc w:val="center"/>
              <w:rPr>
                <w:rFonts w:ascii="Calibri" w:eastAsia="Times New Roman" w:hAnsi="Calibri" w:cs="Times New Roman"/>
                <w:color w:val="000000"/>
                <w:lang w:eastAsia="en-GB"/>
              </w:rPr>
            </w:pPr>
            <w:r w:rsidRPr="00DA63F4">
              <w:rPr>
                <w:rFonts w:ascii="Calibri" w:eastAsia="Times New Roman" w:hAnsi="Calibri" w:cs="Times New Roman"/>
                <w:color w:val="000000"/>
                <w:lang w:eastAsia="en-GB"/>
              </w:rPr>
              <w:t>Q2</w:t>
            </w:r>
          </w:p>
        </w:tc>
        <w:tc>
          <w:tcPr>
            <w:tcW w:w="2010" w:type="dxa"/>
            <w:tcBorders>
              <w:top w:val="single" w:sz="8" w:space="0" w:color="auto"/>
              <w:left w:val="nil"/>
              <w:bottom w:val="single" w:sz="8" w:space="0" w:color="auto"/>
              <w:right w:val="single" w:sz="4" w:space="0" w:color="auto"/>
            </w:tcBorders>
            <w:shd w:val="clear" w:color="auto" w:fill="auto"/>
            <w:noWrap/>
            <w:vAlign w:val="bottom"/>
            <w:hideMark/>
          </w:tcPr>
          <w:p w14:paraId="5B322972" w14:textId="39F3FEF4" w:rsidR="00BE2256" w:rsidRPr="00DA63F4" w:rsidRDefault="00BE2256" w:rsidP="00D763F8">
            <w:pPr>
              <w:spacing w:line="240" w:lineRule="auto"/>
              <w:jc w:val="center"/>
              <w:rPr>
                <w:rFonts w:ascii="Calibri" w:eastAsia="Times New Roman" w:hAnsi="Calibri" w:cs="Times New Roman"/>
                <w:color w:val="000000"/>
                <w:lang w:eastAsia="en-GB"/>
              </w:rPr>
            </w:pPr>
            <w:r w:rsidRPr="00DA63F4">
              <w:rPr>
                <w:rFonts w:ascii="Calibri" w:eastAsia="Times New Roman" w:hAnsi="Calibri" w:cs="Times New Roman"/>
                <w:color w:val="000000"/>
                <w:lang w:eastAsia="en-GB"/>
              </w:rPr>
              <w:t>Q3</w:t>
            </w:r>
          </w:p>
        </w:tc>
        <w:tc>
          <w:tcPr>
            <w:tcW w:w="2010" w:type="dxa"/>
            <w:tcBorders>
              <w:top w:val="single" w:sz="8" w:space="0" w:color="auto"/>
              <w:left w:val="nil"/>
              <w:bottom w:val="single" w:sz="8" w:space="0" w:color="auto"/>
              <w:right w:val="single" w:sz="4" w:space="0" w:color="auto"/>
            </w:tcBorders>
            <w:shd w:val="clear" w:color="auto" w:fill="auto"/>
            <w:noWrap/>
            <w:vAlign w:val="bottom"/>
            <w:hideMark/>
          </w:tcPr>
          <w:p w14:paraId="5B322973" w14:textId="7424102B" w:rsidR="00BE2256" w:rsidRPr="00DA63F4" w:rsidRDefault="00BE2256" w:rsidP="00D763F8">
            <w:pPr>
              <w:spacing w:line="240" w:lineRule="auto"/>
              <w:jc w:val="center"/>
              <w:rPr>
                <w:rFonts w:ascii="Calibri" w:eastAsia="Times New Roman" w:hAnsi="Calibri" w:cs="Times New Roman"/>
                <w:color w:val="000000"/>
                <w:lang w:eastAsia="en-GB"/>
              </w:rPr>
            </w:pPr>
            <w:r w:rsidRPr="00DA63F4">
              <w:rPr>
                <w:rFonts w:ascii="Calibri" w:eastAsia="Times New Roman" w:hAnsi="Calibri" w:cs="Times New Roman"/>
                <w:color w:val="000000"/>
                <w:lang w:eastAsia="en-GB"/>
              </w:rPr>
              <w:t>Q4</w:t>
            </w:r>
          </w:p>
        </w:tc>
        <w:tc>
          <w:tcPr>
            <w:tcW w:w="2580" w:type="dxa"/>
            <w:tcBorders>
              <w:top w:val="single" w:sz="8" w:space="0" w:color="auto"/>
              <w:left w:val="nil"/>
              <w:bottom w:val="single" w:sz="8" w:space="0" w:color="auto"/>
              <w:right w:val="single" w:sz="8" w:space="0" w:color="auto"/>
            </w:tcBorders>
            <w:shd w:val="clear" w:color="auto" w:fill="auto"/>
            <w:noWrap/>
            <w:vAlign w:val="bottom"/>
            <w:hideMark/>
          </w:tcPr>
          <w:p w14:paraId="5B322974" w14:textId="10C4B433" w:rsidR="00BE2256" w:rsidRPr="00DA63F4" w:rsidRDefault="00BE2256" w:rsidP="00D763F8">
            <w:pPr>
              <w:spacing w:line="240" w:lineRule="auto"/>
              <w:jc w:val="center"/>
              <w:rPr>
                <w:rFonts w:ascii="Calibri" w:eastAsia="Times New Roman" w:hAnsi="Calibri" w:cs="Times New Roman"/>
                <w:b/>
                <w:bCs/>
                <w:color w:val="000000"/>
                <w:lang w:eastAsia="en-GB"/>
              </w:rPr>
            </w:pPr>
            <w:r w:rsidRPr="00DA63F4">
              <w:rPr>
                <w:rFonts w:ascii="Calibri" w:eastAsia="Times New Roman" w:hAnsi="Calibri" w:cs="Times New Roman"/>
                <w:b/>
                <w:bCs/>
                <w:color w:val="000000"/>
                <w:lang w:eastAsia="en-GB"/>
              </w:rPr>
              <w:t>Total</w:t>
            </w:r>
          </w:p>
        </w:tc>
      </w:tr>
      <w:tr w:rsidR="00BE2256" w:rsidRPr="00DA63F4" w14:paraId="5B32297C" w14:textId="77777777" w:rsidTr="00FF4B1B">
        <w:trPr>
          <w:trHeight w:val="300"/>
        </w:trPr>
        <w:tc>
          <w:tcPr>
            <w:tcW w:w="1332" w:type="dxa"/>
            <w:tcBorders>
              <w:top w:val="nil"/>
              <w:left w:val="single" w:sz="8" w:space="0" w:color="auto"/>
              <w:bottom w:val="single" w:sz="4" w:space="0" w:color="auto"/>
              <w:right w:val="nil"/>
            </w:tcBorders>
            <w:shd w:val="clear" w:color="auto" w:fill="auto"/>
            <w:noWrap/>
            <w:vAlign w:val="bottom"/>
            <w:hideMark/>
          </w:tcPr>
          <w:p w14:paraId="5B322976" w14:textId="4E706404"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2019</w:t>
            </w:r>
          </w:p>
        </w:tc>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5B322977" w14:textId="6541CB36" w:rsidR="00BE2256" w:rsidRPr="00DA63F4" w:rsidRDefault="00BE2256" w:rsidP="00D763F8">
            <w:pPr>
              <w:spacing w:line="240" w:lineRule="auto"/>
              <w:jc w:val="center"/>
              <w:rPr>
                <w:rFonts w:ascii="Calibri" w:eastAsia="Times New Roman" w:hAnsi="Calibri" w:cs="Times New Roman"/>
                <w:color w:val="000000"/>
                <w:lang w:eastAsia="en-GB"/>
              </w:rPr>
            </w:pPr>
          </w:p>
        </w:tc>
        <w:tc>
          <w:tcPr>
            <w:tcW w:w="484" w:type="dxa"/>
            <w:tcBorders>
              <w:top w:val="nil"/>
              <w:left w:val="nil"/>
              <w:bottom w:val="single" w:sz="4" w:space="0" w:color="auto"/>
              <w:right w:val="single" w:sz="4" w:space="0" w:color="auto"/>
            </w:tcBorders>
            <w:shd w:val="clear" w:color="auto" w:fill="auto"/>
            <w:noWrap/>
            <w:vAlign w:val="bottom"/>
            <w:hideMark/>
          </w:tcPr>
          <w:p w14:paraId="5B322978" w14:textId="281DC9C9" w:rsidR="00BE2256" w:rsidRPr="00DA63F4" w:rsidRDefault="00BE2256" w:rsidP="00D763F8">
            <w:pPr>
              <w:spacing w:line="240" w:lineRule="auto"/>
              <w:jc w:val="center"/>
              <w:rPr>
                <w:rFonts w:ascii="Calibri" w:eastAsia="Times New Roman" w:hAnsi="Calibri" w:cs="Times New Roman"/>
                <w:color w:val="000000"/>
                <w:lang w:eastAsia="en-GB"/>
              </w:rPr>
            </w:pPr>
          </w:p>
        </w:tc>
        <w:tc>
          <w:tcPr>
            <w:tcW w:w="2010" w:type="dxa"/>
            <w:tcBorders>
              <w:top w:val="nil"/>
              <w:left w:val="nil"/>
              <w:bottom w:val="single" w:sz="4" w:space="0" w:color="auto"/>
              <w:right w:val="single" w:sz="4" w:space="0" w:color="auto"/>
            </w:tcBorders>
            <w:shd w:val="clear" w:color="auto" w:fill="auto"/>
            <w:noWrap/>
            <w:vAlign w:val="bottom"/>
            <w:hideMark/>
          </w:tcPr>
          <w:p w14:paraId="5B322979" w14:textId="7692D916"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0,295</w:t>
            </w:r>
            <w:r w:rsidRPr="00D763F8">
              <w:rPr>
                <w:rFonts w:ascii="Calibri" w:eastAsia="Times New Roman" w:hAnsi="Calibri" w:cs="Times New Roman"/>
                <w:color w:val="000000"/>
                <w:lang w:eastAsia="en-GB"/>
              </w:rPr>
              <w:t>326</w:t>
            </w:r>
          </w:p>
        </w:tc>
        <w:tc>
          <w:tcPr>
            <w:tcW w:w="2010" w:type="dxa"/>
            <w:tcBorders>
              <w:top w:val="nil"/>
              <w:left w:val="nil"/>
              <w:bottom w:val="single" w:sz="4" w:space="0" w:color="auto"/>
              <w:right w:val="single" w:sz="4" w:space="0" w:color="auto"/>
            </w:tcBorders>
            <w:shd w:val="clear" w:color="auto" w:fill="auto"/>
            <w:noWrap/>
            <w:vAlign w:val="bottom"/>
            <w:hideMark/>
          </w:tcPr>
          <w:p w14:paraId="5B32297A" w14:textId="19D2DE77"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0,295</w:t>
            </w:r>
            <w:r w:rsidRPr="00D763F8">
              <w:rPr>
                <w:rFonts w:ascii="Calibri" w:eastAsia="Times New Roman" w:hAnsi="Calibri" w:cs="Times New Roman"/>
                <w:color w:val="000000"/>
                <w:lang w:eastAsia="en-GB"/>
              </w:rPr>
              <w:t>326</w:t>
            </w:r>
          </w:p>
        </w:tc>
        <w:tc>
          <w:tcPr>
            <w:tcW w:w="2580" w:type="dxa"/>
            <w:tcBorders>
              <w:top w:val="nil"/>
              <w:left w:val="nil"/>
              <w:bottom w:val="single" w:sz="4" w:space="0" w:color="auto"/>
              <w:right w:val="single" w:sz="8" w:space="0" w:color="auto"/>
            </w:tcBorders>
            <w:shd w:val="clear" w:color="auto" w:fill="auto"/>
            <w:noWrap/>
            <w:vAlign w:val="bottom"/>
            <w:hideMark/>
          </w:tcPr>
          <w:p w14:paraId="5B32297B" w14:textId="4C8F67FE"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0,</w:t>
            </w:r>
            <w:r>
              <w:rPr>
                <w:rFonts w:ascii="Calibri" w:eastAsia="Times New Roman" w:hAnsi="Calibri" w:cs="Times New Roman"/>
                <w:b/>
                <w:bCs/>
                <w:color w:val="000000"/>
                <w:lang w:val="lt-LT" w:eastAsia="en-GB"/>
              </w:rPr>
              <w:t>590</w:t>
            </w:r>
            <w:r w:rsidRPr="00D763F8">
              <w:rPr>
                <w:rFonts w:ascii="Calibri" w:eastAsia="Times New Roman" w:hAnsi="Calibri" w:cs="Times New Roman"/>
                <w:b/>
                <w:bCs/>
                <w:color w:val="000000"/>
                <w:lang w:val="lt-LT" w:eastAsia="en-GB"/>
              </w:rPr>
              <w:t>652</w:t>
            </w:r>
          </w:p>
        </w:tc>
      </w:tr>
      <w:tr w:rsidR="00BE2256" w:rsidRPr="00DA63F4" w14:paraId="5B322983" w14:textId="77777777" w:rsidTr="00FF4B1B">
        <w:trPr>
          <w:trHeight w:val="288"/>
        </w:trPr>
        <w:tc>
          <w:tcPr>
            <w:tcW w:w="1332" w:type="dxa"/>
            <w:tcBorders>
              <w:top w:val="nil"/>
              <w:left w:val="single" w:sz="8" w:space="0" w:color="auto"/>
              <w:bottom w:val="single" w:sz="4" w:space="0" w:color="auto"/>
              <w:right w:val="nil"/>
            </w:tcBorders>
            <w:shd w:val="clear" w:color="auto" w:fill="auto"/>
            <w:noWrap/>
            <w:vAlign w:val="bottom"/>
            <w:hideMark/>
          </w:tcPr>
          <w:p w14:paraId="5B32297D" w14:textId="12278DA7"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2020</w:t>
            </w:r>
          </w:p>
        </w:tc>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5B32297E" w14:textId="49AD48C8" w:rsidR="00BE2256" w:rsidRPr="00DA63F4" w:rsidRDefault="00BE2256" w:rsidP="00D763F8">
            <w:pPr>
              <w:spacing w:line="240" w:lineRule="auto"/>
              <w:jc w:val="center"/>
              <w:rPr>
                <w:rFonts w:ascii="Calibri" w:eastAsia="Times New Roman" w:hAnsi="Calibri" w:cs="Times New Roman"/>
                <w:color w:val="000000"/>
                <w:lang w:eastAsia="en-GB"/>
              </w:rPr>
            </w:pPr>
          </w:p>
        </w:tc>
        <w:tc>
          <w:tcPr>
            <w:tcW w:w="484" w:type="dxa"/>
            <w:tcBorders>
              <w:top w:val="nil"/>
              <w:left w:val="nil"/>
              <w:bottom w:val="single" w:sz="4" w:space="0" w:color="auto"/>
              <w:right w:val="single" w:sz="4" w:space="0" w:color="auto"/>
            </w:tcBorders>
            <w:shd w:val="clear" w:color="auto" w:fill="auto"/>
            <w:noWrap/>
            <w:vAlign w:val="bottom"/>
            <w:hideMark/>
          </w:tcPr>
          <w:p w14:paraId="5B32297F" w14:textId="17CDFA6C" w:rsidR="00BE2256" w:rsidRPr="00DA63F4" w:rsidRDefault="00BE2256" w:rsidP="00D763F8">
            <w:pPr>
              <w:spacing w:line="240" w:lineRule="auto"/>
              <w:jc w:val="center"/>
              <w:rPr>
                <w:rFonts w:ascii="Calibri" w:eastAsia="Times New Roman" w:hAnsi="Calibri" w:cs="Times New Roman"/>
                <w:color w:val="000000"/>
                <w:lang w:eastAsia="en-GB"/>
              </w:rPr>
            </w:pPr>
          </w:p>
        </w:tc>
        <w:tc>
          <w:tcPr>
            <w:tcW w:w="2010" w:type="dxa"/>
            <w:tcBorders>
              <w:top w:val="nil"/>
              <w:left w:val="nil"/>
              <w:bottom w:val="single" w:sz="4" w:space="0" w:color="auto"/>
              <w:right w:val="single" w:sz="4" w:space="0" w:color="auto"/>
            </w:tcBorders>
            <w:shd w:val="clear" w:color="auto" w:fill="auto"/>
            <w:noWrap/>
            <w:vAlign w:val="bottom"/>
            <w:hideMark/>
          </w:tcPr>
          <w:p w14:paraId="5B322980" w14:textId="34A4ACDB"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0,383806</w:t>
            </w:r>
          </w:p>
        </w:tc>
        <w:tc>
          <w:tcPr>
            <w:tcW w:w="2010" w:type="dxa"/>
            <w:tcBorders>
              <w:top w:val="nil"/>
              <w:left w:val="nil"/>
              <w:bottom w:val="single" w:sz="4" w:space="0" w:color="auto"/>
              <w:right w:val="single" w:sz="4" w:space="0" w:color="auto"/>
            </w:tcBorders>
            <w:shd w:val="clear" w:color="auto" w:fill="auto"/>
            <w:noWrap/>
            <w:vAlign w:val="bottom"/>
            <w:hideMark/>
          </w:tcPr>
          <w:p w14:paraId="5B322981" w14:textId="540CCBF0" w:rsidR="00BE2256" w:rsidRPr="00DA63F4" w:rsidRDefault="00D763F8" w:rsidP="00D763F8">
            <w:pPr>
              <w:spacing w:line="240" w:lineRule="auto"/>
              <w:jc w:val="center"/>
              <w:rPr>
                <w:rFonts w:ascii="Calibri" w:eastAsia="Times New Roman" w:hAnsi="Calibri" w:cs="Times New Roman"/>
                <w:color w:val="000000"/>
                <w:lang w:eastAsia="en-GB"/>
              </w:rPr>
            </w:pPr>
            <w:r w:rsidRPr="00D763F8">
              <w:rPr>
                <w:rFonts w:ascii="Calibri" w:eastAsia="Times New Roman" w:hAnsi="Calibri" w:cs="Times New Roman"/>
                <w:color w:val="000000"/>
                <w:lang w:eastAsia="en-GB"/>
              </w:rPr>
              <w:t>0,383</w:t>
            </w:r>
            <w:r>
              <w:rPr>
                <w:rFonts w:ascii="Calibri" w:eastAsia="Times New Roman" w:hAnsi="Calibri" w:cs="Times New Roman"/>
                <w:color w:val="000000"/>
                <w:lang w:eastAsia="en-GB"/>
              </w:rPr>
              <w:t>802</w:t>
            </w:r>
          </w:p>
        </w:tc>
        <w:tc>
          <w:tcPr>
            <w:tcW w:w="2580" w:type="dxa"/>
            <w:tcBorders>
              <w:top w:val="nil"/>
              <w:left w:val="nil"/>
              <w:bottom w:val="single" w:sz="4" w:space="0" w:color="auto"/>
              <w:right w:val="single" w:sz="8" w:space="0" w:color="auto"/>
            </w:tcBorders>
            <w:shd w:val="clear" w:color="auto" w:fill="auto"/>
            <w:noWrap/>
            <w:vAlign w:val="bottom"/>
            <w:hideMark/>
          </w:tcPr>
          <w:p w14:paraId="5B322982" w14:textId="34956B4B"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0,</w:t>
            </w:r>
            <w:r>
              <w:rPr>
                <w:rFonts w:ascii="Calibri" w:eastAsia="Times New Roman" w:hAnsi="Calibri" w:cs="Times New Roman"/>
                <w:b/>
                <w:bCs/>
                <w:color w:val="000000"/>
                <w:lang w:val="lt-LT" w:eastAsia="en-GB"/>
              </w:rPr>
              <w:t>767</w:t>
            </w:r>
            <w:r w:rsidRPr="00D763F8">
              <w:rPr>
                <w:rFonts w:ascii="Calibri" w:eastAsia="Times New Roman" w:hAnsi="Calibri" w:cs="Times New Roman"/>
                <w:b/>
                <w:bCs/>
                <w:color w:val="000000"/>
                <w:lang w:val="lt-LT" w:eastAsia="en-GB"/>
              </w:rPr>
              <w:t>608</w:t>
            </w:r>
          </w:p>
        </w:tc>
      </w:tr>
      <w:tr w:rsidR="00BE2256" w:rsidRPr="00DA63F4" w14:paraId="5B32298A" w14:textId="77777777" w:rsidTr="00D763F8">
        <w:trPr>
          <w:trHeight w:val="288"/>
        </w:trPr>
        <w:tc>
          <w:tcPr>
            <w:tcW w:w="1332" w:type="dxa"/>
            <w:tcBorders>
              <w:top w:val="nil"/>
              <w:left w:val="single" w:sz="8" w:space="0" w:color="auto"/>
              <w:bottom w:val="single" w:sz="4" w:space="0" w:color="auto"/>
              <w:right w:val="nil"/>
            </w:tcBorders>
            <w:shd w:val="clear" w:color="auto" w:fill="auto"/>
            <w:noWrap/>
            <w:vAlign w:val="bottom"/>
            <w:hideMark/>
          </w:tcPr>
          <w:p w14:paraId="5B322984" w14:textId="1D28B04D"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2021</w:t>
            </w:r>
          </w:p>
        </w:tc>
        <w:tc>
          <w:tcPr>
            <w:tcW w:w="484" w:type="dxa"/>
            <w:tcBorders>
              <w:top w:val="nil"/>
              <w:left w:val="single" w:sz="4" w:space="0" w:color="auto"/>
              <w:bottom w:val="single" w:sz="4" w:space="0" w:color="auto"/>
              <w:right w:val="single" w:sz="4" w:space="0" w:color="auto"/>
            </w:tcBorders>
            <w:shd w:val="clear" w:color="auto" w:fill="auto"/>
            <w:noWrap/>
            <w:vAlign w:val="bottom"/>
            <w:hideMark/>
          </w:tcPr>
          <w:p w14:paraId="5B322985" w14:textId="09F893B4" w:rsidR="00BE2256" w:rsidRPr="00DA63F4" w:rsidRDefault="00BE2256" w:rsidP="00D763F8">
            <w:pPr>
              <w:spacing w:line="240" w:lineRule="auto"/>
              <w:jc w:val="center"/>
              <w:rPr>
                <w:rFonts w:ascii="Calibri" w:eastAsia="Times New Roman" w:hAnsi="Calibri" w:cs="Times New Roman"/>
                <w:color w:val="000000"/>
                <w:lang w:eastAsia="en-GB"/>
              </w:rPr>
            </w:pPr>
          </w:p>
        </w:tc>
        <w:tc>
          <w:tcPr>
            <w:tcW w:w="484" w:type="dxa"/>
            <w:tcBorders>
              <w:top w:val="nil"/>
              <w:left w:val="nil"/>
              <w:bottom w:val="single" w:sz="4" w:space="0" w:color="auto"/>
              <w:right w:val="single" w:sz="4" w:space="0" w:color="auto"/>
            </w:tcBorders>
            <w:shd w:val="clear" w:color="auto" w:fill="auto"/>
            <w:noWrap/>
            <w:vAlign w:val="bottom"/>
            <w:hideMark/>
          </w:tcPr>
          <w:p w14:paraId="5B322986" w14:textId="204707E1" w:rsidR="00BE2256" w:rsidRPr="00DA63F4" w:rsidRDefault="00BE2256" w:rsidP="00D763F8">
            <w:pPr>
              <w:spacing w:line="240" w:lineRule="auto"/>
              <w:jc w:val="center"/>
              <w:rPr>
                <w:rFonts w:ascii="Calibri" w:eastAsia="Times New Roman" w:hAnsi="Calibri" w:cs="Times New Roman"/>
                <w:color w:val="000000"/>
                <w:lang w:eastAsia="en-GB"/>
              </w:rPr>
            </w:pPr>
          </w:p>
        </w:tc>
        <w:tc>
          <w:tcPr>
            <w:tcW w:w="2010" w:type="dxa"/>
            <w:tcBorders>
              <w:top w:val="nil"/>
              <w:left w:val="nil"/>
              <w:bottom w:val="single" w:sz="4" w:space="0" w:color="auto"/>
              <w:right w:val="single" w:sz="4" w:space="0" w:color="auto"/>
            </w:tcBorders>
            <w:shd w:val="clear" w:color="auto" w:fill="auto"/>
            <w:noWrap/>
            <w:vAlign w:val="bottom"/>
            <w:hideMark/>
          </w:tcPr>
          <w:p w14:paraId="5B322987" w14:textId="4762B19F"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w:t>
            </w:r>
            <w:r w:rsidRPr="00D763F8">
              <w:rPr>
                <w:rFonts w:ascii="Calibri" w:eastAsia="Times New Roman" w:hAnsi="Calibri" w:cs="Times New Roman"/>
                <w:color w:val="000000"/>
                <w:lang w:eastAsia="en-GB"/>
              </w:rPr>
              <w:t>227838</w:t>
            </w:r>
          </w:p>
        </w:tc>
        <w:tc>
          <w:tcPr>
            <w:tcW w:w="2010" w:type="dxa"/>
            <w:tcBorders>
              <w:top w:val="nil"/>
              <w:left w:val="nil"/>
              <w:bottom w:val="single" w:sz="4" w:space="0" w:color="auto"/>
              <w:right w:val="single" w:sz="4" w:space="0" w:color="auto"/>
            </w:tcBorders>
            <w:shd w:val="clear" w:color="auto" w:fill="auto"/>
            <w:noWrap/>
            <w:vAlign w:val="bottom"/>
            <w:hideMark/>
          </w:tcPr>
          <w:p w14:paraId="5B322988" w14:textId="70EB28AC" w:rsidR="00BE2256" w:rsidRPr="00DA63F4" w:rsidRDefault="00D763F8" w:rsidP="00D763F8">
            <w:pPr>
              <w:spacing w:line="240" w:lineRule="auto"/>
              <w:jc w:val="center"/>
              <w:rPr>
                <w:rFonts w:ascii="Calibri" w:eastAsia="Times New Roman" w:hAnsi="Calibri" w:cs="Times New Roman"/>
                <w:color w:val="000000"/>
                <w:lang w:eastAsia="en-GB"/>
              </w:rPr>
            </w:pPr>
            <w:r w:rsidRPr="00D763F8">
              <w:rPr>
                <w:rFonts w:ascii="Calibri" w:eastAsia="Times New Roman" w:hAnsi="Calibri" w:cs="Times New Roman"/>
                <w:color w:val="000000"/>
                <w:lang w:eastAsia="en-GB"/>
              </w:rPr>
              <w:t>0,227838</w:t>
            </w:r>
          </w:p>
        </w:tc>
        <w:tc>
          <w:tcPr>
            <w:tcW w:w="2580" w:type="dxa"/>
            <w:tcBorders>
              <w:top w:val="nil"/>
              <w:left w:val="nil"/>
              <w:bottom w:val="single" w:sz="4" w:space="0" w:color="auto"/>
              <w:right w:val="single" w:sz="8" w:space="0" w:color="auto"/>
            </w:tcBorders>
            <w:shd w:val="clear" w:color="auto" w:fill="auto"/>
            <w:noWrap/>
            <w:vAlign w:val="bottom"/>
            <w:hideMark/>
          </w:tcPr>
          <w:p w14:paraId="5B322989" w14:textId="6341E4ED"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0,</w:t>
            </w:r>
            <w:r>
              <w:rPr>
                <w:rFonts w:ascii="Calibri" w:eastAsia="Times New Roman" w:hAnsi="Calibri" w:cs="Times New Roman"/>
                <w:b/>
                <w:bCs/>
                <w:color w:val="000000"/>
                <w:lang w:val="lt-LT" w:eastAsia="en-GB"/>
              </w:rPr>
              <w:t>455</w:t>
            </w:r>
            <w:r w:rsidRPr="00D763F8">
              <w:rPr>
                <w:rFonts w:ascii="Calibri" w:eastAsia="Times New Roman" w:hAnsi="Calibri" w:cs="Times New Roman"/>
                <w:b/>
                <w:bCs/>
                <w:color w:val="000000"/>
                <w:lang w:val="lt-LT" w:eastAsia="en-GB"/>
              </w:rPr>
              <w:t>676</w:t>
            </w:r>
          </w:p>
        </w:tc>
      </w:tr>
      <w:tr w:rsidR="00BE2256" w:rsidRPr="00DA63F4" w14:paraId="5B322991" w14:textId="77777777" w:rsidTr="00D763F8">
        <w:trPr>
          <w:trHeight w:val="300"/>
        </w:trPr>
        <w:tc>
          <w:tcPr>
            <w:tcW w:w="1332" w:type="dxa"/>
            <w:tcBorders>
              <w:top w:val="single" w:sz="4" w:space="0" w:color="auto"/>
              <w:left w:val="single" w:sz="4" w:space="0" w:color="auto"/>
              <w:bottom w:val="single" w:sz="4" w:space="0" w:color="auto"/>
              <w:right w:val="nil"/>
            </w:tcBorders>
            <w:shd w:val="clear" w:color="auto" w:fill="auto"/>
            <w:noWrap/>
            <w:vAlign w:val="bottom"/>
            <w:hideMark/>
          </w:tcPr>
          <w:p w14:paraId="5B32298B" w14:textId="3D08526B"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2022</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2298C" w14:textId="60061203" w:rsidR="00BE2256" w:rsidRPr="00DA63F4" w:rsidRDefault="00BE2256" w:rsidP="00D763F8">
            <w:pPr>
              <w:spacing w:line="240" w:lineRule="auto"/>
              <w:jc w:val="center"/>
              <w:rPr>
                <w:rFonts w:ascii="Calibri" w:eastAsia="Times New Roman" w:hAnsi="Calibri" w:cs="Times New Roman"/>
                <w:color w:val="000000"/>
                <w:lang w:eastAsia="en-GB"/>
              </w:rPr>
            </w:pPr>
          </w:p>
        </w:tc>
        <w:tc>
          <w:tcPr>
            <w:tcW w:w="484" w:type="dxa"/>
            <w:tcBorders>
              <w:top w:val="single" w:sz="4" w:space="0" w:color="auto"/>
              <w:left w:val="nil"/>
              <w:bottom w:val="single" w:sz="4" w:space="0" w:color="auto"/>
              <w:right w:val="single" w:sz="4" w:space="0" w:color="auto"/>
            </w:tcBorders>
            <w:shd w:val="clear" w:color="auto" w:fill="auto"/>
            <w:noWrap/>
            <w:vAlign w:val="bottom"/>
            <w:hideMark/>
          </w:tcPr>
          <w:p w14:paraId="5B32298D" w14:textId="63EDDDAC" w:rsidR="00BE2256" w:rsidRPr="00DA63F4" w:rsidRDefault="00BE2256" w:rsidP="00D763F8">
            <w:pPr>
              <w:spacing w:line="240" w:lineRule="auto"/>
              <w:jc w:val="center"/>
              <w:rPr>
                <w:rFonts w:ascii="Calibri" w:eastAsia="Times New Roman" w:hAnsi="Calibri" w:cs="Times New Roman"/>
                <w:color w:val="000000"/>
                <w:lang w:eastAsia="en-GB"/>
              </w:rPr>
            </w:pP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14:paraId="5B32298E" w14:textId="4B81C842"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0,224</w:t>
            </w:r>
            <w:r w:rsidRPr="00D763F8">
              <w:rPr>
                <w:rFonts w:ascii="Calibri" w:eastAsia="Times New Roman" w:hAnsi="Calibri" w:cs="Times New Roman"/>
                <w:color w:val="000000"/>
                <w:lang w:eastAsia="en-GB"/>
              </w:rPr>
              <w:t>372</w:t>
            </w:r>
          </w:p>
        </w:tc>
        <w:tc>
          <w:tcPr>
            <w:tcW w:w="2010" w:type="dxa"/>
            <w:tcBorders>
              <w:top w:val="single" w:sz="4" w:space="0" w:color="auto"/>
              <w:left w:val="nil"/>
              <w:bottom w:val="single" w:sz="4" w:space="0" w:color="auto"/>
              <w:right w:val="single" w:sz="4" w:space="0" w:color="auto"/>
            </w:tcBorders>
            <w:shd w:val="clear" w:color="auto" w:fill="auto"/>
            <w:noWrap/>
            <w:vAlign w:val="bottom"/>
            <w:hideMark/>
          </w:tcPr>
          <w:p w14:paraId="5B32298F" w14:textId="20F998E7" w:rsidR="00BE2256"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0,224</w:t>
            </w:r>
            <w:r w:rsidRPr="00D763F8">
              <w:rPr>
                <w:rFonts w:ascii="Calibri" w:eastAsia="Times New Roman" w:hAnsi="Calibri" w:cs="Times New Roman"/>
                <w:color w:val="000000"/>
                <w:lang w:eastAsia="en-GB"/>
              </w:rPr>
              <w:t>372</w:t>
            </w:r>
          </w:p>
        </w:tc>
        <w:tc>
          <w:tcPr>
            <w:tcW w:w="2580" w:type="dxa"/>
            <w:tcBorders>
              <w:top w:val="single" w:sz="4" w:space="0" w:color="auto"/>
              <w:left w:val="nil"/>
              <w:bottom w:val="single" w:sz="4" w:space="0" w:color="auto"/>
              <w:right w:val="single" w:sz="4" w:space="0" w:color="auto"/>
            </w:tcBorders>
            <w:shd w:val="clear" w:color="auto" w:fill="auto"/>
            <w:noWrap/>
            <w:vAlign w:val="bottom"/>
            <w:hideMark/>
          </w:tcPr>
          <w:p w14:paraId="5B322990" w14:textId="4D4AE065" w:rsidR="00BE2256" w:rsidRPr="00D763F8" w:rsidRDefault="00D763F8" w:rsidP="00D763F8">
            <w:pPr>
              <w:spacing w:line="240" w:lineRule="auto"/>
              <w:jc w:val="center"/>
              <w:rPr>
                <w:rFonts w:asciiTheme="minorHAnsi" w:eastAsia="Times New Roman" w:hAnsiTheme="minorHAnsi" w:cstheme="minorHAnsi"/>
                <w:b/>
                <w:bCs/>
                <w:color w:val="000000"/>
                <w:lang w:eastAsia="en-GB"/>
              </w:rPr>
            </w:pPr>
            <w:r w:rsidRPr="00D763F8">
              <w:rPr>
                <w:rFonts w:asciiTheme="minorHAnsi" w:hAnsiTheme="minorHAnsi" w:cstheme="minorHAnsi"/>
                <w:b/>
                <w:szCs w:val="24"/>
                <w:lang w:val="lt-LT"/>
              </w:rPr>
              <w:t>0,448744</w:t>
            </w:r>
          </w:p>
        </w:tc>
      </w:tr>
      <w:tr w:rsidR="00D763F8" w:rsidRPr="00DA63F4" w14:paraId="44AFA2BC" w14:textId="77777777" w:rsidTr="00D763F8">
        <w:trPr>
          <w:trHeight w:val="300"/>
        </w:trPr>
        <w:tc>
          <w:tcPr>
            <w:tcW w:w="1332" w:type="dxa"/>
            <w:tcBorders>
              <w:top w:val="single" w:sz="4" w:space="0" w:color="auto"/>
              <w:left w:val="single" w:sz="4" w:space="0" w:color="auto"/>
              <w:bottom w:val="single" w:sz="4" w:space="0" w:color="auto"/>
              <w:right w:val="nil"/>
            </w:tcBorders>
            <w:shd w:val="clear" w:color="auto" w:fill="auto"/>
            <w:noWrap/>
            <w:vAlign w:val="bottom"/>
          </w:tcPr>
          <w:p w14:paraId="510B7304" w14:textId="3DB8BC01" w:rsidR="00D763F8"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2023</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484BAD" w14:textId="77777777" w:rsidR="00D763F8" w:rsidRPr="00DA63F4" w:rsidRDefault="00D763F8" w:rsidP="00D763F8">
            <w:pPr>
              <w:spacing w:line="240" w:lineRule="auto"/>
              <w:jc w:val="center"/>
              <w:rPr>
                <w:rFonts w:ascii="Calibri" w:eastAsia="Times New Roman" w:hAnsi="Calibri" w:cs="Times New Roman"/>
                <w:color w:val="000000"/>
                <w:lang w:eastAsia="en-GB"/>
              </w:rPr>
            </w:pPr>
          </w:p>
        </w:tc>
        <w:tc>
          <w:tcPr>
            <w:tcW w:w="484" w:type="dxa"/>
            <w:tcBorders>
              <w:top w:val="single" w:sz="4" w:space="0" w:color="auto"/>
              <w:left w:val="nil"/>
              <w:bottom w:val="single" w:sz="4" w:space="0" w:color="auto"/>
              <w:right w:val="single" w:sz="4" w:space="0" w:color="auto"/>
            </w:tcBorders>
            <w:shd w:val="clear" w:color="auto" w:fill="auto"/>
            <w:noWrap/>
            <w:vAlign w:val="bottom"/>
          </w:tcPr>
          <w:p w14:paraId="538C02EA" w14:textId="77777777" w:rsidR="00D763F8" w:rsidRPr="00DA63F4" w:rsidRDefault="00D763F8" w:rsidP="00D763F8">
            <w:pPr>
              <w:spacing w:line="240" w:lineRule="auto"/>
              <w:jc w:val="center"/>
              <w:rPr>
                <w:rFonts w:ascii="Calibri" w:eastAsia="Times New Roman" w:hAnsi="Calibri" w:cs="Times New Roman"/>
                <w:color w:val="000000"/>
                <w:lang w:eastAsia="en-GB"/>
              </w:rPr>
            </w:pPr>
          </w:p>
        </w:tc>
        <w:tc>
          <w:tcPr>
            <w:tcW w:w="2010" w:type="dxa"/>
            <w:tcBorders>
              <w:top w:val="single" w:sz="4" w:space="0" w:color="auto"/>
              <w:left w:val="nil"/>
              <w:bottom w:val="single" w:sz="4" w:space="0" w:color="auto"/>
              <w:right w:val="single" w:sz="4" w:space="0" w:color="auto"/>
            </w:tcBorders>
            <w:shd w:val="clear" w:color="auto" w:fill="auto"/>
            <w:noWrap/>
            <w:vAlign w:val="bottom"/>
          </w:tcPr>
          <w:p w14:paraId="3D58A765" w14:textId="28AA6F36" w:rsidR="00D763F8" w:rsidRPr="00DA63F4" w:rsidRDefault="00D763F8" w:rsidP="00D763F8">
            <w:pPr>
              <w:spacing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0,176</w:t>
            </w:r>
            <w:r w:rsidRPr="00D763F8">
              <w:rPr>
                <w:rFonts w:ascii="Calibri" w:eastAsia="Times New Roman" w:hAnsi="Calibri" w:cs="Times New Roman"/>
                <w:color w:val="000000"/>
                <w:lang w:eastAsia="en-GB"/>
              </w:rPr>
              <w:t>568</w:t>
            </w:r>
          </w:p>
        </w:tc>
        <w:tc>
          <w:tcPr>
            <w:tcW w:w="2010" w:type="dxa"/>
            <w:tcBorders>
              <w:top w:val="single" w:sz="4" w:space="0" w:color="auto"/>
              <w:left w:val="nil"/>
              <w:bottom w:val="single" w:sz="4" w:space="0" w:color="auto"/>
              <w:right w:val="single" w:sz="4" w:space="0" w:color="auto"/>
            </w:tcBorders>
            <w:shd w:val="clear" w:color="auto" w:fill="auto"/>
            <w:noWrap/>
            <w:vAlign w:val="bottom"/>
          </w:tcPr>
          <w:p w14:paraId="0D1AA61C" w14:textId="1F9CFF43" w:rsidR="00D763F8" w:rsidRPr="00DA63F4" w:rsidRDefault="00D763F8" w:rsidP="00D763F8">
            <w:pPr>
              <w:spacing w:line="240" w:lineRule="auto"/>
              <w:jc w:val="center"/>
              <w:rPr>
                <w:rFonts w:ascii="Calibri" w:eastAsia="Times New Roman" w:hAnsi="Calibri" w:cs="Times New Roman"/>
                <w:color w:val="000000"/>
                <w:lang w:eastAsia="en-GB"/>
              </w:rPr>
            </w:pPr>
            <w:r w:rsidRPr="00D763F8">
              <w:rPr>
                <w:rFonts w:ascii="Calibri" w:eastAsia="Times New Roman" w:hAnsi="Calibri" w:cs="Times New Roman"/>
                <w:color w:val="000000"/>
                <w:lang w:eastAsia="en-GB"/>
              </w:rPr>
              <w:t>0,176568</w:t>
            </w:r>
          </w:p>
        </w:tc>
        <w:tc>
          <w:tcPr>
            <w:tcW w:w="2580" w:type="dxa"/>
            <w:tcBorders>
              <w:top w:val="single" w:sz="4" w:space="0" w:color="auto"/>
              <w:left w:val="nil"/>
              <w:bottom w:val="single" w:sz="4" w:space="0" w:color="auto"/>
              <w:right w:val="single" w:sz="4" w:space="0" w:color="auto"/>
            </w:tcBorders>
            <w:shd w:val="clear" w:color="auto" w:fill="auto"/>
            <w:noWrap/>
            <w:vAlign w:val="bottom"/>
          </w:tcPr>
          <w:p w14:paraId="52634089" w14:textId="22D2689A" w:rsidR="00D763F8"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val="lt-LT" w:eastAsia="en-GB"/>
              </w:rPr>
              <w:t>0,353</w:t>
            </w:r>
            <w:r w:rsidRPr="00D763F8">
              <w:rPr>
                <w:rFonts w:ascii="Calibri" w:eastAsia="Times New Roman" w:hAnsi="Calibri" w:cs="Times New Roman"/>
                <w:b/>
                <w:bCs/>
                <w:color w:val="000000"/>
                <w:lang w:val="lt-LT" w:eastAsia="en-GB"/>
              </w:rPr>
              <w:t>136</w:t>
            </w:r>
          </w:p>
        </w:tc>
      </w:tr>
      <w:tr w:rsidR="00BE2256" w:rsidRPr="00DA63F4" w14:paraId="5B322998" w14:textId="77777777" w:rsidTr="00D763F8">
        <w:trPr>
          <w:trHeight w:val="300"/>
        </w:trPr>
        <w:tc>
          <w:tcPr>
            <w:tcW w:w="1332" w:type="dxa"/>
            <w:tcBorders>
              <w:top w:val="single" w:sz="4" w:space="0" w:color="auto"/>
              <w:left w:val="single" w:sz="8" w:space="0" w:color="auto"/>
              <w:bottom w:val="single" w:sz="8" w:space="0" w:color="auto"/>
              <w:right w:val="nil"/>
            </w:tcBorders>
            <w:shd w:val="clear" w:color="auto" w:fill="auto"/>
            <w:noWrap/>
            <w:vAlign w:val="bottom"/>
            <w:hideMark/>
          </w:tcPr>
          <w:p w14:paraId="5B322992" w14:textId="77777777" w:rsidR="00BE2256" w:rsidRPr="00DA63F4" w:rsidRDefault="00BE2256" w:rsidP="00D763F8">
            <w:pPr>
              <w:spacing w:line="240" w:lineRule="auto"/>
              <w:jc w:val="center"/>
              <w:rPr>
                <w:rFonts w:ascii="Calibri" w:eastAsia="Times New Roman" w:hAnsi="Calibri" w:cs="Times New Roman"/>
                <w:b/>
                <w:bCs/>
                <w:color w:val="000000"/>
                <w:lang w:eastAsia="en-GB"/>
              </w:rPr>
            </w:pPr>
            <w:r w:rsidRPr="00DA63F4">
              <w:rPr>
                <w:rFonts w:ascii="Calibri" w:eastAsia="Times New Roman" w:hAnsi="Calibri" w:cs="Times New Roman"/>
                <w:b/>
                <w:bCs/>
                <w:color w:val="000000"/>
                <w:lang w:eastAsia="en-GB"/>
              </w:rPr>
              <w:t>Total</w:t>
            </w:r>
          </w:p>
        </w:tc>
        <w:tc>
          <w:tcPr>
            <w:tcW w:w="484"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B322993" w14:textId="10BA9080" w:rsidR="00BE2256" w:rsidRPr="00DA63F4" w:rsidRDefault="00BE2256" w:rsidP="00D763F8">
            <w:pPr>
              <w:spacing w:line="240" w:lineRule="auto"/>
              <w:jc w:val="center"/>
              <w:rPr>
                <w:rFonts w:ascii="Calibri" w:eastAsia="Times New Roman" w:hAnsi="Calibri" w:cs="Times New Roman"/>
                <w:b/>
                <w:bCs/>
                <w:color w:val="000000"/>
                <w:lang w:eastAsia="en-GB"/>
              </w:rPr>
            </w:pPr>
          </w:p>
        </w:tc>
        <w:tc>
          <w:tcPr>
            <w:tcW w:w="484" w:type="dxa"/>
            <w:tcBorders>
              <w:top w:val="single" w:sz="4" w:space="0" w:color="auto"/>
              <w:left w:val="nil"/>
              <w:bottom w:val="single" w:sz="8" w:space="0" w:color="auto"/>
              <w:right w:val="single" w:sz="4" w:space="0" w:color="auto"/>
            </w:tcBorders>
            <w:shd w:val="clear" w:color="auto" w:fill="auto"/>
            <w:noWrap/>
            <w:vAlign w:val="bottom"/>
            <w:hideMark/>
          </w:tcPr>
          <w:p w14:paraId="5B322994" w14:textId="60464036" w:rsidR="00BE2256" w:rsidRPr="00DA63F4" w:rsidRDefault="00BE2256" w:rsidP="00D763F8">
            <w:pPr>
              <w:spacing w:line="240" w:lineRule="auto"/>
              <w:jc w:val="center"/>
              <w:rPr>
                <w:rFonts w:ascii="Calibri" w:eastAsia="Times New Roman" w:hAnsi="Calibri" w:cs="Times New Roman"/>
                <w:b/>
                <w:bCs/>
                <w:color w:val="000000"/>
                <w:lang w:eastAsia="en-GB"/>
              </w:rPr>
            </w:pPr>
          </w:p>
        </w:tc>
        <w:tc>
          <w:tcPr>
            <w:tcW w:w="2010" w:type="dxa"/>
            <w:tcBorders>
              <w:top w:val="single" w:sz="4" w:space="0" w:color="auto"/>
              <w:left w:val="nil"/>
              <w:bottom w:val="single" w:sz="8" w:space="0" w:color="auto"/>
              <w:right w:val="single" w:sz="4" w:space="0" w:color="auto"/>
            </w:tcBorders>
            <w:shd w:val="clear" w:color="auto" w:fill="auto"/>
            <w:noWrap/>
            <w:vAlign w:val="bottom"/>
            <w:hideMark/>
          </w:tcPr>
          <w:p w14:paraId="5B322995" w14:textId="7A21F367" w:rsidR="00BE2256" w:rsidRPr="00DA63F4" w:rsidRDefault="00172686"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1,307910</w:t>
            </w:r>
          </w:p>
        </w:tc>
        <w:tc>
          <w:tcPr>
            <w:tcW w:w="2010" w:type="dxa"/>
            <w:tcBorders>
              <w:top w:val="single" w:sz="4" w:space="0" w:color="auto"/>
              <w:left w:val="nil"/>
              <w:bottom w:val="single" w:sz="8" w:space="0" w:color="auto"/>
              <w:right w:val="nil"/>
            </w:tcBorders>
            <w:shd w:val="clear" w:color="auto" w:fill="auto"/>
            <w:noWrap/>
            <w:vAlign w:val="bottom"/>
            <w:hideMark/>
          </w:tcPr>
          <w:p w14:paraId="5B322996" w14:textId="0E814095" w:rsidR="00BE2256" w:rsidRPr="00DA63F4" w:rsidRDefault="00172686"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1307906</w:t>
            </w:r>
          </w:p>
        </w:tc>
        <w:tc>
          <w:tcPr>
            <w:tcW w:w="258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5B322997" w14:textId="5ABA492F" w:rsidR="00BE2256" w:rsidRPr="00DA63F4" w:rsidRDefault="00D763F8" w:rsidP="00D763F8">
            <w:pPr>
              <w:spacing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2,615816</w:t>
            </w:r>
          </w:p>
        </w:tc>
      </w:tr>
    </w:tbl>
    <w:p w14:paraId="5B322999" w14:textId="77777777" w:rsidR="00BE2256" w:rsidRPr="000C784C" w:rsidRDefault="00BE2256" w:rsidP="000C784C">
      <w:pPr>
        <w:tabs>
          <w:tab w:val="left" w:pos="567"/>
          <w:tab w:val="left" w:pos="1134"/>
          <w:tab w:val="left" w:pos="1701"/>
        </w:tabs>
        <w:ind w:left="851" w:hanging="851"/>
        <w:jc w:val="center"/>
        <w:rPr>
          <w:rFonts w:cs="Times New Roman"/>
          <w:b/>
          <w:szCs w:val="24"/>
          <w:lang w:val="en-GB"/>
        </w:rPr>
      </w:pPr>
    </w:p>
    <w:sectPr w:rsidR="00BE2256" w:rsidRPr="000C784C" w:rsidSect="00F367A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B11781" w14:textId="77777777" w:rsidR="003E6308" w:rsidRDefault="003E6308" w:rsidP="00051144">
      <w:pPr>
        <w:spacing w:line="240" w:lineRule="auto"/>
      </w:pPr>
      <w:r>
        <w:separator/>
      </w:r>
    </w:p>
  </w:endnote>
  <w:endnote w:type="continuationSeparator" w:id="0">
    <w:p w14:paraId="12D053D5" w14:textId="77777777" w:rsidR="003E6308" w:rsidRDefault="003E6308" w:rsidP="000511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8E7DA" w14:textId="77777777" w:rsidR="003E6308" w:rsidRDefault="003E6308" w:rsidP="00051144">
      <w:pPr>
        <w:spacing w:line="240" w:lineRule="auto"/>
      </w:pPr>
      <w:r>
        <w:separator/>
      </w:r>
    </w:p>
  </w:footnote>
  <w:footnote w:type="continuationSeparator" w:id="0">
    <w:p w14:paraId="3F1DEFBF" w14:textId="77777777" w:rsidR="003E6308" w:rsidRDefault="003E6308" w:rsidP="00051144">
      <w:pPr>
        <w:spacing w:line="240" w:lineRule="auto"/>
      </w:pPr>
      <w:r>
        <w:continuationSeparator/>
      </w:r>
    </w:p>
  </w:footnote>
  <w:footnote w:id="1">
    <w:p w14:paraId="5B32299E" w14:textId="7B6266A9" w:rsidR="00FF4B1B" w:rsidRPr="000C784C" w:rsidRDefault="00FF4B1B" w:rsidP="009835DE">
      <w:pPr>
        <w:pStyle w:val="FootnoteText"/>
        <w:ind w:left="567" w:hanging="567"/>
        <w:jc w:val="both"/>
        <w:rPr>
          <w:sz w:val="24"/>
          <w:szCs w:val="24"/>
          <w:lang w:val="en-GB"/>
        </w:rPr>
      </w:pPr>
      <w:r w:rsidRPr="000C784C">
        <w:rPr>
          <w:rStyle w:val="FootnoteReference"/>
          <w:b/>
          <w:bCs/>
          <w:sz w:val="24"/>
          <w:szCs w:val="24"/>
        </w:rPr>
        <w:footnoteRef/>
      </w:r>
      <w:r w:rsidRPr="000C784C">
        <w:rPr>
          <w:sz w:val="24"/>
          <w:szCs w:val="24"/>
        </w:rPr>
        <w:tab/>
      </w:r>
      <w:r w:rsidRPr="000C784C">
        <w:rPr>
          <w:spacing w:val="-3"/>
          <w:sz w:val="24"/>
          <w:szCs w:val="24"/>
        </w:rPr>
        <w:t xml:space="preserve">Regulation (EU, </w:t>
      </w:r>
      <w:proofErr w:type="spellStart"/>
      <w:r w:rsidRPr="000C784C">
        <w:rPr>
          <w:spacing w:val="-3"/>
          <w:sz w:val="24"/>
          <w:szCs w:val="24"/>
        </w:rPr>
        <w:t>Euratom</w:t>
      </w:r>
      <w:proofErr w:type="spellEnd"/>
      <w:r w:rsidRPr="000C784C">
        <w:rPr>
          <w:spacing w:val="-3"/>
          <w:sz w:val="24"/>
          <w:szCs w:val="24"/>
        </w:rPr>
        <w:t>) No </w:t>
      </w:r>
      <w:r w:rsidR="0086614A">
        <w:rPr>
          <w:spacing w:val="-3"/>
          <w:sz w:val="24"/>
          <w:szCs w:val="24"/>
        </w:rPr>
        <w:t>2018/1046</w:t>
      </w:r>
      <w:r w:rsidRPr="000C784C">
        <w:rPr>
          <w:spacing w:val="-3"/>
          <w:sz w:val="24"/>
          <w:szCs w:val="24"/>
        </w:rPr>
        <w:t xml:space="preserve"> of the European Parliament and of the Council of </w:t>
      </w:r>
      <w:r w:rsidR="0086614A">
        <w:rPr>
          <w:spacing w:val="-3"/>
          <w:sz w:val="24"/>
          <w:szCs w:val="24"/>
        </w:rPr>
        <w:t>18 July 2018</w:t>
      </w:r>
      <w:r w:rsidRPr="000C784C">
        <w:rPr>
          <w:spacing w:val="-3"/>
          <w:sz w:val="24"/>
          <w:szCs w:val="24"/>
        </w:rPr>
        <w:t xml:space="preserve"> on the financial rules applicable to the general budget of the Union and </w:t>
      </w:r>
      <w:r w:rsidR="0086614A">
        <w:rPr>
          <w:spacing w:val="-3"/>
          <w:sz w:val="24"/>
          <w:szCs w:val="24"/>
        </w:rPr>
        <w:t xml:space="preserve">amending Regulations (EU) </w:t>
      </w:r>
      <w:r w:rsidRPr="000C784C">
        <w:rPr>
          <w:spacing w:val="-3"/>
          <w:sz w:val="24"/>
          <w:szCs w:val="24"/>
        </w:rPr>
        <w:t xml:space="preserve">No </w:t>
      </w:r>
      <w:r w:rsidR="0086614A">
        <w:rPr>
          <w:spacing w:val="-3"/>
          <w:sz w:val="24"/>
          <w:szCs w:val="24"/>
        </w:rPr>
        <w:t xml:space="preserve">1296/2013, (EU) No 1301/2013, (EU) No 1303/2013, (EU) No 283/2014, and Decision No 514/2014/EU and repealing Regulation (EU, </w:t>
      </w:r>
      <w:proofErr w:type="spellStart"/>
      <w:r w:rsidR="0086614A">
        <w:rPr>
          <w:spacing w:val="-3"/>
          <w:sz w:val="24"/>
          <w:szCs w:val="24"/>
        </w:rPr>
        <w:t>Euratom</w:t>
      </w:r>
      <w:proofErr w:type="spellEnd"/>
      <w:r w:rsidR="0086614A">
        <w:rPr>
          <w:spacing w:val="-3"/>
          <w:sz w:val="24"/>
          <w:szCs w:val="24"/>
        </w:rPr>
        <w:t xml:space="preserve">) No 966/2012 </w:t>
      </w:r>
      <w:r w:rsidRPr="000C784C">
        <w:rPr>
          <w:spacing w:val="-3"/>
          <w:sz w:val="24"/>
          <w:szCs w:val="24"/>
        </w:rPr>
        <w:t>(</w:t>
      </w:r>
      <w:r w:rsidR="0086614A">
        <w:rPr>
          <w:sz w:val="24"/>
          <w:szCs w:val="24"/>
          <w:lang w:val="en-GB"/>
        </w:rPr>
        <w:t>OJ L 193, 30.7.2018</w:t>
      </w:r>
      <w:r w:rsidRPr="000C784C">
        <w:rPr>
          <w:sz w:val="24"/>
          <w:szCs w:val="24"/>
          <w:lang w:val="en-GB"/>
        </w:rPr>
        <w:t>, p.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E"/>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1"/>
        <w:szCs w:val="21"/>
        <w:u w:val="none"/>
        <w:effect w:val="none"/>
      </w:rPr>
    </w:lvl>
  </w:abstractNum>
  <w:abstractNum w:abstractNumId="1" w15:restartNumberingAfterBreak="0">
    <w:nsid w:val="072C4C7E"/>
    <w:multiLevelType w:val="multilevel"/>
    <w:tmpl w:val="98F0B26E"/>
    <w:lvl w:ilvl="0">
      <w:start w:val="1"/>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2" w15:restartNumberingAfterBreak="0">
    <w:nsid w:val="30D17869"/>
    <w:multiLevelType w:val="multilevel"/>
    <w:tmpl w:val="32E041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585ABC"/>
    <w:multiLevelType w:val="multilevel"/>
    <w:tmpl w:val="2E62E13E"/>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673E03E8"/>
    <w:multiLevelType w:val="multilevel"/>
    <w:tmpl w:val="FB4E90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7CBE4812"/>
    <w:multiLevelType w:val="singleLevel"/>
    <w:tmpl w:val="0809000F"/>
    <w:lvl w:ilvl="0">
      <w:start w:val="1"/>
      <w:numFmt w:val="decimal"/>
      <w:lvlText w:val="%1."/>
      <w:lvlJc w:val="left"/>
      <w:pPr>
        <w:ind w:left="360" w:hanging="360"/>
      </w:pPr>
    </w:lvl>
  </w:abstractNum>
  <w:num w:numId="1">
    <w:abstractNumId w:val="5"/>
    <w:lvlOverride w:ilvl="0">
      <w:startOverride w:val="1"/>
    </w:lvlOverride>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W_DocType" w:val="NORMAL"/>
  </w:docVars>
  <w:rsids>
    <w:rsidRoot w:val="00903E1C"/>
    <w:rsid w:val="00022035"/>
    <w:rsid w:val="00025AAF"/>
    <w:rsid w:val="00030818"/>
    <w:rsid w:val="00031068"/>
    <w:rsid w:val="00042700"/>
    <w:rsid w:val="00051144"/>
    <w:rsid w:val="00060077"/>
    <w:rsid w:val="00072176"/>
    <w:rsid w:val="00072B74"/>
    <w:rsid w:val="00072B7B"/>
    <w:rsid w:val="00096A54"/>
    <w:rsid w:val="000B143A"/>
    <w:rsid w:val="000C784C"/>
    <w:rsid w:val="000D5BC2"/>
    <w:rsid w:val="000D7265"/>
    <w:rsid w:val="000F757B"/>
    <w:rsid w:val="00123239"/>
    <w:rsid w:val="00136D43"/>
    <w:rsid w:val="00141CD4"/>
    <w:rsid w:val="0015102F"/>
    <w:rsid w:val="00153DC4"/>
    <w:rsid w:val="00165E5C"/>
    <w:rsid w:val="00172686"/>
    <w:rsid w:val="0017403A"/>
    <w:rsid w:val="0018573D"/>
    <w:rsid w:val="001A0148"/>
    <w:rsid w:val="001B1A8B"/>
    <w:rsid w:val="001B38E4"/>
    <w:rsid w:val="001D1D25"/>
    <w:rsid w:val="001F1BED"/>
    <w:rsid w:val="0021055C"/>
    <w:rsid w:val="0023434E"/>
    <w:rsid w:val="0024621D"/>
    <w:rsid w:val="00252721"/>
    <w:rsid w:val="0027160E"/>
    <w:rsid w:val="00272F61"/>
    <w:rsid w:val="00275E46"/>
    <w:rsid w:val="00283446"/>
    <w:rsid w:val="00293321"/>
    <w:rsid w:val="00293384"/>
    <w:rsid w:val="002A03F0"/>
    <w:rsid w:val="002A5542"/>
    <w:rsid w:val="002B0EDE"/>
    <w:rsid w:val="002C58B7"/>
    <w:rsid w:val="002C5EFF"/>
    <w:rsid w:val="002D3C70"/>
    <w:rsid w:val="002E2F3D"/>
    <w:rsid w:val="002E6BDA"/>
    <w:rsid w:val="002F3F52"/>
    <w:rsid w:val="00303910"/>
    <w:rsid w:val="003211B8"/>
    <w:rsid w:val="003213B2"/>
    <w:rsid w:val="003273AE"/>
    <w:rsid w:val="003311BE"/>
    <w:rsid w:val="0033169D"/>
    <w:rsid w:val="00334713"/>
    <w:rsid w:val="0033760C"/>
    <w:rsid w:val="003403BC"/>
    <w:rsid w:val="00343E44"/>
    <w:rsid w:val="0034752A"/>
    <w:rsid w:val="00350202"/>
    <w:rsid w:val="003542DD"/>
    <w:rsid w:val="003545F8"/>
    <w:rsid w:val="0036290C"/>
    <w:rsid w:val="00367E45"/>
    <w:rsid w:val="00397828"/>
    <w:rsid w:val="003A10AF"/>
    <w:rsid w:val="003A3886"/>
    <w:rsid w:val="003B6477"/>
    <w:rsid w:val="003C55AE"/>
    <w:rsid w:val="003D16C9"/>
    <w:rsid w:val="003E1B3F"/>
    <w:rsid w:val="003E5C1C"/>
    <w:rsid w:val="003E6308"/>
    <w:rsid w:val="003E6EC7"/>
    <w:rsid w:val="00401133"/>
    <w:rsid w:val="00403E64"/>
    <w:rsid w:val="00404AE3"/>
    <w:rsid w:val="00406387"/>
    <w:rsid w:val="00407D61"/>
    <w:rsid w:val="00414184"/>
    <w:rsid w:val="004200CC"/>
    <w:rsid w:val="00431B95"/>
    <w:rsid w:val="0044010D"/>
    <w:rsid w:val="00443FA8"/>
    <w:rsid w:val="00450EB1"/>
    <w:rsid w:val="00451405"/>
    <w:rsid w:val="00451996"/>
    <w:rsid w:val="00456575"/>
    <w:rsid w:val="00457AB7"/>
    <w:rsid w:val="004623B3"/>
    <w:rsid w:val="00476110"/>
    <w:rsid w:val="004826DA"/>
    <w:rsid w:val="0048710D"/>
    <w:rsid w:val="004A1972"/>
    <w:rsid w:val="004B1951"/>
    <w:rsid w:val="004D0BBD"/>
    <w:rsid w:val="004D4616"/>
    <w:rsid w:val="004F52F1"/>
    <w:rsid w:val="004F7DE1"/>
    <w:rsid w:val="00505321"/>
    <w:rsid w:val="00537C55"/>
    <w:rsid w:val="00547F90"/>
    <w:rsid w:val="0055495B"/>
    <w:rsid w:val="005562DA"/>
    <w:rsid w:val="0056415B"/>
    <w:rsid w:val="00575861"/>
    <w:rsid w:val="00581335"/>
    <w:rsid w:val="00586690"/>
    <w:rsid w:val="00587A8F"/>
    <w:rsid w:val="00592054"/>
    <w:rsid w:val="00593B19"/>
    <w:rsid w:val="00594480"/>
    <w:rsid w:val="005A2295"/>
    <w:rsid w:val="005B0DD7"/>
    <w:rsid w:val="005C3588"/>
    <w:rsid w:val="005D0AE2"/>
    <w:rsid w:val="005E2E4C"/>
    <w:rsid w:val="005E2F98"/>
    <w:rsid w:val="005E4174"/>
    <w:rsid w:val="005E56C6"/>
    <w:rsid w:val="005F69D0"/>
    <w:rsid w:val="006037CD"/>
    <w:rsid w:val="0060517B"/>
    <w:rsid w:val="00611278"/>
    <w:rsid w:val="006176B8"/>
    <w:rsid w:val="006305C2"/>
    <w:rsid w:val="00631523"/>
    <w:rsid w:val="006648DD"/>
    <w:rsid w:val="00666DE8"/>
    <w:rsid w:val="00670AA3"/>
    <w:rsid w:val="00673722"/>
    <w:rsid w:val="006825CD"/>
    <w:rsid w:val="006836A0"/>
    <w:rsid w:val="006A7EFC"/>
    <w:rsid w:val="006B689A"/>
    <w:rsid w:val="006C1685"/>
    <w:rsid w:val="006C39BD"/>
    <w:rsid w:val="006D02DB"/>
    <w:rsid w:val="006E2B2E"/>
    <w:rsid w:val="006F43DE"/>
    <w:rsid w:val="006F55BC"/>
    <w:rsid w:val="0071597E"/>
    <w:rsid w:val="007278EA"/>
    <w:rsid w:val="00737521"/>
    <w:rsid w:val="0075639B"/>
    <w:rsid w:val="0075791D"/>
    <w:rsid w:val="00762AEA"/>
    <w:rsid w:val="0077097C"/>
    <w:rsid w:val="007741C8"/>
    <w:rsid w:val="00774B65"/>
    <w:rsid w:val="00781C15"/>
    <w:rsid w:val="0078327B"/>
    <w:rsid w:val="00787C3A"/>
    <w:rsid w:val="00787C57"/>
    <w:rsid w:val="007A5C10"/>
    <w:rsid w:val="007B03FA"/>
    <w:rsid w:val="007B3FE3"/>
    <w:rsid w:val="007B6CEA"/>
    <w:rsid w:val="007C04DF"/>
    <w:rsid w:val="007C2309"/>
    <w:rsid w:val="007D0C07"/>
    <w:rsid w:val="007D24DB"/>
    <w:rsid w:val="007D606A"/>
    <w:rsid w:val="00807E35"/>
    <w:rsid w:val="008164E5"/>
    <w:rsid w:val="008167A5"/>
    <w:rsid w:val="00822EAB"/>
    <w:rsid w:val="0084037B"/>
    <w:rsid w:val="00842138"/>
    <w:rsid w:val="0085077E"/>
    <w:rsid w:val="00853442"/>
    <w:rsid w:val="008579BD"/>
    <w:rsid w:val="008637F3"/>
    <w:rsid w:val="00864F70"/>
    <w:rsid w:val="0086614A"/>
    <w:rsid w:val="00872DED"/>
    <w:rsid w:val="00877662"/>
    <w:rsid w:val="00883152"/>
    <w:rsid w:val="008B35E9"/>
    <w:rsid w:val="008B3E7D"/>
    <w:rsid w:val="008C0548"/>
    <w:rsid w:val="008C2F05"/>
    <w:rsid w:val="008E6518"/>
    <w:rsid w:val="008F21DC"/>
    <w:rsid w:val="00901440"/>
    <w:rsid w:val="00903E1C"/>
    <w:rsid w:val="00924FD1"/>
    <w:rsid w:val="00935CBD"/>
    <w:rsid w:val="00944835"/>
    <w:rsid w:val="00950C11"/>
    <w:rsid w:val="00953B43"/>
    <w:rsid w:val="00961FAB"/>
    <w:rsid w:val="009761D3"/>
    <w:rsid w:val="009835DE"/>
    <w:rsid w:val="00993431"/>
    <w:rsid w:val="00995E49"/>
    <w:rsid w:val="009A5752"/>
    <w:rsid w:val="009B3F21"/>
    <w:rsid w:val="009C1823"/>
    <w:rsid w:val="009C415F"/>
    <w:rsid w:val="009C5930"/>
    <w:rsid w:val="009D0E84"/>
    <w:rsid w:val="009F2935"/>
    <w:rsid w:val="00A353D7"/>
    <w:rsid w:val="00A523E0"/>
    <w:rsid w:val="00A635DA"/>
    <w:rsid w:val="00A63F50"/>
    <w:rsid w:val="00A66069"/>
    <w:rsid w:val="00A66992"/>
    <w:rsid w:val="00A71816"/>
    <w:rsid w:val="00A7704F"/>
    <w:rsid w:val="00A81449"/>
    <w:rsid w:val="00A872B8"/>
    <w:rsid w:val="00AA10DA"/>
    <w:rsid w:val="00AA67B0"/>
    <w:rsid w:val="00AC7FCF"/>
    <w:rsid w:val="00AD14EE"/>
    <w:rsid w:val="00AF429F"/>
    <w:rsid w:val="00AF447A"/>
    <w:rsid w:val="00AF696B"/>
    <w:rsid w:val="00B04F1C"/>
    <w:rsid w:val="00B249F6"/>
    <w:rsid w:val="00B257E0"/>
    <w:rsid w:val="00B317F0"/>
    <w:rsid w:val="00B43687"/>
    <w:rsid w:val="00B90FFB"/>
    <w:rsid w:val="00B92714"/>
    <w:rsid w:val="00BA585E"/>
    <w:rsid w:val="00BC74C0"/>
    <w:rsid w:val="00BC7B6B"/>
    <w:rsid w:val="00BD09CB"/>
    <w:rsid w:val="00BD53AE"/>
    <w:rsid w:val="00BE023A"/>
    <w:rsid w:val="00BE2256"/>
    <w:rsid w:val="00BF4DC3"/>
    <w:rsid w:val="00C102D8"/>
    <w:rsid w:val="00C10795"/>
    <w:rsid w:val="00C13362"/>
    <w:rsid w:val="00C171CC"/>
    <w:rsid w:val="00C246C9"/>
    <w:rsid w:val="00C44D64"/>
    <w:rsid w:val="00C51BCC"/>
    <w:rsid w:val="00C5398E"/>
    <w:rsid w:val="00C56096"/>
    <w:rsid w:val="00C63663"/>
    <w:rsid w:val="00C636A2"/>
    <w:rsid w:val="00C638AA"/>
    <w:rsid w:val="00C71826"/>
    <w:rsid w:val="00C817A4"/>
    <w:rsid w:val="00C92374"/>
    <w:rsid w:val="00CA080E"/>
    <w:rsid w:val="00CA4E34"/>
    <w:rsid w:val="00CA61D9"/>
    <w:rsid w:val="00CA68D3"/>
    <w:rsid w:val="00CB3B5C"/>
    <w:rsid w:val="00CD2CA7"/>
    <w:rsid w:val="00D03888"/>
    <w:rsid w:val="00D06705"/>
    <w:rsid w:val="00D14513"/>
    <w:rsid w:val="00D166F7"/>
    <w:rsid w:val="00D238DB"/>
    <w:rsid w:val="00D41518"/>
    <w:rsid w:val="00D4434E"/>
    <w:rsid w:val="00D459D5"/>
    <w:rsid w:val="00D512B5"/>
    <w:rsid w:val="00D518D6"/>
    <w:rsid w:val="00D55445"/>
    <w:rsid w:val="00D56B63"/>
    <w:rsid w:val="00D738A2"/>
    <w:rsid w:val="00D763F8"/>
    <w:rsid w:val="00D85B52"/>
    <w:rsid w:val="00DA63F4"/>
    <w:rsid w:val="00DA6803"/>
    <w:rsid w:val="00DC0A91"/>
    <w:rsid w:val="00DC1601"/>
    <w:rsid w:val="00DC416A"/>
    <w:rsid w:val="00DD439C"/>
    <w:rsid w:val="00DE01BD"/>
    <w:rsid w:val="00DE20A6"/>
    <w:rsid w:val="00E04A60"/>
    <w:rsid w:val="00E15F51"/>
    <w:rsid w:val="00E16866"/>
    <w:rsid w:val="00E34C03"/>
    <w:rsid w:val="00E43EE4"/>
    <w:rsid w:val="00E47CAC"/>
    <w:rsid w:val="00E52704"/>
    <w:rsid w:val="00E567C3"/>
    <w:rsid w:val="00E61913"/>
    <w:rsid w:val="00E64833"/>
    <w:rsid w:val="00E93093"/>
    <w:rsid w:val="00E94BFD"/>
    <w:rsid w:val="00E96F57"/>
    <w:rsid w:val="00EA3AC6"/>
    <w:rsid w:val="00EB1E82"/>
    <w:rsid w:val="00EB3CF1"/>
    <w:rsid w:val="00EC2AED"/>
    <w:rsid w:val="00EC6A66"/>
    <w:rsid w:val="00EE35A0"/>
    <w:rsid w:val="00F04BEA"/>
    <w:rsid w:val="00F367AB"/>
    <w:rsid w:val="00F4735E"/>
    <w:rsid w:val="00F52D49"/>
    <w:rsid w:val="00F533B1"/>
    <w:rsid w:val="00F5403B"/>
    <w:rsid w:val="00F56678"/>
    <w:rsid w:val="00F6678C"/>
    <w:rsid w:val="00F71250"/>
    <w:rsid w:val="00F97DA7"/>
    <w:rsid w:val="00FB09A3"/>
    <w:rsid w:val="00FB2FEF"/>
    <w:rsid w:val="00FB3872"/>
    <w:rsid w:val="00FB6A7A"/>
    <w:rsid w:val="00FD6260"/>
    <w:rsid w:val="00FF2D5C"/>
    <w:rsid w:val="00FF4B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2290E"/>
  <w15:docId w15:val="{46B73430-F811-4153-B2AC-1D807BEE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AB"/>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RG Footnote Text,single space,FOOTNOTES,fn,Footnote Text 1,Footnote Text Char Char,Footnote Text Char Char Char,Char Char Char Char Char,ALTS FOOTNOTE,Note de bas de page2,footnote,Geneva 9,Font: Geneva 9,footnote text,ft"/>
    <w:basedOn w:val="Normal"/>
    <w:link w:val="FootnoteTextChar"/>
    <w:semiHidden/>
    <w:unhideWhenUsed/>
    <w:qFormat/>
    <w:rsid w:val="00051144"/>
    <w:pPr>
      <w:spacing w:line="240" w:lineRule="auto"/>
    </w:pPr>
    <w:rPr>
      <w:sz w:val="20"/>
      <w:szCs w:val="20"/>
    </w:rPr>
  </w:style>
  <w:style w:type="character" w:customStyle="1" w:styleId="FootnoteTextChar">
    <w:name w:val="Footnote Text Char"/>
    <w:aliases w:val="RG Footnote Text Char,single space Char,FOOTNOTES Char,fn Char,Footnote Text 1 Char,Footnote Text Char Char Char1,Footnote Text Char Char Char Char,Char Char Char Char Char Char,ALTS FOOTNOTE Char,Note de bas de page2 Char,ft Char"/>
    <w:basedOn w:val="DefaultParagraphFont"/>
    <w:link w:val="FootnoteText"/>
    <w:semiHidden/>
    <w:rsid w:val="00051144"/>
    <w:rPr>
      <w:rFonts w:ascii="Times New Roman" w:hAnsi="Times New Roman"/>
      <w:sz w:val="20"/>
      <w:szCs w:val="20"/>
    </w:rPr>
  </w:style>
  <w:style w:type="character" w:styleId="FootnoteReference">
    <w:name w:val="footnote reference"/>
    <w:aliases w:val="Ref,de nota al pie,ftref,16 Point,Superscript 6 Point,BVI fnr,Error-Fußnotenzeichen5,Error-Fußnotenzeichen6,Error-Fußnotenzeichen3,Char Char,Carattere Char1,Carattere Char Char Carattere Carattere Char Char,Знак сноски 1,fr,R"/>
    <w:basedOn w:val="DefaultParagraphFont"/>
    <w:link w:val="BVIfnrCharCharCharCharCharChar1CharCharCharCharCharChar"/>
    <w:unhideWhenUsed/>
    <w:rsid w:val="00051144"/>
    <w:rPr>
      <w:vertAlign w:val="superscript"/>
    </w:rPr>
  </w:style>
  <w:style w:type="character" w:customStyle="1" w:styleId="Corpsdutexte">
    <w:name w:val="Corps du texte_"/>
    <w:link w:val="Corpsdutexte0"/>
    <w:uiPriority w:val="99"/>
    <w:locked/>
    <w:rsid w:val="00AD14EE"/>
    <w:rPr>
      <w:sz w:val="21"/>
      <w:szCs w:val="21"/>
      <w:shd w:val="clear" w:color="auto" w:fill="FFFFFF"/>
    </w:rPr>
  </w:style>
  <w:style w:type="paragraph" w:customStyle="1" w:styleId="Corpsdutexte0">
    <w:name w:val="Corps du texte"/>
    <w:basedOn w:val="Normal"/>
    <w:link w:val="Corpsdutexte"/>
    <w:uiPriority w:val="99"/>
    <w:rsid w:val="00AD14EE"/>
    <w:pPr>
      <w:widowControl w:val="0"/>
      <w:shd w:val="clear" w:color="auto" w:fill="FFFFFF"/>
      <w:spacing w:line="298" w:lineRule="exact"/>
      <w:jc w:val="both"/>
    </w:pPr>
    <w:rPr>
      <w:rFonts w:asciiTheme="minorHAnsi" w:hAnsiTheme="minorHAnsi"/>
      <w:sz w:val="21"/>
      <w:szCs w:val="21"/>
    </w:rPr>
  </w:style>
  <w:style w:type="paragraph" w:customStyle="1" w:styleId="Considrant">
    <w:name w:val="Considérant"/>
    <w:basedOn w:val="Normal"/>
    <w:rsid w:val="00CB3B5C"/>
    <w:pPr>
      <w:spacing w:before="120" w:after="120" w:line="240" w:lineRule="auto"/>
      <w:jc w:val="both"/>
    </w:pPr>
    <w:rPr>
      <w:rFonts w:cs="Times New Roman"/>
      <w:lang w:val="en-GB"/>
    </w:rPr>
  </w:style>
  <w:style w:type="paragraph" w:styleId="BalloonText">
    <w:name w:val="Balloon Text"/>
    <w:basedOn w:val="Normal"/>
    <w:link w:val="BalloonTextChar"/>
    <w:uiPriority w:val="99"/>
    <w:semiHidden/>
    <w:unhideWhenUsed/>
    <w:rsid w:val="003211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11B8"/>
    <w:rPr>
      <w:rFonts w:ascii="Tahoma" w:hAnsi="Tahoma" w:cs="Tahoma"/>
      <w:sz w:val="16"/>
      <w:szCs w:val="16"/>
    </w:rPr>
  </w:style>
  <w:style w:type="character" w:customStyle="1" w:styleId="En-tte3">
    <w:name w:val="En-tête #3_"/>
    <w:link w:val="En-tte30"/>
    <w:uiPriority w:val="99"/>
    <w:locked/>
    <w:rsid w:val="000D7265"/>
    <w:rPr>
      <w:b/>
      <w:bCs/>
      <w:shd w:val="clear" w:color="auto" w:fill="FFFFFF"/>
    </w:rPr>
  </w:style>
  <w:style w:type="paragraph" w:customStyle="1" w:styleId="En-tte30">
    <w:name w:val="En-tête #3"/>
    <w:basedOn w:val="Normal"/>
    <w:link w:val="En-tte3"/>
    <w:uiPriority w:val="99"/>
    <w:rsid w:val="000D7265"/>
    <w:pPr>
      <w:widowControl w:val="0"/>
      <w:shd w:val="clear" w:color="auto" w:fill="FFFFFF"/>
      <w:spacing w:after="180" w:line="240" w:lineRule="atLeast"/>
      <w:jc w:val="both"/>
      <w:outlineLvl w:val="2"/>
    </w:pPr>
    <w:rPr>
      <w:rFonts w:asciiTheme="minorHAnsi" w:hAnsiTheme="minorHAnsi"/>
      <w:b/>
      <w:bCs/>
      <w:sz w:val="22"/>
    </w:rPr>
  </w:style>
  <w:style w:type="paragraph" w:customStyle="1" w:styleId="Personnequisigne">
    <w:name w:val="Personne qui signe"/>
    <w:basedOn w:val="Normal"/>
    <w:next w:val="Normal"/>
    <w:rsid w:val="0033169D"/>
    <w:pPr>
      <w:tabs>
        <w:tab w:val="left" w:pos="4252"/>
      </w:tabs>
      <w:spacing w:line="240" w:lineRule="auto"/>
    </w:pPr>
    <w:rPr>
      <w:rFonts w:cs="Times New Roman"/>
      <w:i/>
      <w:lang w:val="en-GB"/>
    </w:rPr>
  </w:style>
  <w:style w:type="paragraph" w:styleId="CommentText">
    <w:name w:val="annotation text"/>
    <w:basedOn w:val="Normal"/>
    <w:link w:val="CommentTextChar"/>
    <w:uiPriority w:val="99"/>
    <w:semiHidden/>
    <w:unhideWhenUsed/>
    <w:rsid w:val="005A2295"/>
    <w:pPr>
      <w:spacing w:line="240" w:lineRule="auto"/>
    </w:pPr>
    <w:rPr>
      <w:sz w:val="20"/>
      <w:szCs w:val="20"/>
    </w:rPr>
  </w:style>
  <w:style w:type="character" w:customStyle="1" w:styleId="CommentTextChar">
    <w:name w:val="Comment Text Char"/>
    <w:basedOn w:val="DefaultParagraphFont"/>
    <w:link w:val="CommentText"/>
    <w:uiPriority w:val="99"/>
    <w:semiHidden/>
    <w:rsid w:val="005A2295"/>
    <w:rPr>
      <w:rFonts w:ascii="Times New Roman" w:hAnsi="Times New Roman"/>
      <w:sz w:val="20"/>
      <w:szCs w:val="20"/>
    </w:rPr>
  </w:style>
  <w:style w:type="character" w:styleId="CommentReference">
    <w:name w:val="annotation reference"/>
    <w:basedOn w:val="DefaultParagraphFont"/>
    <w:uiPriority w:val="99"/>
    <w:semiHidden/>
    <w:unhideWhenUsed/>
    <w:rsid w:val="005A2295"/>
    <w:rPr>
      <w:sz w:val="16"/>
      <w:szCs w:val="16"/>
    </w:rPr>
  </w:style>
  <w:style w:type="character" w:styleId="PlaceholderText">
    <w:name w:val="Placeholder Text"/>
    <w:basedOn w:val="DefaultParagraphFont"/>
    <w:uiPriority w:val="99"/>
    <w:semiHidden/>
    <w:rsid w:val="00431B95"/>
    <w:rPr>
      <w:color w:val="808080"/>
    </w:rPr>
  </w:style>
  <w:style w:type="paragraph" w:styleId="ListParagraph">
    <w:name w:val="List Paragraph"/>
    <w:basedOn w:val="Normal"/>
    <w:uiPriority w:val="34"/>
    <w:qFormat/>
    <w:rsid w:val="00E15F51"/>
    <w:pPr>
      <w:ind w:left="720"/>
      <w:contextualSpacing/>
    </w:pPr>
  </w:style>
  <w:style w:type="paragraph" w:styleId="CommentSubject">
    <w:name w:val="annotation subject"/>
    <w:basedOn w:val="CommentText"/>
    <w:next w:val="CommentText"/>
    <w:link w:val="CommentSubjectChar"/>
    <w:uiPriority w:val="99"/>
    <w:semiHidden/>
    <w:unhideWhenUsed/>
    <w:rsid w:val="0023434E"/>
    <w:rPr>
      <w:b/>
      <w:bCs/>
    </w:rPr>
  </w:style>
  <w:style w:type="character" w:customStyle="1" w:styleId="CommentSubjectChar">
    <w:name w:val="Comment Subject Char"/>
    <w:basedOn w:val="CommentTextChar"/>
    <w:link w:val="CommentSubject"/>
    <w:uiPriority w:val="99"/>
    <w:semiHidden/>
    <w:rsid w:val="0023434E"/>
    <w:rPr>
      <w:rFonts w:ascii="Times New Roman" w:hAnsi="Times New Roman"/>
      <w:b/>
      <w:bCs/>
      <w:sz w:val="20"/>
      <w:szCs w:val="20"/>
    </w:rPr>
  </w:style>
  <w:style w:type="paragraph" w:customStyle="1" w:styleId="Default">
    <w:name w:val="Default"/>
    <w:rsid w:val="0023434E"/>
    <w:pPr>
      <w:autoSpaceDE w:val="0"/>
      <w:autoSpaceDN w:val="0"/>
      <w:adjustRightInd w:val="0"/>
      <w:spacing w:after="0" w:line="240" w:lineRule="auto"/>
    </w:pPr>
    <w:rPr>
      <w:rFonts w:ascii="Times New Roman" w:hAnsi="Times New Roman" w:cs="Times New Roman"/>
      <w:color w:val="000000"/>
      <w:sz w:val="24"/>
      <w:szCs w:val="24"/>
      <w:lang w:val="fr-FR"/>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link w:val="FootnoteReference"/>
    <w:rsid w:val="00FD6260"/>
    <w:pPr>
      <w:spacing w:after="160" w:line="240" w:lineRule="exact"/>
    </w:pPr>
    <w:rPr>
      <w:rFonts w:asciiTheme="minorHAnsi" w:hAnsiTheme="minorHAnsi"/>
      <w:sz w:val="22"/>
      <w:vertAlign w:val="superscript"/>
    </w:rPr>
  </w:style>
  <w:style w:type="character" w:styleId="Strong">
    <w:name w:val="Strong"/>
    <w:basedOn w:val="DefaultParagraphFont"/>
    <w:uiPriority w:val="22"/>
    <w:qFormat/>
    <w:rsid w:val="006825CD"/>
    <w:rPr>
      <w:b/>
      <w:bCs/>
    </w:rPr>
  </w:style>
  <w:style w:type="character" w:styleId="Hyperlink">
    <w:name w:val="Hyperlink"/>
    <w:basedOn w:val="DefaultParagraphFont"/>
    <w:uiPriority w:val="99"/>
    <w:unhideWhenUsed/>
    <w:rsid w:val="00E43E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36823">
      <w:bodyDiv w:val="1"/>
      <w:marLeft w:val="0"/>
      <w:marRight w:val="0"/>
      <w:marTop w:val="0"/>
      <w:marBottom w:val="0"/>
      <w:divBdr>
        <w:top w:val="none" w:sz="0" w:space="0" w:color="auto"/>
        <w:left w:val="none" w:sz="0" w:space="0" w:color="auto"/>
        <w:bottom w:val="none" w:sz="0" w:space="0" w:color="auto"/>
        <w:right w:val="none" w:sz="0" w:space="0" w:color="auto"/>
      </w:divBdr>
    </w:div>
    <w:div w:id="114062760">
      <w:bodyDiv w:val="1"/>
      <w:marLeft w:val="0"/>
      <w:marRight w:val="0"/>
      <w:marTop w:val="0"/>
      <w:marBottom w:val="0"/>
      <w:divBdr>
        <w:top w:val="none" w:sz="0" w:space="0" w:color="auto"/>
        <w:left w:val="none" w:sz="0" w:space="0" w:color="auto"/>
        <w:bottom w:val="none" w:sz="0" w:space="0" w:color="auto"/>
        <w:right w:val="none" w:sz="0" w:space="0" w:color="auto"/>
      </w:divBdr>
    </w:div>
    <w:div w:id="186407333">
      <w:bodyDiv w:val="1"/>
      <w:marLeft w:val="0"/>
      <w:marRight w:val="0"/>
      <w:marTop w:val="0"/>
      <w:marBottom w:val="0"/>
      <w:divBdr>
        <w:top w:val="none" w:sz="0" w:space="0" w:color="auto"/>
        <w:left w:val="none" w:sz="0" w:space="0" w:color="auto"/>
        <w:bottom w:val="none" w:sz="0" w:space="0" w:color="auto"/>
        <w:right w:val="none" w:sz="0" w:space="0" w:color="auto"/>
      </w:divBdr>
    </w:div>
    <w:div w:id="186994101">
      <w:bodyDiv w:val="1"/>
      <w:marLeft w:val="0"/>
      <w:marRight w:val="0"/>
      <w:marTop w:val="0"/>
      <w:marBottom w:val="0"/>
      <w:divBdr>
        <w:top w:val="none" w:sz="0" w:space="0" w:color="auto"/>
        <w:left w:val="none" w:sz="0" w:space="0" w:color="auto"/>
        <w:bottom w:val="none" w:sz="0" w:space="0" w:color="auto"/>
        <w:right w:val="none" w:sz="0" w:space="0" w:color="auto"/>
      </w:divBdr>
    </w:div>
    <w:div w:id="206182006">
      <w:bodyDiv w:val="1"/>
      <w:marLeft w:val="0"/>
      <w:marRight w:val="0"/>
      <w:marTop w:val="0"/>
      <w:marBottom w:val="0"/>
      <w:divBdr>
        <w:top w:val="none" w:sz="0" w:space="0" w:color="auto"/>
        <w:left w:val="none" w:sz="0" w:space="0" w:color="auto"/>
        <w:bottom w:val="none" w:sz="0" w:space="0" w:color="auto"/>
        <w:right w:val="none" w:sz="0" w:space="0" w:color="auto"/>
      </w:divBdr>
    </w:div>
    <w:div w:id="399983370">
      <w:bodyDiv w:val="1"/>
      <w:marLeft w:val="0"/>
      <w:marRight w:val="0"/>
      <w:marTop w:val="0"/>
      <w:marBottom w:val="0"/>
      <w:divBdr>
        <w:top w:val="none" w:sz="0" w:space="0" w:color="auto"/>
        <w:left w:val="none" w:sz="0" w:space="0" w:color="auto"/>
        <w:bottom w:val="none" w:sz="0" w:space="0" w:color="auto"/>
        <w:right w:val="none" w:sz="0" w:space="0" w:color="auto"/>
      </w:divBdr>
    </w:div>
    <w:div w:id="434254244">
      <w:bodyDiv w:val="1"/>
      <w:marLeft w:val="0"/>
      <w:marRight w:val="0"/>
      <w:marTop w:val="0"/>
      <w:marBottom w:val="0"/>
      <w:divBdr>
        <w:top w:val="none" w:sz="0" w:space="0" w:color="auto"/>
        <w:left w:val="none" w:sz="0" w:space="0" w:color="auto"/>
        <w:bottom w:val="none" w:sz="0" w:space="0" w:color="auto"/>
        <w:right w:val="none" w:sz="0" w:space="0" w:color="auto"/>
      </w:divBdr>
    </w:div>
    <w:div w:id="602759479">
      <w:bodyDiv w:val="1"/>
      <w:marLeft w:val="0"/>
      <w:marRight w:val="0"/>
      <w:marTop w:val="0"/>
      <w:marBottom w:val="0"/>
      <w:divBdr>
        <w:top w:val="none" w:sz="0" w:space="0" w:color="auto"/>
        <w:left w:val="none" w:sz="0" w:space="0" w:color="auto"/>
        <w:bottom w:val="none" w:sz="0" w:space="0" w:color="auto"/>
        <w:right w:val="none" w:sz="0" w:space="0" w:color="auto"/>
      </w:divBdr>
    </w:div>
    <w:div w:id="810365385">
      <w:bodyDiv w:val="1"/>
      <w:marLeft w:val="0"/>
      <w:marRight w:val="0"/>
      <w:marTop w:val="0"/>
      <w:marBottom w:val="0"/>
      <w:divBdr>
        <w:top w:val="none" w:sz="0" w:space="0" w:color="auto"/>
        <w:left w:val="none" w:sz="0" w:space="0" w:color="auto"/>
        <w:bottom w:val="none" w:sz="0" w:space="0" w:color="auto"/>
        <w:right w:val="none" w:sz="0" w:space="0" w:color="auto"/>
      </w:divBdr>
    </w:div>
    <w:div w:id="896403896">
      <w:bodyDiv w:val="1"/>
      <w:marLeft w:val="0"/>
      <w:marRight w:val="0"/>
      <w:marTop w:val="0"/>
      <w:marBottom w:val="0"/>
      <w:divBdr>
        <w:top w:val="none" w:sz="0" w:space="0" w:color="auto"/>
        <w:left w:val="none" w:sz="0" w:space="0" w:color="auto"/>
        <w:bottom w:val="none" w:sz="0" w:space="0" w:color="auto"/>
        <w:right w:val="none" w:sz="0" w:space="0" w:color="auto"/>
      </w:divBdr>
    </w:div>
    <w:div w:id="996033605">
      <w:bodyDiv w:val="1"/>
      <w:marLeft w:val="0"/>
      <w:marRight w:val="0"/>
      <w:marTop w:val="0"/>
      <w:marBottom w:val="0"/>
      <w:divBdr>
        <w:top w:val="none" w:sz="0" w:space="0" w:color="auto"/>
        <w:left w:val="none" w:sz="0" w:space="0" w:color="auto"/>
        <w:bottom w:val="none" w:sz="0" w:space="0" w:color="auto"/>
        <w:right w:val="none" w:sz="0" w:space="0" w:color="auto"/>
      </w:divBdr>
    </w:div>
    <w:div w:id="1107502728">
      <w:bodyDiv w:val="1"/>
      <w:marLeft w:val="0"/>
      <w:marRight w:val="0"/>
      <w:marTop w:val="0"/>
      <w:marBottom w:val="0"/>
      <w:divBdr>
        <w:top w:val="none" w:sz="0" w:space="0" w:color="auto"/>
        <w:left w:val="none" w:sz="0" w:space="0" w:color="auto"/>
        <w:bottom w:val="none" w:sz="0" w:space="0" w:color="auto"/>
        <w:right w:val="none" w:sz="0" w:space="0" w:color="auto"/>
      </w:divBdr>
    </w:div>
    <w:div w:id="1276642070">
      <w:bodyDiv w:val="1"/>
      <w:marLeft w:val="0"/>
      <w:marRight w:val="0"/>
      <w:marTop w:val="0"/>
      <w:marBottom w:val="0"/>
      <w:divBdr>
        <w:top w:val="none" w:sz="0" w:space="0" w:color="auto"/>
        <w:left w:val="none" w:sz="0" w:space="0" w:color="auto"/>
        <w:bottom w:val="none" w:sz="0" w:space="0" w:color="auto"/>
        <w:right w:val="none" w:sz="0" w:space="0" w:color="auto"/>
      </w:divBdr>
    </w:div>
    <w:div w:id="1357803801">
      <w:bodyDiv w:val="1"/>
      <w:marLeft w:val="0"/>
      <w:marRight w:val="0"/>
      <w:marTop w:val="0"/>
      <w:marBottom w:val="0"/>
      <w:divBdr>
        <w:top w:val="none" w:sz="0" w:space="0" w:color="auto"/>
        <w:left w:val="none" w:sz="0" w:space="0" w:color="auto"/>
        <w:bottom w:val="none" w:sz="0" w:space="0" w:color="auto"/>
        <w:right w:val="none" w:sz="0" w:space="0" w:color="auto"/>
      </w:divBdr>
    </w:div>
    <w:div w:id="1377854846">
      <w:bodyDiv w:val="1"/>
      <w:marLeft w:val="0"/>
      <w:marRight w:val="0"/>
      <w:marTop w:val="0"/>
      <w:marBottom w:val="0"/>
      <w:divBdr>
        <w:top w:val="none" w:sz="0" w:space="0" w:color="auto"/>
        <w:left w:val="none" w:sz="0" w:space="0" w:color="auto"/>
        <w:bottom w:val="none" w:sz="0" w:space="0" w:color="auto"/>
        <w:right w:val="none" w:sz="0" w:space="0" w:color="auto"/>
      </w:divBdr>
    </w:div>
    <w:div w:id="1564684097">
      <w:bodyDiv w:val="1"/>
      <w:marLeft w:val="0"/>
      <w:marRight w:val="0"/>
      <w:marTop w:val="0"/>
      <w:marBottom w:val="0"/>
      <w:divBdr>
        <w:top w:val="none" w:sz="0" w:space="0" w:color="auto"/>
        <w:left w:val="none" w:sz="0" w:space="0" w:color="auto"/>
        <w:bottom w:val="none" w:sz="0" w:space="0" w:color="auto"/>
        <w:right w:val="none" w:sz="0" w:space="0" w:color="auto"/>
      </w:divBdr>
    </w:div>
    <w:div w:id="1624842549">
      <w:bodyDiv w:val="1"/>
      <w:marLeft w:val="0"/>
      <w:marRight w:val="0"/>
      <w:marTop w:val="0"/>
      <w:marBottom w:val="0"/>
      <w:divBdr>
        <w:top w:val="none" w:sz="0" w:space="0" w:color="auto"/>
        <w:left w:val="none" w:sz="0" w:space="0" w:color="auto"/>
        <w:bottom w:val="none" w:sz="0" w:space="0" w:color="auto"/>
        <w:right w:val="none" w:sz="0" w:space="0" w:color="auto"/>
      </w:divBdr>
    </w:div>
    <w:div w:id="1654213806">
      <w:bodyDiv w:val="1"/>
      <w:marLeft w:val="0"/>
      <w:marRight w:val="0"/>
      <w:marTop w:val="0"/>
      <w:marBottom w:val="0"/>
      <w:divBdr>
        <w:top w:val="none" w:sz="0" w:space="0" w:color="auto"/>
        <w:left w:val="none" w:sz="0" w:space="0" w:color="auto"/>
        <w:bottom w:val="none" w:sz="0" w:space="0" w:color="auto"/>
        <w:right w:val="none" w:sz="0" w:space="0" w:color="auto"/>
      </w:divBdr>
    </w:div>
    <w:div w:id="1688750836">
      <w:bodyDiv w:val="1"/>
      <w:marLeft w:val="0"/>
      <w:marRight w:val="0"/>
      <w:marTop w:val="0"/>
      <w:marBottom w:val="0"/>
      <w:divBdr>
        <w:top w:val="none" w:sz="0" w:space="0" w:color="auto"/>
        <w:left w:val="none" w:sz="0" w:space="0" w:color="auto"/>
        <w:bottom w:val="none" w:sz="0" w:space="0" w:color="auto"/>
        <w:right w:val="none" w:sz="0" w:space="0" w:color="auto"/>
      </w:divBdr>
    </w:div>
    <w:div w:id="1806000502">
      <w:bodyDiv w:val="1"/>
      <w:marLeft w:val="0"/>
      <w:marRight w:val="0"/>
      <w:marTop w:val="0"/>
      <w:marBottom w:val="0"/>
      <w:divBdr>
        <w:top w:val="none" w:sz="0" w:space="0" w:color="auto"/>
        <w:left w:val="none" w:sz="0" w:space="0" w:color="auto"/>
        <w:bottom w:val="none" w:sz="0" w:space="0" w:color="auto"/>
        <w:right w:val="none" w:sz="0" w:space="0" w:color="auto"/>
      </w:divBdr>
    </w:div>
    <w:div w:id="1985767691">
      <w:bodyDiv w:val="1"/>
      <w:marLeft w:val="0"/>
      <w:marRight w:val="0"/>
      <w:marTop w:val="0"/>
      <w:marBottom w:val="0"/>
      <w:divBdr>
        <w:top w:val="none" w:sz="0" w:space="0" w:color="auto"/>
        <w:left w:val="none" w:sz="0" w:space="0" w:color="auto"/>
        <w:bottom w:val="none" w:sz="0" w:space="0" w:color="auto"/>
        <w:right w:val="none" w:sz="0" w:space="0" w:color="auto"/>
      </w:divBdr>
    </w:div>
    <w:div w:id="2101294362">
      <w:bodyDiv w:val="1"/>
      <w:marLeft w:val="0"/>
      <w:marRight w:val="0"/>
      <w:marTop w:val="0"/>
      <w:marBottom w:val="0"/>
      <w:divBdr>
        <w:top w:val="none" w:sz="0" w:space="0" w:color="auto"/>
        <w:left w:val="none" w:sz="0" w:space="0" w:color="auto"/>
        <w:bottom w:val="none" w:sz="0" w:space="0" w:color="auto"/>
        <w:right w:val="none" w:sz="0" w:space="0" w:color="auto"/>
      </w:divBdr>
    </w:div>
    <w:div w:id="2127305367">
      <w:bodyDiv w:val="1"/>
      <w:marLeft w:val="0"/>
      <w:marRight w:val="0"/>
      <w:marTop w:val="0"/>
      <w:marBottom w:val="0"/>
      <w:divBdr>
        <w:top w:val="none" w:sz="0" w:space="0" w:color="auto"/>
        <w:left w:val="none" w:sz="0" w:space="0" w:color="auto"/>
        <w:bottom w:val="none" w:sz="0" w:space="0" w:color="auto"/>
        <w:right w:val="none" w:sz="0" w:space="0" w:color="auto"/>
      </w:divBdr>
    </w:div>
    <w:div w:id="213138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Stankeviciene@urm.lt" TargetMode="External"
                 Type="http://schemas.openxmlformats.org/officeDocument/2006/relationships/hyperlink"/>
   <Relationship Id="rId11" Target="mailto:esps@urm.lt" TargetMode="External"
                 Type="http://schemas.openxmlformats.org/officeDocument/2006/relationships/hyperlink"/>
   <Relationship Id="rId12" Target="mailto:NEAR-TURKEY-FACILITY@ec.europa.eu"
                 TargetMode="External"
                 Type="http://schemas.openxmlformats.org/officeDocument/2006/relationships/hyperlink"/>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Darius.Trakelis@finmin.lt" TargetMode="External"
                 Type="http://schemas.openxmlformats.org/officeDocument/2006/relationships/hyperlink"/>
   <Relationship Id="rId9" Target="mailto:finmin@finmin.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6854F-156B-4C9E-8F91-5CCEED604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4484</Characters>
  <Application>Microsoft Office Word</Application>
  <DocSecurity>0</DocSecurity>
  <Lines>37</Lines>
  <Paragraphs>10</Paragraphs>
  <ScaleCrop>false</ScaleCrop>
  <HeadingPairs>
    <vt:vector size="8" baseType="variant">
      <vt:variant>
        <vt:lpstr>Title</vt:lpstr>
      </vt:variant>
      <vt:variant>
        <vt:i4>1</vt:i4>
      </vt:variant>
      <vt:variant>
        <vt:lpstr>Pavadinimas</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Council of European Union</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2018-09-28T09:58:00Z</dcterms:created>
  <dc:creator>JENSEN Anne Funch</dc:creator>
  <cp:lastModifiedBy>Eduard MAŽUL</cp:lastModifiedBy>
  <cp:lastPrinted>2016-04-07T08:36:00Z</cp:lastPrinted>
  <dcterms:modified xsi:type="dcterms:W3CDTF">2018-09-28T09:58:00Z</dcterms:modified>
  <cp:revision>2</cp:revision>
</cp:coreProperties>
</file>