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B51" w:rsidRDefault="004B50D2">
      <w:pPr>
        <w:pStyle w:val="Standard"/>
        <w:tabs>
          <w:tab w:val="center" w:pos="4819"/>
          <w:tab w:val="right" w:pos="9638"/>
        </w:tabs>
        <w:spacing w:line="276" w:lineRule="auto"/>
        <w:rPr>
          <w:rFonts w:eastAsia="Calibri"/>
          <w:b/>
          <w:szCs w:val="24"/>
        </w:rPr>
      </w:pPr>
      <w:bookmarkStart w:id="0" w:name="_GoBack"/>
      <w:bookmarkEnd w:id="0"/>
      <w:r>
        <w:rPr>
          <w:rFonts w:eastAsia="Calibri"/>
          <w:b/>
          <w:szCs w:val="24"/>
        </w:rPr>
        <w:tab/>
        <w:t xml:space="preserve">                                                                                                    </w:t>
      </w:r>
    </w:p>
    <w:p w:rsidR="00AA6BEC" w:rsidRPr="00AA6BEC" w:rsidRDefault="00AA6BEC" w:rsidP="00AA6BEC">
      <w:pPr>
        <w:widowControl/>
        <w:autoSpaceDN/>
        <w:jc w:val="center"/>
        <w:textAlignment w:val="auto"/>
        <w:rPr>
          <w:color w:val="00000A"/>
          <w:kern w:val="2"/>
          <w:szCs w:val="24"/>
          <w:lang w:eastAsia="lt-LT"/>
        </w:rPr>
      </w:pPr>
      <w:r w:rsidRPr="00AA6BEC">
        <w:rPr>
          <w:b/>
          <w:color w:val="00000A"/>
          <w:kern w:val="2"/>
          <w:szCs w:val="24"/>
          <w:lang w:eastAsia="lt-LT"/>
        </w:rPr>
        <w:t>LIETUVOS RESPUBLIKOS VYRIAUSYBĖ</w:t>
      </w:r>
    </w:p>
    <w:p w:rsidR="00AA6BEC" w:rsidRPr="00AA6BEC" w:rsidRDefault="00AA6BEC" w:rsidP="00AA6BEC">
      <w:pPr>
        <w:widowControl/>
        <w:autoSpaceDN/>
        <w:textAlignment w:val="auto"/>
        <w:rPr>
          <w:b/>
          <w:color w:val="00000A"/>
          <w:kern w:val="2"/>
          <w:szCs w:val="24"/>
          <w:lang w:eastAsia="lt-LT"/>
        </w:rPr>
      </w:pPr>
    </w:p>
    <w:p w:rsidR="00AA6BEC" w:rsidRPr="00AA6BEC" w:rsidRDefault="00AA6BEC" w:rsidP="00AA6BEC">
      <w:pPr>
        <w:widowControl/>
        <w:autoSpaceDN/>
        <w:jc w:val="center"/>
        <w:textAlignment w:val="auto"/>
        <w:rPr>
          <w:color w:val="00000A"/>
          <w:kern w:val="2"/>
          <w:szCs w:val="24"/>
          <w:lang w:eastAsia="lt-LT"/>
        </w:rPr>
      </w:pPr>
      <w:r w:rsidRPr="00AA6BEC">
        <w:rPr>
          <w:b/>
          <w:color w:val="00000A"/>
          <w:kern w:val="2"/>
          <w:szCs w:val="24"/>
          <w:lang w:eastAsia="lt-LT"/>
        </w:rPr>
        <w:t>NUTARIMAS</w:t>
      </w:r>
    </w:p>
    <w:p w:rsidR="00AA6BEC" w:rsidRPr="00AA6BEC" w:rsidRDefault="00AA6BEC" w:rsidP="00AA6BEC">
      <w:pPr>
        <w:widowControl/>
        <w:autoSpaceDN/>
        <w:jc w:val="center"/>
        <w:textAlignment w:val="auto"/>
        <w:rPr>
          <w:color w:val="00000A"/>
          <w:kern w:val="2"/>
          <w:szCs w:val="24"/>
          <w:lang w:eastAsia="lt-LT"/>
        </w:rPr>
      </w:pPr>
      <w:r w:rsidRPr="00AA6BEC">
        <w:rPr>
          <w:b/>
          <w:color w:val="00000A"/>
          <w:kern w:val="2"/>
          <w:szCs w:val="24"/>
          <w:lang w:eastAsia="lt-LT"/>
        </w:rPr>
        <w:t>DĖL LIETUVOS RESPUBLIKOS VYRIAUSYBĖS 2006 M. GEGUŽĖS 12 D. NUTARIMO NR. 452 „DĖL TRANSPORTO PRIEMONES VAIRUOJANČIŲ IR KITŲ ASMENŲ NEBLAIVUMO AR APSVAIGIMO NUSTATYMO TAISYKLIŲ PATVIRTINIMO IR  LEIDŽIAMOS ETILO ALKOHOLIO KONCENTRACIJOS DARBO METU NUSTATYMO“ PAKEITIMO</w:t>
      </w:r>
    </w:p>
    <w:p w:rsidR="00AA6BEC" w:rsidRPr="00AA6BEC" w:rsidRDefault="00AA6BEC" w:rsidP="00AA6BEC">
      <w:pPr>
        <w:widowControl/>
        <w:autoSpaceDN/>
        <w:jc w:val="center"/>
        <w:textAlignment w:val="auto"/>
        <w:rPr>
          <w:b/>
          <w:color w:val="00000A"/>
          <w:kern w:val="2"/>
          <w:szCs w:val="24"/>
          <w:lang w:eastAsia="lt-LT"/>
        </w:rPr>
      </w:pPr>
    </w:p>
    <w:p w:rsidR="00AA6BEC" w:rsidRPr="00AA6BEC" w:rsidRDefault="00AA6BEC" w:rsidP="00AA6BEC">
      <w:pPr>
        <w:widowControl/>
        <w:autoSpaceDN/>
        <w:jc w:val="center"/>
        <w:textAlignment w:val="auto"/>
        <w:rPr>
          <w:color w:val="00000A"/>
          <w:kern w:val="2"/>
          <w:szCs w:val="24"/>
          <w:lang w:eastAsia="lt-LT"/>
        </w:rPr>
      </w:pPr>
      <w:r w:rsidRPr="00AA6BEC">
        <w:rPr>
          <w:color w:val="00000A"/>
          <w:kern w:val="2"/>
          <w:szCs w:val="24"/>
          <w:lang w:eastAsia="lt-LT"/>
        </w:rPr>
        <w:t>Nr.</w:t>
      </w:r>
    </w:p>
    <w:p w:rsidR="00AA6BEC" w:rsidRPr="00AA6BEC" w:rsidRDefault="00AA6BEC" w:rsidP="00AA6BEC">
      <w:pPr>
        <w:widowControl/>
        <w:autoSpaceDN/>
        <w:jc w:val="center"/>
        <w:textAlignment w:val="auto"/>
        <w:rPr>
          <w:color w:val="00000A"/>
          <w:kern w:val="2"/>
          <w:szCs w:val="24"/>
          <w:lang w:eastAsia="lt-LT"/>
        </w:rPr>
      </w:pPr>
      <w:r w:rsidRPr="00AA6BEC">
        <w:rPr>
          <w:color w:val="00000A"/>
          <w:kern w:val="2"/>
          <w:szCs w:val="24"/>
          <w:lang w:eastAsia="lt-LT"/>
        </w:rPr>
        <w:t>Vilnius</w:t>
      </w:r>
    </w:p>
    <w:p w:rsidR="00AA6BEC" w:rsidRPr="00AA6BEC" w:rsidRDefault="00AA6BEC" w:rsidP="00AA6BEC">
      <w:pPr>
        <w:widowControl/>
        <w:tabs>
          <w:tab w:val="left" w:pos="852"/>
        </w:tabs>
        <w:autoSpaceDN/>
        <w:ind w:firstLine="851"/>
        <w:jc w:val="both"/>
        <w:textAlignment w:val="auto"/>
        <w:rPr>
          <w:bCs/>
          <w:color w:val="000000"/>
          <w:kern w:val="2"/>
          <w:szCs w:val="24"/>
          <w:lang w:eastAsia="lt-LT"/>
        </w:rPr>
      </w:pPr>
      <w:r w:rsidRPr="00AA6BEC">
        <w:rPr>
          <w:bCs/>
          <w:color w:val="000000"/>
          <w:kern w:val="2"/>
          <w:szCs w:val="24"/>
          <w:lang w:eastAsia="lt-LT"/>
        </w:rPr>
        <w:tab/>
      </w:r>
    </w:p>
    <w:p w:rsidR="00AA6BEC" w:rsidRPr="00A20FA9" w:rsidRDefault="00AA6BEC" w:rsidP="00AA6BEC">
      <w:pPr>
        <w:widowControl/>
        <w:tabs>
          <w:tab w:val="left" w:pos="852"/>
        </w:tabs>
        <w:autoSpaceDN/>
        <w:ind w:firstLine="851"/>
        <w:jc w:val="both"/>
        <w:textAlignment w:val="auto"/>
        <w:rPr>
          <w:bCs/>
          <w:kern w:val="2"/>
          <w:szCs w:val="24"/>
          <w:lang w:eastAsia="lt-LT"/>
        </w:rPr>
      </w:pPr>
      <w:r w:rsidRPr="00A20FA9">
        <w:rPr>
          <w:bCs/>
          <w:kern w:val="2"/>
          <w:szCs w:val="24"/>
          <w:lang w:eastAsia="lt-LT"/>
        </w:rPr>
        <w:t xml:space="preserve">Lietuvos Respublikos Vyriausybė </w:t>
      </w:r>
      <w:r w:rsidR="007E3BB4" w:rsidRPr="006D72A5">
        <w:rPr>
          <w:spacing w:val="100"/>
          <w:szCs w:val="24"/>
        </w:rPr>
        <w:t>nutari</w:t>
      </w:r>
      <w:r w:rsidR="007E3BB4" w:rsidRPr="00504D58">
        <w:rPr>
          <w:szCs w:val="24"/>
        </w:rPr>
        <w:t>a</w:t>
      </w:r>
      <w:r w:rsidRPr="00A20FA9">
        <w:rPr>
          <w:bCs/>
          <w:kern w:val="2"/>
          <w:szCs w:val="24"/>
          <w:lang w:eastAsia="lt-LT"/>
        </w:rPr>
        <w:t>:</w:t>
      </w:r>
    </w:p>
    <w:p w:rsidR="00AA6BEC" w:rsidRPr="00A20FA9" w:rsidRDefault="00AA6BEC" w:rsidP="00AA6BEC">
      <w:pPr>
        <w:widowControl/>
        <w:suppressAutoHyphens w:val="0"/>
        <w:autoSpaceDN/>
        <w:ind w:firstLine="851"/>
        <w:jc w:val="both"/>
        <w:rPr>
          <w:kern w:val="2"/>
          <w:lang w:eastAsia="lt-LT"/>
        </w:rPr>
      </w:pPr>
      <w:bookmarkStart w:id="1" w:name="part_d634e87e97a142c1a3fe8b2b13199537"/>
      <w:bookmarkEnd w:id="1"/>
      <w:r w:rsidRPr="00A20FA9">
        <w:rPr>
          <w:szCs w:val="24"/>
          <w:lang w:eastAsia="lt-LT"/>
        </w:rPr>
        <w:t>1. Pakeisti Lietuvos Respublikos Vyriausybės 2006 m. gegužės 12 d. nutarimą Nr. 452 „Dėl Transporto priemones vairuojančių ir kitų asmenų neblaivumo ar apsvaigimo nustatymo taisyklių patvirtinimo ir leidžiamos etilo alkoholio koncentracijos darbo metu nustatymo“:</w:t>
      </w:r>
    </w:p>
    <w:p w:rsidR="00AA6BEC" w:rsidRPr="00A20FA9" w:rsidRDefault="00AA6BEC" w:rsidP="00AA6BEC">
      <w:pPr>
        <w:widowControl/>
        <w:suppressAutoHyphens w:val="0"/>
        <w:autoSpaceDN/>
        <w:ind w:firstLine="851"/>
        <w:jc w:val="both"/>
        <w:rPr>
          <w:kern w:val="2"/>
          <w:lang w:eastAsia="lt-LT"/>
        </w:rPr>
      </w:pPr>
      <w:r w:rsidRPr="00A20FA9">
        <w:rPr>
          <w:szCs w:val="24"/>
          <w:lang w:eastAsia="lt-LT"/>
        </w:rPr>
        <w:t>1.1. Pakeisti  preambulę ir ją išdėstyti taip:</w:t>
      </w:r>
    </w:p>
    <w:p w:rsidR="00AA6BEC" w:rsidRPr="00A20FA9" w:rsidRDefault="00AA6BEC" w:rsidP="00AA6BEC">
      <w:pPr>
        <w:widowControl/>
        <w:suppressAutoHyphens w:val="0"/>
        <w:autoSpaceDN/>
        <w:ind w:firstLine="851"/>
        <w:jc w:val="both"/>
        <w:rPr>
          <w:kern w:val="2"/>
          <w:lang w:eastAsia="lt-LT"/>
        </w:rPr>
      </w:pPr>
      <w:bookmarkStart w:id="2" w:name="part_d335bc676a7446d69b655423cb30394e"/>
      <w:bookmarkStart w:id="3" w:name="part_e7e161145cd440728ced11a8f80b3f50"/>
      <w:bookmarkEnd w:id="2"/>
      <w:bookmarkEnd w:id="3"/>
      <w:r w:rsidRPr="00A20FA9">
        <w:rPr>
          <w:szCs w:val="24"/>
          <w:lang w:eastAsia="lt-LT"/>
        </w:rPr>
        <w:t xml:space="preserve">„Vadovaudamasi Lietuvos Respublikos alkoholio kontrolės įstatymo 26 straipsnio 2 dalimi, Lietuvos Respublikos administracinių nusižengimų kodekso 605 straipsnio 3 dalimi, Lietuvos Respublikos narkologinės priežiūros įstatymo 14 straipsnio 2 dalimi, Lietuvos Respublikos saugaus eismo automobilių keliais įstatymo 13 straipsnio </w:t>
      </w:r>
      <w:r w:rsidRPr="00A20FA9">
        <w:rPr>
          <w:strike/>
          <w:szCs w:val="24"/>
          <w:lang w:eastAsia="lt-LT"/>
        </w:rPr>
        <w:t>6</w:t>
      </w:r>
      <w:r w:rsidRPr="00A20FA9">
        <w:rPr>
          <w:b/>
          <w:szCs w:val="24"/>
          <w:lang w:eastAsia="lt-LT"/>
        </w:rPr>
        <w:t xml:space="preserve">10 </w:t>
      </w:r>
      <w:r w:rsidRPr="00A20FA9">
        <w:rPr>
          <w:szCs w:val="24"/>
          <w:lang w:eastAsia="lt-LT"/>
        </w:rPr>
        <w:t>dalimi, Lietuvos Respublikos policijos įstatymo 22 straipsnio 1 dalies 7 punktu ir Lietuvos Respublikos vidaus vandenų transporto kodekso 26 straipsnio 2 dalimi, Lietuvos Respublikos valstybės sienos ir jos apsaugos įstatymo 26 straipsnio 1 dalies 13 punktu, Lietuvos Respublikos Vyriausybė</w:t>
      </w:r>
      <w:r w:rsidRPr="00A20FA9">
        <w:rPr>
          <w:spacing w:val="80"/>
          <w:szCs w:val="24"/>
          <w:lang w:eastAsia="lt-LT"/>
        </w:rPr>
        <w:t> </w:t>
      </w:r>
      <w:r w:rsidRPr="00A20FA9">
        <w:rPr>
          <w:spacing w:val="100"/>
          <w:szCs w:val="24"/>
          <w:lang w:eastAsia="lt-LT"/>
        </w:rPr>
        <w:t>nutari</w:t>
      </w:r>
      <w:r w:rsidRPr="00A20FA9">
        <w:rPr>
          <w:szCs w:val="24"/>
          <w:lang w:eastAsia="lt-LT"/>
        </w:rPr>
        <w:t>a:“.</w:t>
      </w:r>
    </w:p>
    <w:p w:rsidR="00AA6BEC" w:rsidRPr="00A20FA9" w:rsidRDefault="00AA6BEC" w:rsidP="00AA6BEC">
      <w:pPr>
        <w:widowControl/>
        <w:suppressAutoHyphens w:val="0"/>
        <w:autoSpaceDN/>
        <w:ind w:firstLine="851"/>
        <w:jc w:val="both"/>
        <w:rPr>
          <w:kern w:val="2"/>
          <w:lang w:eastAsia="lt-LT"/>
        </w:rPr>
      </w:pPr>
      <w:r w:rsidRPr="00A20FA9">
        <w:rPr>
          <w:szCs w:val="24"/>
          <w:lang w:eastAsia="lt-LT"/>
        </w:rPr>
        <w:t>1.2. Pakeisti 2.2 papunktį ir jį išdėstyti taip:</w:t>
      </w:r>
    </w:p>
    <w:p w:rsidR="00AA6BEC" w:rsidRPr="00A20FA9" w:rsidRDefault="00AA6BEC" w:rsidP="00AA6BEC">
      <w:pPr>
        <w:widowControl/>
        <w:suppressAutoHyphens w:val="0"/>
        <w:autoSpaceDN/>
        <w:ind w:firstLine="851"/>
        <w:jc w:val="both"/>
        <w:rPr>
          <w:kern w:val="2"/>
          <w:lang w:eastAsia="lt-LT"/>
        </w:rPr>
      </w:pPr>
      <w:r w:rsidRPr="00A20FA9">
        <w:rPr>
          <w:szCs w:val="24"/>
          <w:lang w:eastAsia="lt-LT"/>
        </w:rPr>
        <w:t>„</w:t>
      </w:r>
      <w:r w:rsidRPr="00A20FA9">
        <w:rPr>
          <w:kern w:val="2"/>
          <w:szCs w:val="24"/>
          <w:lang w:eastAsia="lt-LT"/>
        </w:rPr>
        <w:t xml:space="preserve">2.2. Nustatant </w:t>
      </w:r>
      <w:r w:rsidRPr="00A20FA9">
        <w:rPr>
          <w:strike/>
          <w:kern w:val="2"/>
          <w:szCs w:val="24"/>
          <w:lang w:eastAsia="lt-LT"/>
        </w:rPr>
        <w:t>darbuotojų</w:t>
      </w:r>
      <w:r w:rsidRPr="00A20FA9">
        <w:rPr>
          <w:kern w:val="2"/>
          <w:szCs w:val="24"/>
          <w:lang w:eastAsia="lt-LT"/>
        </w:rPr>
        <w:t xml:space="preserve"> neblaivumą dujų chromatografijos metodu, turi būti įvertinta ribinė etilo alkoholio koncentracija ir nustatyta mažiausia etilo alkoholio koncentracija biologinėse organizmo terpėse.“</w:t>
      </w:r>
    </w:p>
    <w:p w:rsidR="00AA6BEC" w:rsidRPr="00A20FA9" w:rsidRDefault="00AA6BEC" w:rsidP="00AA6BEC">
      <w:pPr>
        <w:widowControl/>
        <w:suppressAutoHyphens w:val="0"/>
        <w:autoSpaceDN/>
        <w:ind w:firstLine="851"/>
        <w:jc w:val="both"/>
        <w:rPr>
          <w:kern w:val="2"/>
          <w:lang w:eastAsia="lt-LT"/>
        </w:rPr>
      </w:pPr>
      <w:r w:rsidRPr="00A20FA9">
        <w:rPr>
          <w:kern w:val="2"/>
          <w:szCs w:val="24"/>
          <w:lang w:eastAsia="lt-LT"/>
        </w:rPr>
        <w:t xml:space="preserve">1.3. </w:t>
      </w:r>
      <w:r w:rsidRPr="00A20FA9">
        <w:rPr>
          <w:szCs w:val="24"/>
          <w:lang w:eastAsia="lt-LT"/>
        </w:rPr>
        <w:t>Pakeisti 2.3 papunktį ir jį išdėstyti taip:</w:t>
      </w:r>
    </w:p>
    <w:p w:rsidR="00AA6BEC" w:rsidRPr="00EF2C29" w:rsidRDefault="00AA6BEC" w:rsidP="00AA6BEC">
      <w:pPr>
        <w:widowControl/>
        <w:tabs>
          <w:tab w:val="left" w:pos="851"/>
          <w:tab w:val="left" w:pos="993"/>
          <w:tab w:val="left" w:pos="1418"/>
        </w:tabs>
        <w:autoSpaceDN/>
        <w:ind w:firstLine="720"/>
        <w:jc w:val="both"/>
        <w:rPr>
          <w:kern w:val="2"/>
          <w:lang w:eastAsia="lt-LT"/>
        </w:rPr>
      </w:pPr>
      <w:r w:rsidRPr="00A20FA9">
        <w:rPr>
          <w:kern w:val="2"/>
          <w:szCs w:val="24"/>
          <w:lang w:eastAsia="lt-LT"/>
        </w:rPr>
        <w:tab/>
        <w:t xml:space="preserve">„2.3. Nustatant </w:t>
      </w:r>
      <w:r w:rsidRPr="00A20FA9">
        <w:rPr>
          <w:strike/>
          <w:kern w:val="2"/>
          <w:szCs w:val="24"/>
          <w:lang w:eastAsia="lt-LT"/>
        </w:rPr>
        <w:t>darbuotojų</w:t>
      </w:r>
      <w:r w:rsidRPr="00A20FA9">
        <w:rPr>
          <w:kern w:val="2"/>
          <w:szCs w:val="24"/>
          <w:lang w:eastAsia="lt-LT"/>
        </w:rPr>
        <w:t xml:space="preserve"> neblaivumą metrologiškai patikrinta specialiąja technine </w:t>
      </w:r>
      <w:r w:rsidRPr="00EF2C29">
        <w:rPr>
          <w:kern w:val="2"/>
          <w:szCs w:val="24"/>
          <w:lang w:eastAsia="lt-LT"/>
        </w:rPr>
        <w:t>priemone, turi būti įvertinta šios priemonės paklaida.“</w:t>
      </w:r>
      <w:r w:rsidRPr="00EF2C29">
        <w:rPr>
          <w:szCs w:val="24"/>
          <w:lang w:eastAsia="lt-LT"/>
        </w:rPr>
        <w:t xml:space="preserve"> </w:t>
      </w:r>
    </w:p>
    <w:p w:rsidR="00AA6BEC" w:rsidRPr="00EF2C29" w:rsidRDefault="00AA6BEC" w:rsidP="00AA6BEC">
      <w:pPr>
        <w:widowControl/>
        <w:tabs>
          <w:tab w:val="left" w:pos="852"/>
        </w:tabs>
        <w:autoSpaceDN/>
        <w:ind w:firstLine="851"/>
        <w:jc w:val="both"/>
        <w:textAlignment w:val="auto"/>
        <w:rPr>
          <w:bCs/>
          <w:kern w:val="2"/>
          <w:szCs w:val="24"/>
          <w:lang w:eastAsia="lt-LT"/>
        </w:rPr>
      </w:pPr>
      <w:r w:rsidRPr="00EF2C29">
        <w:rPr>
          <w:bCs/>
          <w:kern w:val="2"/>
          <w:szCs w:val="24"/>
          <w:lang w:eastAsia="lt-LT"/>
        </w:rPr>
        <w:t>2. Pakeisti</w:t>
      </w:r>
      <w:r w:rsidRPr="00EF2C29">
        <w:rPr>
          <w:bCs/>
          <w:szCs w:val="24"/>
          <w:lang w:eastAsia="lt-LT"/>
        </w:rPr>
        <w:t xml:space="preserve"> nurodytu nutarimu patvirtintas Transporto priemones vairuojančių ir kitų asmenų neblaivumo ar apsvaigimo nustatymo taisykles</w:t>
      </w:r>
      <w:r w:rsidRPr="00EF2C29">
        <w:rPr>
          <w:bCs/>
          <w:kern w:val="2"/>
          <w:szCs w:val="24"/>
          <w:lang w:eastAsia="lt-LT"/>
        </w:rPr>
        <w:t>:</w:t>
      </w:r>
    </w:p>
    <w:p w:rsidR="00DD3A6F" w:rsidRPr="00EF2C29" w:rsidRDefault="00DD3A6F" w:rsidP="00AA6BEC">
      <w:pPr>
        <w:widowControl/>
        <w:tabs>
          <w:tab w:val="left" w:pos="852"/>
        </w:tabs>
        <w:autoSpaceDN/>
        <w:ind w:firstLine="851"/>
        <w:jc w:val="both"/>
        <w:textAlignment w:val="auto"/>
        <w:rPr>
          <w:bCs/>
          <w:kern w:val="2"/>
          <w:szCs w:val="24"/>
          <w:lang w:eastAsia="lt-LT"/>
        </w:rPr>
      </w:pPr>
      <w:r w:rsidRPr="00EF2C29">
        <w:rPr>
          <w:bCs/>
          <w:kern w:val="2"/>
          <w:szCs w:val="24"/>
          <w:lang w:eastAsia="lt-LT"/>
        </w:rPr>
        <w:t xml:space="preserve">2.1. Pakeisti </w:t>
      </w:r>
      <w:r w:rsidRPr="00EF2C29">
        <w:rPr>
          <w:szCs w:val="24"/>
          <w:lang w:eastAsia="lt-LT"/>
        </w:rPr>
        <w:t>2.3 papunktį ir jį išdėstyti taip:</w:t>
      </w:r>
    </w:p>
    <w:p w:rsidR="00DD3A6F" w:rsidRPr="00EF2C29" w:rsidRDefault="00DD3A6F" w:rsidP="00AA6BEC">
      <w:pPr>
        <w:widowControl/>
        <w:tabs>
          <w:tab w:val="left" w:pos="852"/>
        </w:tabs>
        <w:autoSpaceDN/>
        <w:ind w:firstLine="851"/>
        <w:jc w:val="both"/>
        <w:textAlignment w:val="auto"/>
        <w:rPr>
          <w:bCs/>
          <w:kern w:val="2"/>
          <w:szCs w:val="24"/>
          <w:lang w:eastAsia="lt-LT"/>
        </w:rPr>
      </w:pPr>
      <w:r w:rsidRPr="00EF2C29">
        <w:rPr>
          <w:color w:val="000000"/>
        </w:rPr>
        <w:t>„2.3. </w:t>
      </w:r>
      <w:r w:rsidRPr="00EF2C29">
        <w:rPr>
          <w:bCs/>
          <w:color w:val="000000"/>
        </w:rPr>
        <w:t>Neblaivumo tikrinimas</w:t>
      </w:r>
      <w:r w:rsidR="00EE1456" w:rsidRPr="00EF2C29">
        <w:rPr>
          <w:color w:val="000000"/>
        </w:rPr>
        <w:t xml:space="preserve"> </w:t>
      </w:r>
      <w:r w:rsidRPr="00EF2C29">
        <w:rPr>
          <w:color w:val="000000"/>
        </w:rPr>
        <w:t>(toliau – tikrinimas) – policijos,</w:t>
      </w:r>
      <w:r w:rsidR="00EE1456" w:rsidRPr="00EF2C29">
        <w:rPr>
          <w:color w:val="000000"/>
        </w:rPr>
        <w:t xml:space="preserve"> </w:t>
      </w:r>
      <w:r w:rsidRPr="00EF2C29">
        <w:rPr>
          <w:color w:val="000000"/>
        </w:rPr>
        <w:t>Valstybės sienos apsaugos tarnybos prie Lietuvos Respublikos vidaus reikalų ministerijos (toliau – Valstybės sienos apsaugos tarnyba), </w:t>
      </w:r>
      <w:r w:rsidRPr="00EF2C29">
        <w:rPr>
          <w:strike/>
          <w:color w:val="000000"/>
        </w:rPr>
        <w:t>Lietuvos saugios laivybos administracijos</w:t>
      </w:r>
      <w:r w:rsidRPr="00EF2C29">
        <w:rPr>
          <w:color w:val="000000"/>
        </w:rPr>
        <w:t xml:space="preserve"> </w:t>
      </w:r>
      <w:r w:rsidRPr="00EF2C29">
        <w:rPr>
          <w:b/>
          <w:color w:val="000000"/>
        </w:rPr>
        <w:t xml:space="preserve">Lietuvos transporto saugos administracijos </w:t>
      </w:r>
      <w:r w:rsidRPr="00EF2C29">
        <w:rPr>
          <w:color w:val="000000"/>
        </w:rPr>
        <w:t>(toliau – Administracija) pareigūnų, darbdavių ar jų įgaliotų asmenų, laisvės atėmimo įstaigų ir probacijos tarnybų vadovų įgaliotų asmenų, karo policininkų, krašto apsaugos sistemos institucijų vadovų ar jų įgaliotų asmenų veiksmai, kai metrologiškai patikrintomis specialiosiomis techninėmis priemonėmis pagal iškvėptame ore esančią etilo alkoholio koncentraciją nustatoma, ar transporto priemonės vairuotojas, darbuotojas, vairuojantis transporto priemonę, nusikalstamos veikos padarymu įtariamas asmuo, administracinėn atsakomybėn traukiamas asmuo, darbuotojas, laisvės atėmimo vietoje laikomas asmuo, probacijos tarnybos prižiūrimas asmuo, asmuo, įtariamas padaręs teisės pažeidimą kariniame transporte ar karinėje teritorijoje, ar karys yra neblaivus.</w:t>
      </w:r>
      <w:r w:rsidR="00EE1456" w:rsidRPr="00EF2C29">
        <w:rPr>
          <w:color w:val="000000"/>
        </w:rPr>
        <w:t>“</w:t>
      </w:r>
    </w:p>
    <w:p w:rsidR="00AA6BEC" w:rsidRPr="00EF2C29" w:rsidRDefault="00AA6BEC" w:rsidP="00AA6BEC">
      <w:pPr>
        <w:widowControl/>
        <w:tabs>
          <w:tab w:val="left" w:pos="852"/>
        </w:tabs>
        <w:autoSpaceDN/>
        <w:ind w:firstLine="851"/>
        <w:jc w:val="both"/>
        <w:textAlignment w:val="auto"/>
        <w:rPr>
          <w:bCs/>
          <w:kern w:val="2"/>
          <w:szCs w:val="24"/>
          <w:lang w:eastAsia="lt-LT"/>
        </w:rPr>
      </w:pPr>
      <w:r w:rsidRPr="00EF2C29">
        <w:rPr>
          <w:bCs/>
          <w:kern w:val="2"/>
          <w:szCs w:val="24"/>
          <w:lang w:eastAsia="lt-LT"/>
        </w:rPr>
        <w:t>2.</w:t>
      </w:r>
      <w:r w:rsidR="0012621E" w:rsidRPr="00EF2C29">
        <w:rPr>
          <w:bCs/>
          <w:kern w:val="2"/>
          <w:szCs w:val="24"/>
          <w:lang w:eastAsia="lt-LT"/>
        </w:rPr>
        <w:t>2</w:t>
      </w:r>
      <w:r w:rsidRPr="00EF2C29">
        <w:rPr>
          <w:bCs/>
          <w:kern w:val="2"/>
          <w:szCs w:val="24"/>
          <w:lang w:eastAsia="lt-LT"/>
        </w:rPr>
        <w:t>. Pakeisti 3 punktą ir jį išdėstyti taip:</w:t>
      </w:r>
    </w:p>
    <w:p w:rsidR="00AA6BEC" w:rsidRPr="00A20FA9" w:rsidRDefault="00AA6BEC" w:rsidP="00AA6BEC">
      <w:pPr>
        <w:widowControl/>
        <w:tabs>
          <w:tab w:val="left" w:pos="852"/>
        </w:tabs>
        <w:autoSpaceDN/>
        <w:ind w:firstLine="851"/>
        <w:jc w:val="both"/>
        <w:textAlignment w:val="auto"/>
        <w:rPr>
          <w:bCs/>
          <w:kern w:val="2"/>
          <w:szCs w:val="24"/>
          <w:lang w:eastAsia="lt-LT"/>
        </w:rPr>
      </w:pPr>
      <w:r w:rsidRPr="00EF2C29">
        <w:rPr>
          <w:bCs/>
          <w:kern w:val="2"/>
          <w:szCs w:val="24"/>
          <w:lang w:eastAsia="lt-LT"/>
        </w:rPr>
        <w:t>„3. Policijos, Valstybės sienos apsaugos tarnybos pareigūnai tikrina transporto priemonės vairuotoją, nusikalstamos veikos padarymu įtariamą asmenį ar administracinėn atsakomybėn traukiamą asmenį, kurie įtariami esantys neblaivūs, o jeigu įtariamo neblaivumu transporto priemonės vairuotojo, nusikalstamos veikos padarymu įtariamo asmens, administracinėn atsakomybėn</w:t>
      </w:r>
      <w:r w:rsidRPr="00A20FA9">
        <w:rPr>
          <w:bCs/>
          <w:kern w:val="2"/>
          <w:szCs w:val="24"/>
          <w:lang w:eastAsia="lt-LT"/>
        </w:rPr>
        <w:t xml:space="preserve"> </w:t>
      </w:r>
      <w:r w:rsidRPr="00A20FA9">
        <w:rPr>
          <w:bCs/>
          <w:kern w:val="2"/>
          <w:szCs w:val="24"/>
          <w:lang w:eastAsia="lt-LT"/>
        </w:rPr>
        <w:lastRenderedPageBreak/>
        <w:t xml:space="preserve">traukiamo asmens tikrinimo objektyviai neįmanoma atlikti </w:t>
      </w:r>
      <w:r w:rsidRPr="00A20FA9">
        <w:rPr>
          <w:bCs/>
          <w:strike/>
          <w:kern w:val="2"/>
          <w:szCs w:val="24"/>
          <w:lang w:eastAsia="lt-LT"/>
        </w:rPr>
        <w:t>arba per tikrinimą nustatoma, kad įtariamo neblaivumu transporto priemonės vairuotojo iškvėptame ore etilo alkoholio koncentracija daugiau kaip 1,5 promilės, arba nusikalstamos veikos padarymu įtariamas asmuo vengia tikrinimo</w:t>
      </w:r>
      <w:r w:rsidRPr="00A20FA9">
        <w:rPr>
          <w:bCs/>
          <w:kern w:val="2"/>
          <w:szCs w:val="24"/>
          <w:lang w:eastAsia="lt-LT"/>
        </w:rPr>
        <w:t>, pristato šiuos asmenis į asmens sveikatos priežiūros įstaigą atlikti medicininės apžiūros.“</w:t>
      </w:r>
    </w:p>
    <w:p w:rsidR="00AA6BEC" w:rsidRPr="00A20FA9" w:rsidRDefault="00AA6BEC" w:rsidP="00AA6BEC">
      <w:pPr>
        <w:widowControl/>
        <w:tabs>
          <w:tab w:val="left" w:pos="852"/>
        </w:tabs>
        <w:autoSpaceDN/>
        <w:ind w:firstLine="851"/>
        <w:jc w:val="both"/>
        <w:textAlignment w:val="auto"/>
        <w:rPr>
          <w:bCs/>
          <w:kern w:val="2"/>
          <w:szCs w:val="24"/>
          <w:lang w:eastAsia="lt-LT"/>
        </w:rPr>
      </w:pPr>
      <w:r w:rsidRPr="00A20FA9">
        <w:rPr>
          <w:bCs/>
          <w:kern w:val="2"/>
          <w:szCs w:val="24"/>
          <w:lang w:eastAsia="lt-LT"/>
        </w:rPr>
        <w:t>2.</w:t>
      </w:r>
      <w:r w:rsidR="0012621E">
        <w:rPr>
          <w:bCs/>
          <w:kern w:val="2"/>
          <w:szCs w:val="24"/>
          <w:lang w:eastAsia="lt-LT"/>
        </w:rPr>
        <w:t>3</w:t>
      </w:r>
      <w:r w:rsidRPr="00A20FA9">
        <w:rPr>
          <w:bCs/>
          <w:kern w:val="2"/>
          <w:szCs w:val="24"/>
          <w:lang w:eastAsia="lt-LT"/>
        </w:rPr>
        <w:t>. Pakeisti 4 punktą ir jį išdėstyti taip:</w:t>
      </w:r>
    </w:p>
    <w:p w:rsidR="00AA6BEC" w:rsidRPr="00A20FA9" w:rsidRDefault="00AA6BEC" w:rsidP="00AA6BEC">
      <w:pPr>
        <w:widowControl/>
        <w:tabs>
          <w:tab w:val="left" w:pos="852"/>
        </w:tabs>
        <w:autoSpaceDN/>
        <w:ind w:firstLine="851"/>
        <w:jc w:val="both"/>
        <w:textAlignment w:val="auto"/>
        <w:rPr>
          <w:bCs/>
          <w:kern w:val="2"/>
          <w:szCs w:val="24"/>
          <w:lang w:eastAsia="lt-LT"/>
        </w:rPr>
      </w:pPr>
      <w:r w:rsidRPr="00A20FA9">
        <w:rPr>
          <w:bCs/>
          <w:kern w:val="2"/>
          <w:szCs w:val="24"/>
          <w:lang w:eastAsia="lt-LT"/>
        </w:rPr>
        <w:t xml:space="preserve">„4. Policijos, Valstybės sienos apsaugos tarnybos pareigūnai </w:t>
      </w:r>
      <w:r w:rsidRPr="00A20FA9">
        <w:rPr>
          <w:b/>
          <w:bCs/>
          <w:kern w:val="2"/>
          <w:szCs w:val="24"/>
          <w:lang w:eastAsia="lt-LT"/>
        </w:rPr>
        <w:t>per tikrinimą</w:t>
      </w:r>
      <w:r w:rsidRPr="00A20FA9">
        <w:rPr>
          <w:bCs/>
          <w:kern w:val="2"/>
          <w:szCs w:val="24"/>
          <w:lang w:eastAsia="lt-LT"/>
        </w:rPr>
        <w:t xml:space="preserve"> </w:t>
      </w:r>
      <w:r w:rsidRPr="00A20FA9">
        <w:rPr>
          <w:b/>
          <w:bCs/>
          <w:kern w:val="2"/>
          <w:szCs w:val="24"/>
          <w:lang w:eastAsia="lt-LT"/>
        </w:rPr>
        <w:t>nustatę, kad</w:t>
      </w:r>
      <w:r w:rsidRPr="00A20FA9">
        <w:rPr>
          <w:bCs/>
          <w:kern w:val="2"/>
          <w:szCs w:val="24"/>
          <w:lang w:eastAsia="lt-LT"/>
        </w:rPr>
        <w:t xml:space="preserve"> įtariam</w:t>
      </w:r>
      <w:r w:rsidRPr="00A20FA9">
        <w:rPr>
          <w:bCs/>
          <w:strike/>
          <w:kern w:val="2"/>
          <w:szCs w:val="24"/>
          <w:lang w:eastAsia="lt-LT"/>
        </w:rPr>
        <w:t>ą</w:t>
      </w:r>
      <w:r w:rsidRPr="00A20FA9">
        <w:rPr>
          <w:b/>
          <w:bCs/>
          <w:kern w:val="2"/>
          <w:szCs w:val="24"/>
          <w:lang w:eastAsia="lt-LT"/>
        </w:rPr>
        <w:t xml:space="preserve">o </w:t>
      </w:r>
      <w:r w:rsidRPr="00A20FA9">
        <w:rPr>
          <w:bCs/>
          <w:kern w:val="2"/>
          <w:szCs w:val="24"/>
          <w:lang w:eastAsia="lt-LT"/>
        </w:rPr>
        <w:t>neblaivumu transporto priemonės vairuotoj</w:t>
      </w:r>
      <w:r w:rsidRPr="00A20FA9">
        <w:rPr>
          <w:bCs/>
          <w:strike/>
          <w:kern w:val="2"/>
          <w:szCs w:val="24"/>
          <w:lang w:eastAsia="lt-LT"/>
        </w:rPr>
        <w:t>ą</w:t>
      </w:r>
      <w:r w:rsidRPr="00A20FA9">
        <w:rPr>
          <w:b/>
          <w:bCs/>
          <w:kern w:val="2"/>
          <w:szCs w:val="24"/>
          <w:lang w:eastAsia="lt-LT"/>
        </w:rPr>
        <w:t>o iškvėptame ore etilo alkoholio koncentracija 1,51 ir daugiau promilių</w:t>
      </w:r>
      <w:r w:rsidRPr="00A20FA9">
        <w:rPr>
          <w:bCs/>
          <w:kern w:val="2"/>
          <w:szCs w:val="24"/>
          <w:lang w:eastAsia="lt-LT"/>
        </w:rPr>
        <w:t xml:space="preserve">, </w:t>
      </w:r>
      <w:r w:rsidRPr="00A20FA9">
        <w:rPr>
          <w:b/>
          <w:bCs/>
          <w:kern w:val="2"/>
          <w:szCs w:val="24"/>
          <w:lang w:eastAsia="lt-LT"/>
        </w:rPr>
        <w:t>o vairuotojo,</w:t>
      </w:r>
      <w:r w:rsidRPr="00A20FA9">
        <w:rPr>
          <w:bCs/>
          <w:kern w:val="2"/>
          <w:szCs w:val="24"/>
          <w:lang w:eastAsia="lt-LT"/>
        </w:rPr>
        <w:t xml:space="preserve"> susijus</w:t>
      </w:r>
      <w:r w:rsidRPr="00A20FA9">
        <w:rPr>
          <w:bCs/>
          <w:strike/>
          <w:kern w:val="2"/>
          <w:szCs w:val="24"/>
          <w:lang w:eastAsia="lt-LT"/>
        </w:rPr>
        <w:t>į</w:t>
      </w:r>
      <w:r w:rsidRPr="00A20FA9">
        <w:rPr>
          <w:b/>
          <w:bCs/>
          <w:kern w:val="2"/>
          <w:szCs w:val="24"/>
          <w:lang w:eastAsia="lt-LT"/>
        </w:rPr>
        <w:t>io</w:t>
      </w:r>
      <w:r w:rsidRPr="00A20FA9">
        <w:rPr>
          <w:bCs/>
          <w:kern w:val="2"/>
          <w:szCs w:val="24"/>
          <w:lang w:eastAsia="lt-LT"/>
        </w:rPr>
        <w:t xml:space="preserve"> su eismo įvykiu, kuriame žuvo žmogus ar sutrikdyta žmogaus sveikata arba dėl kurio nukentėjusiam asmeniui galbūt padaryta didelė turtinė žala, </w:t>
      </w:r>
      <w:r w:rsidRPr="00A20FA9">
        <w:rPr>
          <w:b/>
          <w:bCs/>
          <w:kern w:val="2"/>
          <w:szCs w:val="24"/>
          <w:lang w:eastAsia="lt-LT"/>
        </w:rPr>
        <w:t>–</w:t>
      </w:r>
      <w:r w:rsidRPr="00A20FA9">
        <w:rPr>
          <w:bCs/>
          <w:kern w:val="2"/>
          <w:szCs w:val="24"/>
          <w:lang w:eastAsia="lt-LT"/>
        </w:rPr>
        <w:t xml:space="preserve"> </w:t>
      </w:r>
      <w:r w:rsidRPr="00A20FA9">
        <w:rPr>
          <w:b/>
          <w:bCs/>
          <w:kern w:val="2"/>
          <w:szCs w:val="24"/>
          <w:lang w:eastAsia="lt-LT"/>
        </w:rPr>
        <w:t>0,41 ir daugiau promilių, ne ank</w:t>
      </w:r>
      <w:r w:rsidR="007E3BB4">
        <w:rPr>
          <w:b/>
          <w:bCs/>
          <w:kern w:val="2"/>
          <w:szCs w:val="24"/>
          <w:lang w:eastAsia="lt-LT"/>
        </w:rPr>
        <w:t>s</w:t>
      </w:r>
      <w:r w:rsidRPr="00A20FA9">
        <w:rPr>
          <w:b/>
          <w:bCs/>
          <w:kern w:val="2"/>
          <w:szCs w:val="24"/>
          <w:lang w:eastAsia="lt-LT"/>
        </w:rPr>
        <w:t>čiau kaip po 15 minučių ir ne vėliau kaip po 30 minučių nuo pirmojo tikrinimo atlieka pakartotinį tikrinimą. Kai pirmojo ir pakartotinio tikrinimo rezultatai skiriasi, laikoma, kad per tikrinimą nustatyta asmens iškvėptame ore esanti etilo alkoholio koncentracija yra ta, kuri yra mažiausia iš nustatytų per pirmąjį ir pakartotinį tikrinimą</w:t>
      </w:r>
      <w:r w:rsidRPr="00A20FA9">
        <w:rPr>
          <w:bCs/>
          <w:kern w:val="2"/>
          <w:szCs w:val="24"/>
          <w:lang w:eastAsia="lt-LT"/>
        </w:rPr>
        <w:t xml:space="preserve"> </w:t>
      </w:r>
      <w:r w:rsidRPr="00A20FA9">
        <w:rPr>
          <w:bCs/>
          <w:strike/>
          <w:kern w:val="2"/>
          <w:szCs w:val="24"/>
          <w:lang w:eastAsia="lt-LT"/>
        </w:rPr>
        <w:t>į asmens sveikatos priežiūros įstaigą atlikti medicininės apžiūros pristato, jeigu jis vengia tikrinimo, objektyviai neįmanoma atlikti jo tikrinimo arba atlikus tikrinimą nustatoma, kad etilo alkoholio koncentracija jo iškvėptame ore  daugiau kaip 0 promilių</w:t>
      </w:r>
      <w:r w:rsidRPr="00074CFE">
        <w:rPr>
          <w:bCs/>
          <w:kern w:val="2"/>
          <w:szCs w:val="24"/>
          <w:lang w:eastAsia="lt-LT"/>
        </w:rPr>
        <w:t>.</w:t>
      </w:r>
      <w:r w:rsidRPr="00A20FA9">
        <w:rPr>
          <w:bCs/>
          <w:kern w:val="2"/>
          <w:szCs w:val="24"/>
          <w:lang w:eastAsia="lt-LT"/>
        </w:rPr>
        <w:t>“</w:t>
      </w:r>
    </w:p>
    <w:p w:rsidR="00AA6BEC" w:rsidRPr="00A20FA9" w:rsidRDefault="00AA6BEC" w:rsidP="00AA6BEC">
      <w:pPr>
        <w:widowControl/>
        <w:tabs>
          <w:tab w:val="left" w:pos="852"/>
        </w:tabs>
        <w:autoSpaceDN/>
        <w:ind w:firstLine="851"/>
        <w:jc w:val="both"/>
        <w:textAlignment w:val="auto"/>
        <w:rPr>
          <w:bCs/>
          <w:kern w:val="2"/>
          <w:szCs w:val="24"/>
          <w:lang w:eastAsia="lt-LT"/>
        </w:rPr>
      </w:pPr>
      <w:r w:rsidRPr="00A20FA9">
        <w:rPr>
          <w:bCs/>
          <w:kern w:val="2"/>
          <w:szCs w:val="24"/>
          <w:lang w:eastAsia="lt-LT"/>
        </w:rPr>
        <w:t>2.</w:t>
      </w:r>
      <w:r w:rsidR="0012621E">
        <w:rPr>
          <w:bCs/>
          <w:kern w:val="2"/>
          <w:szCs w:val="24"/>
          <w:lang w:eastAsia="lt-LT"/>
        </w:rPr>
        <w:t>4</w:t>
      </w:r>
      <w:r w:rsidRPr="00A20FA9">
        <w:rPr>
          <w:bCs/>
          <w:kern w:val="2"/>
          <w:szCs w:val="24"/>
          <w:lang w:eastAsia="lt-LT"/>
        </w:rPr>
        <w:t>. Pakeisti 6.3 papunktį ir jį išdėstyti taip:</w:t>
      </w:r>
    </w:p>
    <w:p w:rsidR="00AA6BEC" w:rsidRPr="00A20FA9" w:rsidRDefault="00AA6BEC" w:rsidP="00AA6BEC">
      <w:pPr>
        <w:widowControl/>
        <w:tabs>
          <w:tab w:val="left" w:pos="852"/>
        </w:tabs>
        <w:autoSpaceDN/>
        <w:ind w:firstLine="851"/>
        <w:jc w:val="both"/>
        <w:textAlignment w:val="auto"/>
        <w:rPr>
          <w:bCs/>
          <w:kern w:val="2"/>
          <w:szCs w:val="24"/>
          <w:lang w:eastAsia="lt-LT"/>
        </w:rPr>
      </w:pPr>
      <w:r w:rsidRPr="00A20FA9">
        <w:rPr>
          <w:bCs/>
          <w:kern w:val="2"/>
          <w:szCs w:val="24"/>
          <w:lang w:eastAsia="lt-LT"/>
        </w:rPr>
        <w:t xml:space="preserve">„6.3. policijos, Valstybės sienos apsaugos tarnybos pareigūnai tikrina transporto priemonės vairuotoją, nusikalstamos veikos padarymu įtariamą asmenį ar administracinėn atsakomybėn traukiamą asmenį arba, esant Taisyklių 3 </w:t>
      </w:r>
      <w:r w:rsidRPr="00A20FA9">
        <w:rPr>
          <w:bCs/>
          <w:strike/>
          <w:kern w:val="2"/>
          <w:szCs w:val="24"/>
          <w:lang w:eastAsia="lt-LT"/>
        </w:rPr>
        <w:t>ar 4</w:t>
      </w:r>
      <w:r w:rsidRPr="00A20FA9">
        <w:rPr>
          <w:bCs/>
          <w:kern w:val="2"/>
          <w:szCs w:val="24"/>
          <w:lang w:eastAsia="lt-LT"/>
        </w:rPr>
        <w:t xml:space="preserve"> punkte nustatytiems pagrindams, atlieka Taisyklių 9 punkto pirmojoje pastraipoje nurodytus veiksmus, o Administracijos pareigūnai tikrina vidaus vandenų transporto priemonės vairuotoją arba, esant Taisyklių 5 punkte nustatytam pagrindui, atlieka Taisyklių 9 punkto antrojoje pastraipoje nurodytus veiksmus.“</w:t>
      </w:r>
    </w:p>
    <w:p w:rsidR="00AA6BEC" w:rsidRPr="00A20FA9" w:rsidRDefault="00AA6BEC" w:rsidP="00AA6BEC">
      <w:pPr>
        <w:widowControl/>
        <w:tabs>
          <w:tab w:val="left" w:pos="852"/>
        </w:tabs>
        <w:autoSpaceDN/>
        <w:ind w:firstLine="851"/>
        <w:jc w:val="both"/>
        <w:textAlignment w:val="auto"/>
        <w:rPr>
          <w:bCs/>
          <w:kern w:val="2"/>
          <w:szCs w:val="24"/>
          <w:lang w:eastAsia="lt-LT"/>
        </w:rPr>
      </w:pPr>
      <w:r w:rsidRPr="00A20FA9">
        <w:rPr>
          <w:bCs/>
          <w:kern w:val="2"/>
          <w:szCs w:val="24"/>
          <w:lang w:eastAsia="lt-LT"/>
        </w:rPr>
        <w:t>2.</w:t>
      </w:r>
      <w:r w:rsidR="0012621E">
        <w:rPr>
          <w:bCs/>
          <w:kern w:val="2"/>
          <w:szCs w:val="24"/>
          <w:lang w:eastAsia="lt-LT"/>
        </w:rPr>
        <w:t>5</w:t>
      </w:r>
      <w:r w:rsidRPr="00A20FA9">
        <w:rPr>
          <w:bCs/>
          <w:kern w:val="2"/>
          <w:szCs w:val="24"/>
          <w:lang w:eastAsia="lt-LT"/>
        </w:rPr>
        <w:t>. Pakeisti 9 punkto pirmąją pastraipą ir ją išdėstyti taip:</w:t>
      </w:r>
    </w:p>
    <w:p w:rsidR="00AA6BEC" w:rsidRPr="00A20FA9" w:rsidRDefault="00AA6BEC" w:rsidP="00AA6BEC">
      <w:pPr>
        <w:widowControl/>
        <w:tabs>
          <w:tab w:val="left" w:pos="852"/>
        </w:tabs>
        <w:autoSpaceDN/>
        <w:ind w:firstLine="850"/>
        <w:jc w:val="both"/>
        <w:textAlignment w:val="auto"/>
        <w:rPr>
          <w:bCs/>
          <w:kern w:val="2"/>
          <w:szCs w:val="24"/>
          <w:lang w:eastAsia="lt-LT"/>
        </w:rPr>
      </w:pPr>
      <w:r w:rsidRPr="00A20FA9">
        <w:rPr>
          <w:bCs/>
          <w:kern w:val="2"/>
          <w:szCs w:val="24"/>
          <w:lang w:eastAsia="lt-LT"/>
        </w:rPr>
        <w:t xml:space="preserve">„9. </w:t>
      </w:r>
      <w:r w:rsidRPr="00A20FA9">
        <w:rPr>
          <w:rFonts w:eastAsia="NSimSun"/>
          <w:bCs/>
          <w:kern w:val="2"/>
          <w:szCs w:val="24"/>
          <w:lang w:eastAsia="lt-LT"/>
        </w:rPr>
        <w:t>Taisyklių 3</w:t>
      </w:r>
      <w:r w:rsidRPr="00A20FA9">
        <w:rPr>
          <w:rFonts w:eastAsia="NSimSun"/>
          <w:bCs/>
          <w:strike/>
          <w:kern w:val="2"/>
          <w:szCs w:val="24"/>
          <w:lang w:eastAsia="lt-LT"/>
        </w:rPr>
        <w:t>, 4</w:t>
      </w:r>
      <w:r w:rsidRPr="00A20FA9">
        <w:rPr>
          <w:rFonts w:eastAsia="NSimSun"/>
          <w:bCs/>
          <w:kern w:val="2"/>
          <w:szCs w:val="24"/>
          <w:lang w:eastAsia="lt-LT"/>
        </w:rPr>
        <w:t xml:space="preserve"> ir 8 punktuose nurodytais atvejais policijos</w:t>
      </w:r>
      <w:r w:rsidRPr="00A20FA9">
        <w:rPr>
          <w:bCs/>
          <w:kern w:val="2"/>
          <w:szCs w:val="24"/>
          <w:lang w:eastAsia="lt-LT"/>
        </w:rPr>
        <w:t xml:space="preserve">, Valstybės sienos apsaugos tarnybos </w:t>
      </w:r>
      <w:r w:rsidRPr="00A20FA9">
        <w:rPr>
          <w:rFonts w:eastAsia="NSimSun"/>
          <w:bCs/>
          <w:kern w:val="2"/>
          <w:szCs w:val="24"/>
          <w:lang w:eastAsia="lt-LT"/>
        </w:rPr>
        <w:t>pareigūnai nedelsdami, bet ne vėliau kaip per valandą nuo pranešimo apie nušalinimą nuo transporto priemonės vairavimo, įvykio vietos apžiūros protokolo, laikino sulaikymo protokolo ar administracinio sulaikymo protokolo surašymo, išrašo Taisyklių 3</w:t>
      </w:r>
      <w:r w:rsidRPr="00A20FA9">
        <w:rPr>
          <w:rFonts w:eastAsia="NSimSun"/>
          <w:bCs/>
          <w:strike/>
          <w:kern w:val="2"/>
          <w:szCs w:val="24"/>
          <w:lang w:eastAsia="lt-LT"/>
        </w:rPr>
        <w:t>, 4</w:t>
      </w:r>
      <w:r w:rsidRPr="00A20FA9">
        <w:rPr>
          <w:rFonts w:eastAsia="NSimSun"/>
          <w:bCs/>
          <w:kern w:val="2"/>
          <w:szCs w:val="24"/>
          <w:lang w:eastAsia="lt-LT"/>
        </w:rPr>
        <w:t xml:space="preserve"> ir 8 punktuose nurodytiems asmenims siuntimą į asmens sveikatos priežiūros įstaigą atlikti medicininės apžiūros ir pristato šiuos asmenis į asmens sveikatos priežiūros įstaigą.“</w:t>
      </w:r>
    </w:p>
    <w:p w:rsidR="00AA6BEC" w:rsidRPr="00A20FA9" w:rsidRDefault="00AA6BEC" w:rsidP="00AA6BEC">
      <w:pPr>
        <w:widowControl/>
        <w:tabs>
          <w:tab w:val="left" w:pos="852"/>
        </w:tabs>
        <w:autoSpaceDN/>
        <w:ind w:firstLine="851"/>
        <w:jc w:val="both"/>
        <w:textAlignment w:val="auto"/>
        <w:rPr>
          <w:bCs/>
          <w:kern w:val="2"/>
          <w:szCs w:val="24"/>
          <w:lang w:eastAsia="lt-LT"/>
        </w:rPr>
      </w:pPr>
      <w:r w:rsidRPr="00A20FA9">
        <w:rPr>
          <w:rFonts w:eastAsia="NSimSun"/>
          <w:bCs/>
          <w:kern w:val="2"/>
          <w:szCs w:val="24"/>
          <w:lang w:eastAsia="lt-LT"/>
        </w:rPr>
        <w:t>2.</w:t>
      </w:r>
      <w:r w:rsidR="0012621E">
        <w:rPr>
          <w:rFonts w:eastAsia="NSimSun"/>
          <w:bCs/>
          <w:kern w:val="2"/>
          <w:szCs w:val="24"/>
          <w:lang w:eastAsia="lt-LT"/>
        </w:rPr>
        <w:t>6</w:t>
      </w:r>
      <w:r w:rsidRPr="00A20FA9">
        <w:rPr>
          <w:rFonts w:eastAsia="NSimSun"/>
          <w:bCs/>
          <w:kern w:val="2"/>
          <w:szCs w:val="24"/>
          <w:lang w:eastAsia="lt-LT"/>
        </w:rPr>
        <w:t>. Pakeisti 29 punktą ir jį išdėstyti taip:</w:t>
      </w:r>
    </w:p>
    <w:p w:rsidR="00AA6BEC" w:rsidRPr="00A20FA9" w:rsidRDefault="00AA6BEC" w:rsidP="00AA6BEC">
      <w:pPr>
        <w:widowControl/>
        <w:tabs>
          <w:tab w:val="left" w:pos="851"/>
        </w:tabs>
        <w:autoSpaceDN/>
        <w:jc w:val="both"/>
        <w:rPr>
          <w:kern w:val="2"/>
          <w:lang w:eastAsia="lt-LT"/>
        </w:rPr>
      </w:pPr>
      <w:r w:rsidRPr="00A20FA9">
        <w:rPr>
          <w:rFonts w:eastAsia="NSimSun"/>
          <w:bCs/>
          <w:kern w:val="2"/>
          <w:szCs w:val="24"/>
          <w:lang w:eastAsia="lt-LT"/>
        </w:rPr>
        <w:tab/>
        <w:t>„</w:t>
      </w:r>
      <w:r w:rsidRPr="00A20FA9">
        <w:rPr>
          <w:kern w:val="2"/>
          <w:szCs w:val="24"/>
          <w:lang w:eastAsia="lt-LT"/>
        </w:rPr>
        <w:t xml:space="preserve">29. Jeigu asmuo </w:t>
      </w:r>
      <w:r w:rsidRPr="00A20FA9">
        <w:rPr>
          <w:strike/>
          <w:kern w:val="2"/>
          <w:szCs w:val="24"/>
          <w:lang w:eastAsia="lt-LT"/>
        </w:rPr>
        <w:t>atsisako tikrintis arba medicininės apžiūros ar</w:t>
      </w:r>
      <w:r w:rsidRPr="00A20FA9">
        <w:rPr>
          <w:kern w:val="2"/>
          <w:szCs w:val="24"/>
          <w:lang w:eastAsia="lt-LT"/>
        </w:rPr>
        <w:t xml:space="preserve"> nesutinka su tikrinimo ar medicininės apžiūros, atliktos policijos</w:t>
      </w:r>
      <w:r w:rsidRPr="00A20FA9">
        <w:rPr>
          <w:rFonts w:eastAsia="NSimSun"/>
          <w:bCs/>
          <w:kern w:val="2"/>
          <w:szCs w:val="24"/>
          <w:lang w:eastAsia="lt-LT"/>
        </w:rPr>
        <w:t xml:space="preserve">, Valstybės sienos apsaugos tarnybos </w:t>
      </w:r>
      <w:r w:rsidRPr="00A20FA9">
        <w:rPr>
          <w:kern w:val="2"/>
          <w:szCs w:val="24"/>
          <w:lang w:eastAsia="lt-LT"/>
        </w:rPr>
        <w:t xml:space="preserve">ar Administracijos, ikiteisminio tyrimo įstaigų, prokuratūros, teismo, darbdavio siuntimu, rezultatais, jis ne vėliau kaip per valandą po to, kai </w:t>
      </w:r>
      <w:r w:rsidRPr="00A20FA9">
        <w:rPr>
          <w:strike/>
          <w:kern w:val="2"/>
          <w:szCs w:val="24"/>
          <w:lang w:eastAsia="lt-LT"/>
        </w:rPr>
        <w:t>atsisako tikrintis ar medicininės apžiūros arba</w:t>
      </w:r>
      <w:r w:rsidRPr="00A20FA9">
        <w:rPr>
          <w:kern w:val="2"/>
          <w:szCs w:val="24"/>
          <w:lang w:eastAsia="lt-LT"/>
        </w:rPr>
        <w:t xml:space="preserve"> jam atliktas tikrinimas ar medicininė apžiūra, gali pats kreiptis į asmens sveikatos priežiūros įstaigą, prašydamas atlikti medicininę apžiūrą jo lėšomis.</w:t>
      </w:r>
    </w:p>
    <w:p w:rsidR="00AA6BEC" w:rsidRPr="00A20FA9" w:rsidRDefault="00AA6BEC" w:rsidP="00AA6BEC">
      <w:pPr>
        <w:widowControl/>
        <w:tabs>
          <w:tab w:val="left" w:pos="851"/>
        </w:tabs>
        <w:autoSpaceDN/>
        <w:jc w:val="both"/>
        <w:rPr>
          <w:kern w:val="2"/>
          <w:lang w:eastAsia="lt-LT"/>
        </w:rPr>
      </w:pPr>
      <w:r w:rsidRPr="00A20FA9">
        <w:rPr>
          <w:b/>
          <w:bCs/>
          <w:kern w:val="2"/>
          <w:lang w:eastAsia="lt-LT"/>
        </w:rPr>
        <w:tab/>
        <w:t xml:space="preserve">Tais atvejais, kai asmuo </w:t>
      </w:r>
      <w:r w:rsidRPr="00A20FA9">
        <w:rPr>
          <w:b/>
          <w:bCs/>
          <w:kern w:val="2"/>
          <w:szCs w:val="24"/>
          <w:lang w:eastAsia="lt-LT"/>
        </w:rPr>
        <w:t>nesutinka su tikrinimo ar medicininės apžiūros, atliktos policijos</w:t>
      </w:r>
      <w:r w:rsidRPr="00A20FA9">
        <w:rPr>
          <w:rFonts w:eastAsia="NSimSun"/>
          <w:b/>
          <w:bCs/>
          <w:kern w:val="2"/>
          <w:szCs w:val="24"/>
          <w:lang w:eastAsia="lt-LT"/>
        </w:rPr>
        <w:t xml:space="preserve">, Valstybės sienos apsaugos tarnybos </w:t>
      </w:r>
      <w:r w:rsidRPr="00A20FA9">
        <w:rPr>
          <w:b/>
          <w:bCs/>
          <w:kern w:val="2"/>
          <w:szCs w:val="24"/>
          <w:lang w:eastAsia="lt-LT"/>
        </w:rPr>
        <w:t xml:space="preserve">ar </w:t>
      </w:r>
      <w:r w:rsidR="00DB2548">
        <w:rPr>
          <w:b/>
          <w:bCs/>
          <w:kern w:val="2"/>
          <w:szCs w:val="24"/>
          <w:lang w:eastAsia="lt-LT"/>
        </w:rPr>
        <w:t>A</w:t>
      </w:r>
      <w:r w:rsidRPr="00A20FA9">
        <w:rPr>
          <w:b/>
          <w:bCs/>
          <w:kern w:val="2"/>
          <w:szCs w:val="24"/>
          <w:lang w:eastAsia="lt-LT"/>
        </w:rPr>
        <w:t xml:space="preserve">dministracijos, ikiteisminio tyrimo įstaigų, prokuratūros, teismo siuntimu, rezultatais ir jis </w:t>
      </w:r>
      <w:r w:rsidRPr="00A20FA9">
        <w:rPr>
          <w:b/>
          <w:bCs/>
          <w:kern w:val="2"/>
          <w:lang w:eastAsia="lt-LT"/>
        </w:rPr>
        <w:t>yra sulaikytas</w:t>
      </w:r>
      <w:r w:rsidRPr="00A20FA9">
        <w:rPr>
          <w:b/>
          <w:bCs/>
          <w:kern w:val="2"/>
          <w:szCs w:val="24"/>
          <w:lang w:eastAsia="lt-LT"/>
        </w:rPr>
        <w:t xml:space="preserve">, asmens prašymu per šio punkto pirmojoje pastraipoje nurodytą terminą asmuo </w:t>
      </w:r>
      <w:r w:rsidRPr="00A20FA9">
        <w:rPr>
          <w:rFonts w:eastAsia="NSimSun"/>
          <w:b/>
          <w:bCs/>
          <w:kern w:val="2"/>
          <w:szCs w:val="24"/>
          <w:lang w:eastAsia="lt-LT"/>
        </w:rPr>
        <w:t>pristatomas į asmens sveikatos priežiūros įstaigą atlikti medicininę apžiūrą jo lėšomis.</w:t>
      </w:r>
      <w:r w:rsidRPr="00A20FA9">
        <w:rPr>
          <w:rFonts w:eastAsia="NSimSun"/>
          <w:kern w:val="2"/>
          <w:szCs w:val="24"/>
          <w:lang w:eastAsia="lt-LT"/>
        </w:rPr>
        <w:t>“</w:t>
      </w:r>
    </w:p>
    <w:p w:rsidR="00AA6BEC" w:rsidRPr="00A20FA9" w:rsidRDefault="00AA6BEC" w:rsidP="00AA6BEC">
      <w:pPr>
        <w:widowControl/>
        <w:tabs>
          <w:tab w:val="left" w:pos="852"/>
        </w:tabs>
        <w:autoSpaceDN/>
        <w:ind w:firstLine="851"/>
        <w:jc w:val="both"/>
        <w:textAlignment w:val="auto"/>
        <w:rPr>
          <w:bCs/>
          <w:kern w:val="2"/>
          <w:szCs w:val="24"/>
          <w:lang w:eastAsia="lt-LT"/>
        </w:rPr>
      </w:pPr>
      <w:r w:rsidRPr="00A20FA9">
        <w:rPr>
          <w:bCs/>
          <w:kern w:val="2"/>
          <w:szCs w:val="24"/>
          <w:lang w:eastAsia="lt-LT"/>
        </w:rPr>
        <w:t>3. Šis nutarimas įsigalioja 2019 m. balandžio 1 d.</w:t>
      </w:r>
    </w:p>
    <w:p w:rsidR="00AA6BEC" w:rsidRPr="00AA6BEC" w:rsidRDefault="00AA6BEC" w:rsidP="00AA6BEC">
      <w:pPr>
        <w:widowControl/>
        <w:tabs>
          <w:tab w:val="left" w:pos="852"/>
        </w:tabs>
        <w:autoSpaceDN/>
        <w:ind w:firstLine="851"/>
        <w:jc w:val="both"/>
        <w:textAlignment w:val="auto"/>
        <w:rPr>
          <w:bCs/>
          <w:color w:val="000000"/>
          <w:kern w:val="2"/>
          <w:szCs w:val="24"/>
          <w:lang w:eastAsia="lt-LT"/>
        </w:rPr>
      </w:pPr>
    </w:p>
    <w:p w:rsidR="00AA6BEC" w:rsidRPr="00AA6BEC" w:rsidRDefault="00AA6BEC" w:rsidP="00AA6BEC">
      <w:pPr>
        <w:widowControl/>
        <w:tabs>
          <w:tab w:val="left" w:pos="852"/>
        </w:tabs>
        <w:autoSpaceDN/>
        <w:ind w:firstLine="851"/>
        <w:jc w:val="both"/>
        <w:textAlignment w:val="auto"/>
        <w:rPr>
          <w:bCs/>
          <w:color w:val="000000"/>
          <w:kern w:val="2"/>
          <w:szCs w:val="24"/>
          <w:lang w:eastAsia="lt-LT"/>
        </w:rPr>
      </w:pPr>
    </w:p>
    <w:p w:rsidR="00AA6BEC" w:rsidRPr="00AA6BEC" w:rsidRDefault="00AA6BEC" w:rsidP="00AA6BEC">
      <w:pPr>
        <w:widowControl/>
        <w:tabs>
          <w:tab w:val="left" w:pos="852"/>
        </w:tabs>
        <w:autoSpaceDN/>
        <w:ind w:firstLine="851"/>
        <w:jc w:val="both"/>
        <w:textAlignment w:val="auto"/>
        <w:rPr>
          <w:bCs/>
          <w:color w:val="000000"/>
          <w:kern w:val="2"/>
          <w:szCs w:val="24"/>
          <w:lang w:eastAsia="lt-LT"/>
        </w:rPr>
      </w:pPr>
    </w:p>
    <w:p w:rsidR="00AA6BEC" w:rsidRPr="00AA6BEC" w:rsidRDefault="00AA6BEC" w:rsidP="00AA6BEC">
      <w:pPr>
        <w:widowControl/>
        <w:tabs>
          <w:tab w:val="left" w:pos="6237"/>
        </w:tabs>
        <w:autoSpaceDN/>
        <w:textAlignment w:val="auto"/>
        <w:rPr>
          <w:color w:val="00000A"/>
          <w:kern w:val="2"/>
          <w:szCs w:val="24"/>
          <w:lang w:eastAsia="lt-LT"/>
        </w:rPr>
      </w:pPr>
      <w:r w:rsidRPr="00AA6BEC">
        <w:rPr>
          <w:color w:val="00000A"/>
          <w:kern w:val="2"/>
          <w:szCs w:val="24"/>
          <w:lang w:eastAsia="lt-LT"/>
        </w:rPr>
        <w:t>Ministras Pirmininkas</w:t>
      </w:r>
      <w:r w:rsidRPr="00AA6BEC">
        <w:rPr>
          <w:color w:val="00000A"/>
          <w:kern w:val="2"/>
          <w:szCs w:val="24"/>
          <w:lang w:eastAsia="lt-LT"/>
        </w:rPr>
        <w:tab/>
      </w:r>
    </w:p>
    <w:p w:rsidR="00AA6BEC" w:rsidRPr="00AA6BEC" w:rsidRDefault="00AA6BEC" w:rsidP="00AA6BEC">
      <w:pPr>
        <w:widowControl/>
        <w:tabs>
          <w:tab w:val="left" w:pos="6804"/>
        </w:tabs>
        <w:autoSpaceDN/>
        <w:textAlignment w:val="auto"/>
        <w:rPr>
          <w:color w:val="00000A"/>
          <w:kern w:val="2"/>
          <w:szCs w:val="24"/>
          <w:lang w:eastAsia="lt-LT"/>
        </w:rPr>
      </w:pPr>
    </w:p>
    <w:p w:rsidR="00AA6BEC" w:rsidRDefault="00AA6BEC" w:rsidP="00AA6BEC">
      <w:pPr>
        <w:widowControl/>
        <w:tabs>
          <w:tab w:val="left" w:pos="6804"/>
        </w:tabs>
        <w:autoSpaceDN/>
        <w:textAlignment w:val="auto"/>
        <w:rPr>
          <w:color w:val="00000A"/>
          <w:kern w:val="2"/>
          <w:szCs w:val="24"/>
          <w:lang w:eastAsia="lt-LT"/>
        </w:rPr>
      </w:pPr>
    </w:p>
    <w:p w:rsidR="007E3BB4" w:rsidRPr="00AA6BEC" w:rsidRDefault="007E3BB4" w:rsidP="00AA6BEC">
      <w:pPr>
        <w:widowControl/>
        <w:tabs>
          <w:tab w:val="left" w:pos="6804"/>
        </w:tabs>
        <w:autoSpaceDN/>
        <w:textAlignment w:val="auto"/>
        <w:rPr>
          <w:color w:val="00000A"/>
          <w:kern w:val="2"/>
          <w:szCs w:val="24"/>
          <w:lang w:eastAsia="lt-LT"/>
        </w:rPr>
      </w:pPr>
    </w:p>
    <w:p w:rsidR="00AA6BEC" w:rsidRPr="00AA6BEC" w:rsidRDefault="00AA6BEC" w:rsidP="00AA6BEC">
      <w:pPr>
        <w:widowControl/>
        <w:autoSpaceDN/>
        <w:textAlignment w:val="auto"/>
        <w:rPr>
          <w:color w:val="00000A"/>
          <w:kern w:val="2"/>
          <w:szCs w:val="24"/>
          <w:lang w:eastAsia="lt-LT"/>
        </w:rPr>
      </w:pPr>
      <w:r w:rsidRPr="00AA6BEC">
        <w:rPr>
          <w:color w:val="00000A"/>
          <w:kern w:val="2"/>
          <w:szCs w:val="24"/>
          <w:lang w:eastAsia="lt-LT"/>
        </w:rPr>
        <w:t>Vidaus reikalų ministras</w:t>
      </w:r>
      <w:r w:rsidRPr="00AA6BEC">
        <w:rPr>
          <w:color w:val="00000A"/>
          <w:kern w:val="2"/>
          <w:szCs w:val="24"/>
          <w:lang w:eastAsia="lt-LT"/>
        </w:rPr>
        <w:tab/>
      </w:r>
    </w:p>
    <w:p w:rsidR="00FC7B51" w:rsidRDefault="00FC7B51" w:rsidP="00AA6BEC">
      <w:pPr>
        <w:pStyle w:val="Standard"/>
        <w:jc w:val="center"/>
        <w:rPr>
          <w:rFonts w:eastAsia="Calibri"/>
          <w:szCs w:val="24"/>
        </w:rPr>
      </w:pPr>
    </w:p>
    <w:sectPr w:rsidR="00FC7B51">
      <w:headerReference w:type="default" r:id="rId7"/>
      <w:footerReference w:type="default" r:id="rId8"/>
      <w:headerReference w:type="first" r:id="rId9"/>
      <w:footerReference w:type="first" r:id="rId10"/>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17E" w:rsidRDefault="004B617E">
      <w:r>
        <w:separator/>
      </w:r>
    </w:p>
  </w:endnote>
  <w:endnote w:type="continuationSeparator" w:id="0">
    <w:p w:rsidR="004B617E" w:rsidRDefault="004B6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BF2" w:rsidRDefault="004B617E">
    <w:pPr>
      <w:pStyle w:val="Standard"/>
      <w:tabs>
        <w:tab w:val="center" w:pos="4819"/>
        <w:tab w:val="right" w:pos="9638"/>
      </w:tabs>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BF2" w:rsidRDefault="004B617E">
    <w:pPr>
      <w:pStyle w:val="Standard"/>
      <w:tabs>
        <w:tab w:val="center" w:pos="4819"/>
        <w:tab w:val="right" w:pos="9638"/>
      </w:tabs>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17E" w:rsidRDefault="004B617E">
      <w:r>
        <w:rPr>
          <w:color w:val="000000"/>
        </w:rPr>
        <w:separator/>
      </w:r>
    </w:p>
  </w:footnote>
  <w:footnote w:type="continuationSeparator" w:id="0">
    <w:p w:rsidR="004B617E" w:rsidRDefault="004B6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BF2" w:rsidRDefault="004B50D2">
    <w:pPr>
      <w:pStyle w:val="Standard"/>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w:instrText>
    </w:r>
    <w:r>
      <w:rPr>
        <w:rFonts w:eastAsia="Calibri"/>
        <w:szCs w:val="24"/>
      </w:rPr>
      <w:fldChar w:fldCharType="separate"/>
    </w:r>
    <w:r w:rsidR="00335B81">
      <w:rPr>
        <w:rFonts w:eastAsia="Calibri"/>
        <w:noProof/>
        <w:szCs w:val="24"/>
      </w:rPr>
      <w:t>2</w:t>
    </w:r>
    <w:r>
      <w:rPr>
        <w:rFonts w:eastAsia="Calibri"/>
        <w:szCs w:val="24"/>
      </w:rPr>
      <w:fldChar w:fldCharType="end"/>
    </w:r>
  </w:p>
  <w:p w:rsidR="00507BF2" w:rsidRDefault="004B617E">
    <w:pPr>
      <w:pStyle w:val="Standard"/>
      <w:tabs>
        <w:tab w:val="center" w:pos="4819"/>
        <w:tab w:val="right" w:pos="9638"/>
      </w:tabs>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BF2" w:rsidRDefault="004B50D2" w:rsidP="00ED4839">
    <w:pPr>
      <w:pStyle w:val="Standard"/>
      <w:tabs>
        <w:tab w:val="center" w:pos="4819"/>
        <w:tab w:val="right" w:pos="9638"/>
      </w:tabs>
      <w:rPr>
        <w:rFonts w:eastAsia="Calibri"/>
        <w:b/>
        <w:szCs w:val="24"/>
      </w:rPr>
    </w:pPr>
    <w:r>
      <w:rPr>
        <w:rFonts w:eastAsia="Calibri"/>
        <w:b/>
        <w:szCs w:val="24"/>
      </w:rPr>
      <w:tab/>
      <w:t xml:space="preserve">                                                                                                    Projekto</w:t>
    </w:r>
  </w:p>
  <w:p w:rsidR="00507BF2" w:rsidRDefault="004B50D2" w:rsidP="00ED4839">
    <w:pPr>
      <w:pStyle w:val="Standard"/>
      <w:tabs>
        <w:tab w:val="center" w:pos="4819"/>
        <w:tab w:val="right" w:pos="9638"/>
      </w:tabs>
      <w:rPr>
        <w:rFonts w:eastAsia="Calibri"/>
        <w:b/>
        <w:szCs w:val="24"/>
      </w:rPr>
    </w:pPr>
    <w:r>
      <w:rPr>
        <w:rFonts w:eastAsia="Calibri"/>
        <w:b/>
        <w:szCs w:val="24"/>
      </w:rPr>
      <w:t xml:space="preserve">                                                                                                                           lyginamasis variantas</w:t>
    </w:r>
  </w:p>
  <w:p w:rsidR="00507BF2" w:rsidRDefault="004B617E">
    <w:pPr>
      <w:pStyle w:val="Standard"/>
      <w:tabs>
        <w:tab w:val="center" w:pos="4819"/>
        <w:tab w:val="right" w:pos="9638"/>
      </w:tabs>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1A779B"/>
    <w:multiLevelType w:val="multilevel"/>
    <w:tmpl w:val="75664C7E"/>
    <w:styleLink w:val="Sraonr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B51"/>
    <w:rsid w:val="000407C6"/>
    <w:rsid w:val="0006295B"/>
    <w:rsid w:val="00074CFE"/>
    <w:rsid w:val="000920B3"/>
    <w:rsid w:val="0012621E"/>
    <w:rsid w:val="0020155C"/>
    <w:rsid w:val="00215063"/>
    <w:rsid w:val="00243DA8"/>
    <w:rsid w:val="00280C71"/>
    <w:rsid w:val="002D2B48"/>
    <w:rsid w:val="00335B81"/>
    <w:rsid w:val="004960F2"/>
    <w:rsid w:val="004B50D2"/>
    <w:rsid w:val="004B617E"/>
    <w:rsid w:val="00557ECA"/>
    <w:rsid w:val="006863E1"/>
    <w:rsid w:val="00693B0E"/>
    <w:rsid w:val="0070587C"/>
    <w:rsid w:val="00750248"/>
    <w:rsid w:val="007E3BB4"/>
    <w:rsid w:val="008728A7"/>
    <w:rsid w:val="00914EA2"/>
    <w:rsid w:val="009204E9"/>
    <w:rsid w:val="0098769A"/>
    <w:rsid w:val="009E5EA4"/>
    <w:rsid w:val="00A20FA9"/>
    <w:rsid w:val="00A34CEF"/>
    <w:rsid w:val="00AA6BEC"/>
    <w:rsid w:val="00B122FA"/>
    <w:rsid w:val="00B259B2"/>
    <w:rsid w:val="00BE7D5E"/>
    <w:rsid w:val="00C8587C"/>
    <w:rsid w:val="00D31E06"/>
    <w:rsid w:val="00D43DB5"/>
    <w:rsid w:val="00DB2548"/>
    <w:rsid w:val="00DD3A6F"/>
    <w:rsid w:val="00E75020"/>
    <w:rsid w:val="00ED4839"/>
    <w:rsid w:val="00EE1456"/>
    <w:rsid w:val="00EF2C29"/>
    <w:rsid w:val="00F22D72"/>
    <w:rsid w:val="00F93E30"/>
    <w:rsid w:val="00FC7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99C94C-4B00-444F-AE36-BE25D0B1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Sraas">
    <w:name w:val="List"/>
    <w:basedOn w:val="Textbody"/>
    <w:rPr>
      <w:rFonts w:cs="Arial"/>
    </w:rPr>
  </w:style>
  <w:style w:type="paragraph" w:styleId="Antrat">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customStyle="1" w:styleId="Standarduser">
    <w:name w:val="Standard (user)"/>
    <w:pPr>
      <w:widowControl/>
    </w:pPr>
  </w:style>
  <w:style w:type="paragraph" w:styleId="Antrats">
    <w:name w:val="header"/>
    <w:basedOn w:val="Standarduser"/>
    <w:pPr>
      <w:suppressLineNumbers/>
      <w:tabs>
        <w:tab w:val="center" w:pos="4819"/>
        <w:tab w:val="right" w:pos="9638"/>
      </w:tabs>
    </w:pPr>
  </w:style>
  <w:style w:type="paragraph" w:styleId="Porat">
    <w:name w:val="footer"/>
    <w:basedOn w:val="Standarduser"/>
    <w:pPr>
      <w:suppressLineNumbers/>
      <w:tabs>
        <w:tab w:val="center" w:pos="4819"/>
        <w:tab w:val="right" w:pos="9638"/>
      </w:tabs>
    </w:pPr>
  </w:style>
  <w:style w:type="paragraph" w:customStyle="1" w:styleId="Textbodyuser">
    <w:name w:val="Text body (user)"/>
    <w:basedOn w:val="Standarduser"/>
    <w:pPr>
      <w:spacing w:after="283" w:line="288" w:lineRule="auto"/>
    </w:pPr>
  </w:style>
  <w:style w:type="paragraph" w:styleId="Debesliotekstas">
    <w:name w:val="Balloon Text"/>
    <w:basedOn w:val="Standard"/>
    <w:rPr>
      <w:rFonts w:ascii="Segoe UI" w:eastAsia="Segoe UI" w:hAnsi="Segoe UI" w:cs="Segoe UI"/>
      <w:sz w:val="18"/>
      <w:szCs w:val="18"/>
    </w:rPr>
  </w:style>
  <w:style w:type="character" w:customStyle="1" w:styleId="DebesliotekstasDiagrama">
    <w:name w:val="Debesėlio tekstas Diagrama"/>
    <w:basedOn w:val="Numatytasispastraiposriftas"/>
    <w:rPr>
      <w:rFonts w:ascii="Segoe UI" w:eastAsia="Segoe UI" w:hAnsi="Segoe UI" w:cs="Segoe UI"/>
      <w:sz w:val="18"/>
      <w:szCs w:val="18"/>
    </w:rPr>
  </w:style>
  <w:style w:type="numbering" w:customStyle="1" w:styleId="Sraonra1">
    <w:name w:val="Sąrašo nėra1"/>
    <w:basedOn w:val="Sraonr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4585</Words>
  <Characters>2614</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2019-01-25T10:33:00Z</dcterms:created>
  <dc:creator>Germanas Politika</dc:creator>
  <cp:lastModifiedBy>Jurgita Laskevičiūtė</cp:lastModifiedBy>
  <cp:lastPrinted>2018-07-13T10:26:00Z</cp:lastPrinted>
  <dcterms:modified xsi:type="dcterms:W3CDTF">2019-02-25T11:14:00Z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