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ayout w:type="fixed"/>
        <w:tblLook w:val="0000" w:firstRow="0" w:lastRow="0" w:firstColumn="0" w:lastColumn="0" w:noHBand="0" w:noVBand="0"/>
      </w:tblPr>
      <w:tblGrid>
        <w:gridCol w:w="3784"/>
        <w:gridCol w:w="16"/>
      </w:tblGrid>
      <w:tr w:rsidR="00033F22" w:rsidTr="009163F8">
        <w:trPr>
          <w:cantSplit/>
          <w:trHeight w:val="340"/>
        </w:trPr>
        <w:tc>
          <w:tcPr>
            <w:tcW w:w="3800" w:type="dxa"/>
            <w:gridSpan w:val="2"/>
          </w:tcPr>
          <w:p w:rsidR="00033F22" w:rsidRDefault="009163F8" w:rsidP="009163F8">
            <w:pPr>
              <w:framePr w:hSpace="180" w:wrap="around" w:vAnchor="text" w:hAnchor="page" w:x="7570" w:y="12"/>
              <w:ind w:right="24"/>
            </w:pPr>
            <w:bookmarkStart w:id="0" w:name="_GoBack"/>
            <w:bookmarkEnd w:id="0"/>
            <w:r>
              <w:t xml:space="preserve">  </w:t>
            </w:r>
            <w:r w:rsidR="00033F22">
              <w:t>20</w:t>
            </w:r>
            <w:r w:rsidR="00935287">
              <w:t>1</w:t>
            </w:r>
            <w:r w:rsidR="00AD37E3">
              <w:t>9</w:t>
            </w:r>
            <w:r w:rsidR="00033F22">
              <w:t>-</w:t>
            </w:r>
            <w:r>
              <w:t xml:space="preserve">07- </w:t>
            </w:r>
            <w:r w:rsidR="00E75D83">
              <w:t xml:space="preserve"> </w:t>
            </w:r>
            <w:r>
              <w:t xml:space="preserve">   </w:t>
            </w:r>
            <w:r w:rsidR="00033F22">
              <w:t xml:space="preserve">Nr. </w:t>
            </w:r>
          </w:p>
        </w:tc>
      </w:tr>
      <w:tr w:rsidR="00033F22" w:rsidTr="009163F8">
        <w:trPr>
          <w:gridAfter w:val="1"/>
          <w:wAfter w:w="16" w:type="dxa"/>
          <w:cantSplit/>
          <w:trHeight w:val="340"/>
        </w:trPr>
        <w:tc>
          <w:tcPr>
            <w:tcW w:w="3784" w:type="dxa"/>
          </w:tcPr>
          <w:p w:rsidR="00033F22" w:rsidRDefault="00AD37E3" w:rsidP="009163F8">
            <w:pPr>
              <w:framePr w:hSpace="180" w:wrap="around" w:vAnchor="text" w:hAnchor="page" w:x="7570" w:y="12"/>
              <w:ind w:right="24"/>
            </w:pPr>
            <w:r>
              <w:t>Į 2019</w:t>
            </w:r>
            <w:r w:rsidR="00E75D83">
              <w:t>-</w:t>
            </w:r>
            <w:r w:rsidR="009163F8">
              <w:t xml:space="preserve">06-26 </w:t>
            </w:r>
            <w:r w:rsidR="00E75D83">
              <w:t>Nr.</w:t>
            </w:r>
            <w:r w:rsidR="009163F8">
              <w:t xml:space="preserve"> (30.4-53E)-3-2466</w:t>
            </w:r>
          </w:p>
        </w:tc>
      </w:tr>
    </w:tbl>
    <w:p w:rsidR="00E75D83" w:rsidRDefault="009163F8" w:rsidP="00E75D83">
      <w:pPr>
        <w:pStyle w:val="Adresas"/>
      </w:pPr>
      <w:r>
        <w:t xml:space="preserve">Lietuvos Respublikos ekonomikos ir inovacijų ministerijai </w:t>
      </w:r>
    </w:p>
    <w:p w:rsidR="00E75D83" w:rsidRDefault="00E75D83" w:rsidP="00E75D83">
      <w:pPr>
        <w:pStyle w:val="Adresas"/>
      </w:pPr>
    </w:p>
    <w:p w:rsidR="00E75D83" w:rsidRDefault="00E75D83" w:rsidP="00E75D83">
      <w:pPr>
        <w:pStyle w:val="Adresas"/>
      </w:pPr>
    </w:p>
    <w:p w:rsidR="00E75D83" w:rsidRPr="00CA1F17" w:rsidRDefault="00E75D83" w:rsidP="00E75D83">
      <w:pPr>
        <w:pStyle w:val="Kopija"/>
        <w:ind w:right="279"/>
      </w:pPr>
    </w:p>
    <w:p w:rsidR="000C1D2E" w:rsidRDefault="000C1D2E" w:rsidP="00524387">
      <w:pPr>
        <w:jc w:val="both"/>
        <w:rPr>
          <w:b/>
          <w:caps/>
        </w:rPr>
      </w:pPr>
    </w:p>
    <w:p w:rsidR="00E75D83" w:rsidRDefault="00524387" w:rsidP="00524387">
      <w:pPr>
        <w:jc w:val="both"/>
      </w:pPr>
      <w:r>
        <w:rPr>
          <w:b/>
          <w:caps/>
        </w:rPr>
        <w:t xml:space="preserve">DĖL </w:t>
      </w:r>
      <w:r w:rsidRPr="00524387">
        <w:rPr>
          <w:b/>
          <w:caps/>
        </w:rPr>
        <w:t>Lietuvos Respublikos Vyriausybės nutarimo „Dėl Lietuvos Respublikos Vyriausybės 2001 m. liepos 11 d. nutarimo Nr. 887 „Dėl uždarosios akcinės bendrovės „Investicijų ir verslo garantijos“</w:t>
      </w:r>
      <w:r>
        <w:rPr>
          <w:b/>
          <w:caps/>
        </w:rPr>
        <w:t xml:space="preserve"> veiklos“ pakeitimo“ projekto</w:t>
      </w:r>
      <w:r w:rsidRPr="00524387">
        <w:rPr>
          <w:b/>
          <w:caps/>
        </w:rPr>
        <w:t xml:space="preserve"> ir </w:t>
      </w:r>
      <w:r>
        <w:rPr>
          <w:b/>
          <w:caps/>
        </w:rPr>
        <w:t xml:space="preserve">Lietuvos respublikos </w:t>
      </w:r>
      <w:r w:rsidRPr="00524387">
        <w:rPr>
          <w:b/>
          <w:caps/>
        </w:rPr>
        <w:t>Vyriausybės nutarimo „Dėl kai kurių Lietuvos Respublikos Vyriausybės nutarimų pripažin</w:t>
      </w:r>
      <w:r>
        <w:rPr>
          <w:b/>
          <w:caps/>
        </w:rPr>
        <w:t xml:space="preserve">imo netekusiais galios“ projekto </w:t>
      </w:r>
    </w:p>
    <w:p w:rsidR="00E75D83" w:rsidRDefault="00E75D83" w:rsidP="00E75D83">
      <w:pPr>
        <w:ind w:firstLine="1276"/>
        <w:jc w:val="both"/>
      </w:pPr>
    </w:p>
    <w:p w:rsidR="00E75D83" w:rsidRPr="00CA1F17" w:rsidRDefault="00E75D83" w:rsidP="00524387">
      <w:pPr>
        <w:jc w:val="both"/>
      </w:pPr>
    </w:p>
    <w:p w:rsidR="00E75D83" w:rsidRDefault="00524387" w:rsidP="00E75D83">
      <w:pPr>
        <w:ind w:firstLine="1276"/>
        <w:jc w:val="both"/>
      </w:pPr>
      <w:r>
        <w:t xml:space="preserve">Lietuvos Respublikos teisingumo ministerija gavo išvadai gauti pateiktus </w:t>
      </w:r>
      <w:hyperlink r:id="rId8" w:history="1">
        <w:r w:rsidRPr="00067718">
          <w:rPr>
            <w:rStyle w:val="Hipersaitas"/>
          </w:rPr>
          <w:t>Lietuvos Respublikos Vyriausybės nutarimo „Dėl Lietuvos Respublikos Vyriausybės 2001 m. liepos 11 d. nutarimo Nr. 887 „Dėl uždarosios akcinės bendrovės „Investicijų ir verslo garantijos“ veiklos“ pakeitimo“ projektą</w:t>
        </w:r>
      </w:hyperlink>
      <w:r w:rsidRPr="00524387">
        <w:t xml:space="preserve"> (toliau – Nutarimo projektas) ir </w:t>
      </w:r>
      <w:hyperlink r:id="rId9" w:history="1">
        <w:r w:rsidR="0053303F" w:rsidRPr="00067718">
          <w:rPr>
            <w:rStyle w:val="Hipersaitas"/>
          </w:rPr>
          <w:t xml:space="preserve">Lietuvos Respublikos </w:t>
        </w:r>
        <w:r w:rsidRPr="00067718">
          <w:rPr>
            <w:rStyle w:val="Hipersaitas"/>
          </w:rPr>
          <w:t>Vyriausybės nutarimo „Dėl kai kurių Lietuvos Respublikos Vyriausybės nutarimų pripažinimo netekusiais galios“ projektą</w:t>
        </w:r>
      </w:hyperlink>
      <w:r w:rsidRPr="00524387">
        <w:t xml:space="preserve"> (toliau kartu –</w:t>
      </w:r>
      <w:r w:rsidR="00E82412">
        <w:t xml:space="preserve"> </w:t>
      </w:r>
      <w:r w:rsidRPr="00524387">
        <w:t>projektai).</w:t>
      </w:r>
      <w:r w:rsidR="00041855">
        <w:t xml:space="preserve"> Pagal kompetenciją įvertinę projektus teikiame pastabas ir pasiūlymus: </w:t>
      </w:r>
    </w:p>
    <w:p w:rsidR="00B45B28" w:rsidRDefault="00B45B28" w:rsidP="00801381">
      <w:pPr>
        <w:pStyle w:val="Sraopastraipa"/>
        <w:numPr>
          <w:ilvl w:val="0"/>
          <w:numId w:val="12"/>
        </w:numPr>
        <w:ind w:left="0" w:firstLine="1134"/>
        <w:jc w:val="both"/>
      </w:pPr>
      <w:r>
        <w:t>R</w:t>
      </w:r>
      <w:r w:rsidRPr="00F914A1">
        <w:t>ašt</w:t>
      </w:r>
      <w:r>
        <w:t>ą</w:t>
      </w:r>
      <w:r w:rsidR="00F914A1" w:rsidRPr="00F914A1">
        <w:t>, kuriuo projekta</w:t>
      </w:r>
      <w:r w:rsidR="00F914A1">
        <w:t>i teikiami išvad</w:t>
      </w:r>
      <w:r w:rsidR="00CC3EA9">
        <w:t>oms</w:t>
      </w:r>
      <w:r w:rsidR="00F914A1">
        <w:t xml:space="preserve"> gauti,</w:t>
      </w:r>
      <w:r w:rsidR="00F914A1" w:rsidRPr="00F914A1">
        <w:t xml:space="preserve"> </w:t>
      </w:r>
      <w:r>
        <w:t>siūlytina papildyti šia informacija, pagrindžiančia Nutarimo projektu siūlomus pakeitimus:</w:t>
      </w:r>
    </w:p>
    <w:p w:rsidR="00B45B28" w:rsidRDefault="00B45B28" w:rsidP="00272B52">
      <w:pPr>
        <w:pStyle w:val="Sraopastraipa"/>
        <w:numPr>
          <w:ilvl w:val="1"/>
          <w:numId w:val="12"/>
        </w:numPr>
        <w:tabs>
          <w:tab w:val="left" w:pos="1701"/>
        </w:tabs>
        <w:ind w:left="0" w:firstLine="1134"/>
        <w:jc w:val="both"/>
      </w:pPr>
      <w:r w:rsidRPr="006418F7">
        <w:t>p</w:t>
      </w:r>
      <w:r w:rsidRPr="00272B52">
        <w:t>aaiškinti, kodėl</w:t>
      </w:r>
      <w:r w:rsidR="00A82178">
        <w:t xml:space="preserve"> siūloma nuo 2020 m. sausio 1 d. numatyti skirtingus garantijų išmokų sumos </w:t>
      </w:r>
      <w:r w:rsidR="00934DC1">
        <w:t>procentinius</w:t>
      </w:r>
      <w:r w:rsidR="00A82178">
        <w:t xml:space="preserve"> dydžius už garantijas, suteiktas verslo subjektams, veikiantiems </w:t>
      </w:r>
      <w:r w:rsidR="00A82178" w:rsidRPr="00801381">
        <w:rPr>
          <w:i/>
        </w:rPr>
        <w:t>iki 3 metų</w:t>
      </w:r>
      <w:r w:rsidR="00A82178">
        <w:t xml:space="preserve"> ir už garantijas suteiktas verslo subjektams, veikiantiems </w:t>
      </w:r>
      <w:r w:rsidR="00A82178" w:rsidRPr="00801381">
        <w:rPr>
          <w:i/>
        </w:rPr>
        <w:t>virš 3 metų</w:t>
      </w:r>
      <w:r>
        <w:t xml:space="preserve"> - </w:t>
      </w:r>
      <w:r w:rsidR="00934DC1">
        <w:t>nurodant šių siūlymų tikslą, kokiais objektyviais argumentais yra grindžiamas būtent tokio veiklos laikotarpio (iki/virš 3 metų) ir procentinio dydžio (90/95 procentų garantijos išmokos) pasirinkimas, taip pat nuostatų įsigaliojimo datą pagrindžiančią informaciją</w:t>
      </w:r>
      <w:r>
        <w:t>;</w:t>
      </w:r>
    </w:p>
    <w:p w:rsidR="00B45B28" w:rsidRDefault="00B45B28" w:rsidP="00272B52">
      <w:pPr>
        <w:pStyle w:val="Sraopastraipa"/>
        <w:numPr>
          <w:ilvl w:val="1"/>
          <w:numId w:val="12"/>
        </w:numPr>
        <w:tabs>
          <w:tab w:val="left" w:pos="1701"/>
        </w:tabs>
        <w:ind w:left="0" w:firstLine="1134"/>
        <w:jc w:val="both"/>
      </w:pPr>
      <w:r>
        <w:t>pagrįsti</w:t>
      </w:r>
      <w:r w:rsidRPr="00801381">
        <w:t xml:space="preserve">, kodėl siūloma atsisakyti šiuo metu galiojančios taisyklės, numatančios jog </w:t>
      </w:r>
      <w:r>
        <w:t>u</w:t>
      </w:r>
      <w:r w:rsidRPr="00801381">
        <w:t>ždarosios akcinės bendrovės „Investicijos ir verslo garantijos“ (toliau – INVEGA) atsakomybės dydis (atsakomybės limitas) gali būti „finansinės nuomos (lizingo) garantijos atveju – iki 60 procentų naujos (nenaudotos) gamybinės įrangos ir (arba) naujų (nenaudotų) įrenginių finansinės nuomos (lizing</w:t>
      </w:r>
      <w:r>
        <w:t>o) sutartyse nustatytos kainos“;</w:t>
      </w:r>
    </w:p>
    <w:p w:rsidR="00B45B28" w:rsidRDefault="00B45B28" w:rsidP="00272B52">
      <w:pPr>
        <w:pStyle w:val="Sraopastraipa"/>
        <w:numPr>
          <w:ilvl w:val="1"/>
          <w:numId w:val="12"/>
        </w:numPr>
        <w:tabs>
          <w:tab w:val="left" w:pos="1701"/>
        </w:tabs>
        <w:ind w:left="0" w:firstLine="1134"/>
        <w:jc w:val="both"/>
      </w:pPr>
      <w:r>
        <w:t>p</w:t>
      </w:r>
      <w:r w:rsidRPr="00A634B6">
        <w:t xml:space="preserve">agal šiuo metu galiojančią keičiamo nutarimo 2.4.3 papunkčio nuostatą „INVEGAI kompensuojama 90 procentų išmokų, išmokamų vykdant INVEGOS įsipareigojimus </w:t>
      </w:r>
      <w:r w:rsidRPr="00272B52">
        <w:rPr>
          <w:i/>
        </w:rPr>
        <w:t>pagal suteiktas garantijas</w:t>
      </w:r>
      <w:r w:rsidRPr="00A634B6">
        <w:t xml:space="preserve">“. Nutarimo projekte dėstomu 2.4.4.1 papunkčiu siūloma keisti galiojantį reguliavimą ir nustatyti „kompensuojama 90 procentų garantijų išmokų, išmokamų vykdant INVEGOS įsipareigojimus pagal suteiktas </w:t>
      </w:r>
      <w:r w:rsidRPr="00272B52">
        <w:rPr>
          <w:i/>
        </w:rPr>
        <w:t>individualias</w:t>
      </w:r>
      <w:r w:rsidRPr="00A634B6">
        <w:t xml:space="preserve"> garantijas“. </w:t>
      </w:r>
      <w:r>
        <w:t>Atsižvelgiant į tai, lieka neaišku, kodėl s</w:t>
      </w:r>
      <w:r w:rsidRPr="00A634B6">
        <w:t>iūl</w:t>
      </w:r>
      <w:r>
        <w:t>oma siaurinti kompensavimo atvejus</w:t>
      </w:r>
      <w:r w:rsidRPr="00A634B6">
        <w:t xml:space="preserve"> (atsisakoma garantijų </w:t>
      </w:r>
      <w:r>
        <w:t>išmokų kompensavimo</w:t>
      </w:r>
      <w:r w:rsidRPr="00A634B6">
        <w:t xml:space="preserve"> pagal suteiktas portfelines garantijas).</w:t>
      </w:r>
    </w:p>
    <w:p w:rsidR="00B45B28" w:rsidRDefault="00B45B28" w:rsidP="00272B52">
      <w:pPr>
        <w:pStyle w:val="Sraopastraipa"/>
        <w:numPr>
          <w:ilvl w:val="1"/>
          <w:numId w:val="12"/>
        </w:numPr>
        <w:tabs>
          <w:tab w:val="left" w:pos="1701"/>
        </w:tabs>
        <w:ind w:left="0" w:firstLine="1134"/>
        <w:jc w:val="both"/>
      </w:pPr>
      <w:r>
        <w:lastRenderedPageBreak/>
        <w:t>pagrįsti keičiamo n</w:t>
      </w:r>
      <w:r w:rsidRPr="00442DE9">
        <w:t xml:space="preserve">utarimo 4.2 papunktyje formuluojamą nuostatą, kuria įpareigojama numatyti lėšas, tačiau </w:t>
      </w:r>
      <w:r w:rsidRPr="00A06E92">
        <w:rPr>
          <w:i/>
        </w:rPr>
        <w:t>atsisakoma šiuo metu galiojančios išimties</w:t>
      </w:r>
      <w:r w:rsidRPr="00442DE9">
        <w:t xml:space="preserve"> dėl </w:t>
      </w:r>
      <w:r>
        <w:t xml:space="preserve">lėšų numatymo </w:t>
      </w:r>
      <w:r w:rsidRPr="00442DE9">
        <w:t xml:space="preserve">garantijų kredito įstaigoms teikimo už daugiabučiams namams modernizuoti teikiamas </w:t>
      </w:r>
      <w:r>
        <w:t xml:space="preserve">paskolas </w:t>
      </w:r>
      <w:r w:rsidR="006418F7">
        <w:t>veiklai</w:t>
      </w:r>
      <w:r>
        <w:t>.</w:t>
      </w:r>
    </w:p>
    <w:p w:rsidR="004F50B6" w:rsidRDefault="006418F7" w:rsidP="004F50B6">
      <w:pPr>
        <w:pStyle w:val="Sraopastraipa"/>
        <w:numPr>
          <w:ilvl w:val="0"/>
          <w:numId w:val="12"/>
        </w:numPr>
        <w:ind w:left="0" w:firstLine="1134"/>
        <w:jc w:val="both"/>
      </w:pPr>
      <w:r>
        <w:t>Papildomai atkreipiame dėmesį, kad v</w:t>
      </w:r>
      <w:r w:rsidR="00F914A1">
        <w:t xml:space="preserve">adovaujantis Vyriausybės darbo reglamento, patvirtinto Lietuvos Respublikos Vyriausybės </w:t>
      </w:r>
      <w:r w:rsidR="00F914A1" w:rsidRPr="00F914A1">
        <w:t xml:space="preserve">1994 m. rugpjūčio 11 d. </w:t>
      </w:r>
      <w:r w:rsidR="00F914A1">
        <w:t xml:space="preserve">nutarimu </w:t>
      </w:r>
      <w:r w:rsidR="00F914A1" w:rsidRPr="00F914A1">
        <w:t>Nr. 728</w:t>
      </w:r>
      <w:r w:rsidR="00F914A1">
        <w:t>, 21.2 papunkčiu</w:t>
      </w:r>
      <w:r>
        <w:t>,</w:t>
      </w:r>
      <w:r w:rsidR="00F914A1">
        <w:t xml:space="preserve"> rašte, kuriuo projektai teikiami išvad</w:t>
      </w:r>
      <w:r w:rsidR="00CC3EA9">
        <w:t>oms</w:t>
      </w:r>
      <w:r w:rsidR="00F914A1">
        <w:t xml:space="preserve"> gauti</w:t>
      </w:r>
      <w:r w:rsidR="00CC3EA9">
        <w:t>,</w:t>
      </w:r>
      <w:r w:rsidR="00F914A1">
        <w:t xml:space="preserve"> nurodyti</w:t>
      </w:r>
      <w:r>
        <w:t>nas</w:t>
      </w:r>
      <w:r w:rsidR="00F914A1">
        <w:t xml:space="preserve"> ir projektų </w:t>
      </w:r>
      <w:r>
        <w:t xml:space="preserve">galimas </w:t>
      </w:r>
      <w:r w:rsidRPr="004F50B6">
        <w:rPr>
          <w:i/>
        </w:rPr>
        <w:t>poveik</w:t>
      </w:r>
      <w:r>
        <w:rPr>
          <w:i/>
        </w:rPr>
        <w:t>is</w:t>
      </w:r>
      <w:r w:rsidRPr="004F50B6">
        <w:rPr>
          <w:i/>
        </w:rPr>
        <w:t xml:space="preserve"> </w:t>
      </w:r>
      <w:r w:rsidR="00F914A1" w:rsidRPr="004F50B6">
        <w:rPr>
          <w:i/>
        </w:rPr>
        <w:t>valstybės finansams</w:t>
      </w:r>
      <w:r w:rsidR="00F914A1">
        <w:t xml:space="preserve">. </w:t>
      </w:r>
      <w:r w:rsidR="000644B9">
        <w:t xml:space="preserve">Atkreiptinas dėmesys, kad pagal Nutarimo projekte dėstomą 2.3 papunktį kompensuojamos ir </w:t>
      </w:r>
      <w:r w:rsidR="006520FB">
        <w:t xml:space="preserve">papildomos (nustatomos Nutarimo projekte dėstomame 2.1.10 papunktyje) veiklų vykdymo išlaidos, todėl galimai </w:t>
      </w:r>
      <w:r w:rsidR="004F50B6">
        <w:t xml:space="preserve">didėtų </w:t>
      </w:r>
      <w:r w:rsidR="006520FB">
        <w:t>ir valstybės biudžeto asignavimų poreikis</w:t>
      </w:r>
      <w:r w:rsidR="004F50B6">
        <w:t>.</w:t>
      </w:r>
    </w:p>
    <w:p w:rsidR="006418F7" w:rsidRDefault="006418F7" w:rsidP="006418F7">
      <w:pPr>
        <w:pStyle w:val="Sraopastraipa"/>
        <w:numPr>
          <w:ilvl w:val="0"/>
          <w:numId w:val="12"/>
        </w:numPr>
        <w:ind w:left="0" w:firstLine="1134"/>
        <w:jc w:val="both"/>
      </w:pPr>
      <w:r>
        <w:t xml:space="preserve">Projekto 1 punkte ir nauja redakcija dėstomo nutarimo 1 punkte siūlytina uždarosios akcinės bendrovės „Investicijų ir verslo garantijos“ pavadinimo nerašyti spausdintinėmis raidėmis, o dėstyti taip, kaip dėstoma keičiamame nutarime ir kituose teisės aktuose. </w:t>
      </w:r>
    </w:p>
    <w:p w:rsidR="00394BFF" w:rsidRDefault="000707B1" w:rsidP="00A82178">
      <w:pPr>
        <w:pStyle w:val="Sraopastraipa"/>
        <w:numPr>
          <w:ilvl w:val="0"/>
          <w:numId w:val="12"/>
        </w:numPr>
        <w:ind w:left="0" w:firstLine="1134"/>
        <w:jc w:val="both"/>
      </w:pPr>
      <w:r>
        <w:t xml:space="preserve">Nutarimo projekte dėstomame 2.1.10 papunktyje dėstomą funkciją siūlytina </w:t>
      </w:r>
      <w:r w:rsidR="006418F7">
        <w:t xml:space="preserve">formuluoti atsižvelgiant į </w:t>
      </w:r>
      <w:r>
        <w:t xml:space="preserve">Lietuvos Respublikos Vyriausybės 2018 m. spalio 17 d. nutarimo Nr. 1046 1 </w:t>
      </w:r>
      <w:r w:rsidR="006418F7">
        <w:t xml:space="preserve">punktą </w:t>
      </w:r>
      <w:r w:rsidR="00CC25F5" w:rsidRPr="00CC25F5">
        <w:t xml:space="preserve">– </w:t>
      </w:r>
      <w:r w:rsidR="002B6A36">
        <w:t>„</w:t>
      </w:r>
      <w:r w:rsidR="0011131E" w:rsidRPr="0011131E">
        <w:t>vykd</w:t>
      </w:r>
      <w:r w:rsidR="0011131E">
        <w:t>o</w:t>
      </w:r>
      <w:r w:rsidR="0011131E" w:rsidRPr="0011131E">
        <w:t xml:space="preserve"> nacionalinės plėtros įstaigos veiklą </w:t>
      </w:r>
      <w:r w:rsidR="00CC25F5" w:rsidRPr="00272B52">
        <w:rPr>
          <w:i/>
        </w:rPr>
        <w:t>smulkiojo ir vidutinio verslo ir ūkio subjektų veiklos pradžios, vykdymo ir plėtros srityse, įskaitant inovacijas</w:t>
      </w:r>
      <w:r w:rsidR="00CC25F5">
        <w:t xml:space="preserve">“. </w:t>
      </w:r>
    </w:p>
    <w:p w:rsidR="0088498E" w:rsidRDefault="00285231" w:rsidP="00A82178">
      <w:pPr>
        <w:pStyle w:val="Sraopastraipa"/>
        <w:numPr>
          <w:ilvl w:val="0"/>
          <w:numId w:val="12"/>
        </w:numPr>
        <w:ind w:left="0" w:firstLine="1134"/>
        <w:jc w:val="both"/>
      </w:pPr>
      <w:r>
        <w:t>V</w:t>
      </w:r>
      <w:r w:rsidRPr="00285231">
        <w:t>adovaujantis Teisės aktų projektų rengimo rekomendacijų, patvirtintų Lietuvos Respublikos teisingumo ministro 2013 m. gruodžio 23 d. įsakymu Nr. 1R-298</w:t>
      </w:r>
      <w:r w:rsidRPr="00285231">
        <w:rPr>
          <w:bCs/>
        </w:rPr>
        <w:t xml:space="preserve"> „Dėl </w:t>
      </w:r>
      <w:r w:rsidR="006418F7">
        <w:rPr>
          <w:bCs/>
        </w:rPr>
        <w:t>T</w:t>
      </w:r>
      <w:r w:rsidRPr="00285231">
        <w:rPr>
          <w:bCs/>
        </w:rPr>
        <w:t xml:space="preserve">eisės aktų projektų rengimo rekomendacijų patvirtinimo“ 6.1 papunkčiu </w:t>
      </w:r>
      <w:r w:rsidR="0088498E">
        <w:t>Nutarimo projekte dėstomuo</w:t>
      </w:r>
      <w:r>
        <w:t xml:space="preserve">se 2.4.1 ir 2.4.3 papunkčiuose </w:t>
      </w:r>
      <w:r w:rsidR="00B45B28">
        <w:t xml:space="preserve">galėtų būti </w:t>
      </w:r>
      <w:r>
        <w:t xml:space="preserve">atsisakytina </w:t>
      </w:r>
      <w:r w:rsidR="00B45B28">
        <w:t xml:space="preserve">perteklinių </w:t>
      </w:r>
      <w:r>
        <w:t>žodžių „</w:t>
      </w:r>
      <w:r w:rsidRPr="00272B52">
        <w:rPr>
          <w:i/>
        </w:rPr>
        <w:t>Lietuvos Respublik</w:t>
      </w:r>
      <w:r w:rsidR="00B45B28">
        <w:rPr>
          <w:i/>
        </w:rPr>
        <w:t>os</w:t>
      </w:r>
      <w:r>
        <w:t xml:space="preserve">“. </w:t>
      </w:r>
    </w:p>
    <w:p w:rsidR="00996C54" w:rsidRDefault="00996C54" w:rsidP="003D38D9">
      <w:pPr>
        <w:pStyle w:val="Sraopastraipa"/>
        <w:numPr>
          <w:ilvl w:val="0"/>
          <w:numId w:val="12"/>
        </w:numPr>
        <w:ind w:left="0" w:firstLine="1134"/>
        <w:jc w:val="both"/>
      </w:pPr>
      <w:r>
        <w:t xml:space="preserve">Nutarimo projekte dėstomame 2.4.4.1 papunktyje </w:t>
      </w:r>
      <w:r w:rsidR="002B6A36">
        <w:t xml:space="preserve">ir 3 punkte dėstomame 2.4.4 papunktyje </w:t>
      </w:r>
      <w:r>
        <w:t xml:space="preserve">nurodoma informacija „tam, kad garantijų teikimo veikla būtų skatinamojo pobūdžio“ yra ne teisės akto turinio dalykas, todėl siūlytina išbraukti šiuos žodžius. Pažymėtina, kad šis nuostatos tikslas yra nurodytas rašte, kuriuo projektai teikiami išvadoms gauti. </w:t>
      </w:r>
    </w:p>
    <w:p w:rsidR="002E1FF4" w:rsidRPr="00CA1F17" w:rsidRDefault="00487E7E" w:rsidP="00D3612E">
      <w:pPr>
        <w:pStyle w:val="Sraopastraipa"/>
        <w:numPr>
          <w:ilvl w:val="0"/>
          <w:numId w:val="12"/>
        </w:numPr>
        <w:ind w:left="0" w:firstLine="1134"/>
        <w:jc w:val="both"/>
      </w:pPr>
      <w:r>
        <w:t>Nutarimo projekte dėstomame 3 punkte nustatomas pavedimas ministerijoms</w:t>
      </w:r>
      <w:r w:rsidRPr="00487E7E">
        <w:t xml:space="preserve"> </w:t>
      </w:r>
      <w:r>
        <w:t>„</w:t>
      </w:r>
      <w:r w:rsidRPr="00487E7E">
        <w:t>rengti ir tvirtinti atitinkamų individualių garantijų teikimo nuostatus, portfelinių garantijų schemas, valstybės pagalbos teikimo garantijų forma schemas ar jų pakeitimus</w:t>
      </w:r>
      <w:r>
        <w:t xml:space="preserve">“.  </w:t>
      </w:r>
      <w:r w:rsidR="00710A74">
        <w:t>Pažymėtina, kad nėra aiškus šio pavedimo turinys ir tikslas</w:t>
      </w:r>
      <w:r w:rsidR="001C0E5E">
        <w:t xml:space="preserve"> bei įstatyminis </w:t>
      </w:r>
      <w:r w:rsidR="001C0E5E" w:rsidRPr="00272B52">
        <w:rPr>
          <w:i/>
        </w:rPr>
        <w:t>teisinis pagrindas</w:t>
      </w:r>
      <w:r w:rsidR="00710A74">
        <w:t>, tai</w:t>
      </w:r>
      <w:r w:rsidR="001C0E5E">
        <w:t>p</w:t>
      </w:r>
      <w:r w:rsidR="00710A74">
        <w:t xml:space="preserve"> pat pažymėtina, kad išvardintų dokumentų rengimas nepatenka į kitų mi</w:t>
      </w:r>
      <w:r w:rsidR="003059F4">
        <w:t xml:space="preserve">nisterijų kompetencijos apimtis. </w:t>
      </w:r>
      <w:r w:rsidR="009243F8">
        <w:t xml:space="preserve">Taip pat pastebėtina, kad rašte, kuriuo projektai teikiami išvadoms gauti, </w:t>
      </w:r>
      <w:r w:rsidR="00031A27">
        <w:t xml:space="preserve">prie </w:t>
      </w:r>
      <w:r w:rsidR="006418F7">
        <w:t>sie</w:t>
      </w:r>
      <w:r w:rsidR="00031A27">
        <w:t xml:space="preserve">kiamų atlikti pakeitimų </w:t>
      </w:r>
      <w:r w:rsidR="009243F8">
        <w:t xml:space="preserve">nurodoma, kad pavedimas formuluojamas </w:t>
      </w:r>
      <w:r w:rsidR="009243F8" w:rsidRPr="002E1FF4">
        <w:rPr>
          <w:i/>
        </w:rPr>
        <w:t>Ekonomikos ir inovacijų ministerijai</w:t>
      </w:r>
      <w:r w:rsidR="00EC7A8D">
        <w:t xml:space="preserve">, o vėliau pagrindžiant </w:t>
      </w:r>
      <w:r w:rsidR="00EC7A8D" w:rsidRPr="00272B52">
        <w:t>Lietuvos Respublikos Vyriausybės nutarimo „Dėl kai kurių Lietuvos Respublikos Vyriausybės nutarimų pripažin</w:t>
      </w:r>
      <w:r w:rsidR="00EC7A8D" w:rsidRPr="00D3612E">
        <w:t xml:space="preserve">imo netekusiais galios“ projekto priėmimo aplinkybes </w:t>
      </w:r>
      <w:r w:rsidR="00EC7A8D">
        <w:t>–</w:t>
      </w:r>
      <w:r w:rsidR="00EC7A8D" w:rsidRPr="00D3612E">
        <w:t xml:space="preserve"> teikiama </w:t>
      </w:r>
      <w:r w:rsidR="00EC7A8D">
        <w:t xml:space="preserve">jau kitokia informacija. </w:t>
      </w:r>
      <w:r w:rsidR="009243F8" w:rsidRPr="00D3612E">
        <w:t xml:space="preserve"> </w:t>
      </w:r>
    </w:p>
    <w:p w:rsidR="00E75D83" w:rsidRPr="00CA1F17" w:rsidRDefault="00E75D83" w:rsidP="00E75D83">
      <w:pPr>
        <w:ind w:firstLine="1276"/>
        <w:jc w:val="both"/>
      </w:pPr>
    </w:p>
    <w:p w:rsidR="00E75D83" w:rsidRPr="00430B15" w:rsidRDefault="00430B15" w:rsidP="00E75D83">
      <w:pPr>
        <w:ind w:firstLine="1276"/>
        <w:jc w:val="both"/>
      </w:pPr>
      <w:r>
        <w:t>Įvertinę</w:t>
      </w:r>
      <w:r w:rsidRPr="00430B15">
        <w:t xml:space="preserve"> Lietuvos Respublikos Vyriausybės nutarimo „Dėl kai kurių Lietuvos Respublikos Vyriausybės nutarimų pripažinimo netekusiais galios“ projektą</w:t>
      </w:r>
      <w:r>
        <w:t xml:space="preserve"> pastabų ir pasiūlymų neturime.</w:t>
      </w:r>
    </w:p>
    <w:p w:rsidR="00E75D83" w:rsidRDefault="00E75D83" w:rsidP="00E75D83">
      <w:pPr>
        <w:ind w:firstLine="1276"/>
        <w:jc w:val="both"/>
      </w:pPr>
    </w:p>
    <w:p w:rsidR="00E75D83" w:rsidRPr="00CA1F17" w:rsidRDefault="00E75D83" w:rsidP="00E75D83">
      <w:pPr>
        <w:ind w:firstLine="1276"/>
        <w:jc w:val="both"/>
      </w:pPr>
    </w:p>
    <w:p w:rsidR="00E75D83" w:rsidRPr="00CA1F17" w:rsidRDefault="00E75D83" w:rsidP="00E75D83">
      <w:pPr>
        <w:ind w:firstLine="1276"/>
        <w:jc w:val="both"/>
      </w:pPr>
    </w:p>
    <w:p w:rsidR="00E75D83" w:rsidRPr="00CA1F17" w:rsidRDefault="007C6378" w:rsidP="00E75D83">
      <w:pPr>
        <w:tabs>
          <w:tab w:val="right" w:pos="9638"/>
        </w:tabs>
      </w:pPr>
      <w:r>
        <w:t xml:space="preserve">Teisingumo ministras </w:t>
      </w:r>
      <w:r w:rsidR="00E75D83">
        <w:tab/>
      </w:r>
      <w:r>
        <w:t>Elvinas Jankevičius</w:t>
      </w:r>
    </w:p>
    <w:p w:rsidR="00430B15" w:rsidRDefault="00430B15" w:rsidP="00E75D83">
      <w:pPr>
        <w:rPr>
          <w:sz w:val="20"/>
        </w:rPr>
      </w:pPr>
    </w:p>
    <w:p w:rsidR="00430B15" w:rsidRDefault="00430B15" w:rsidP="00E75D83">
      <w:pPr>
        <w:rPr>
          <w:sz w:val="20"/>
        </w:rPr>
      </w:pPr>
    </w:p>
    <w:p w:rsidR="00E75D83" w:rsidRDefault="00E75D83" w:rsidP="00E75D83">
      <w:pPr>
        <w:rPr>
          <w:sz w:val="20"/>
        </w:rPr>
      </w:pPr>
    </w:p>
    <w:p w:rsidR="00E75D83" w:rsidRPr="00CA1F17" w:rsidRDefault="00E75D83" w:rsidP="00E75D83">
      <w:pPr>
        <w:rPr>
          <w:sz w:val="20"/>
        </w:rPr>
      </w:pPr>
    </w:p>
    <w:p w:rsidR="00E75D83" w:rsidRPr="00CA1F17" w:rsidRDefault="00E75D83" w:rsidP="00E75D83">
      <w:pPr>
        <w:rPr>
          <w:sz w:val="20"/>
        </w:rPr>
      </w:pPr>
    </w:p>
    <w:p w:rsidR="00E75D83" w:rsidRPr="006750D8" w:rsidRDefault="007C6378" w:rsidP="00E75D83">
      <w:pPr>
        <w:tabs>
          <w:tab w:val="decimal" w:pos="9638"/>
        </w:tabs>
        <w:rPr>
          <w:color w:val="000000" w:themeColor="text1"/>
          <w:sz w:val="16"/>
          <w:szCs w:val="16"/>
        </w:rPr>
      </w:pPr>
      <w:r w:rsidRPr="006750D8">
        <w:rPr>
          <w:color w:val="000000" w:themeColor="text1"/>
          <w:sz w:val="16"/>
          <w:szCs w:val="16"/>
        </w:rPr>
        <w:t>Jūratė Burtilienė</w:t>
      </w:r>
      <w:r w:rsidR="00E75D83" w:rsidRPr="006750D8">
        <w:rPr>
          <w:color w:val="000000" w:themeColor="text1"/>
          <w:sz w:val="16"/>
          <w:szCs w:val="16"/>
        </w:rPr>
        <w:t xml:space="preserve">, (8 5) </w:t>
      </w:r>
      <w:r w:rsidRPr="006750D8">
        <w:rPr>
          <w:color w:val="000000" w:themeColor="text1"/>
          <w:sz w:val="16"/>
          <w:szCs w:val="16"/>
        </w:rPr>
        <w:t>219 1896</w:t>
      </w:r>
      <w:r w:rsidR="00E75D83" w:rsidRPr="006750D8">
        <w:rPr>
          <w:color w:val="000000" w:themeColor="text1"/>
          <w:sz w:val="16"/>
          <w:szCs w:val="16"/>
        </w:rPr>
        <w:t xml:space="preserve">, el. p. </w:t>
      </w:r>
      <w:hyperlink r:id="rId10" w:history="1">
        <w:r w:rsidR="00622053" w:rsidRPr="00F56B65">
          <w:rPr>
            <w:rStyle w:val="Hipersaitas"/>
            <w:sz w:val="16"/>
            <w:szCs w:val="16"/>
          </w:rPr>
          <w:t>jurate.burtiliene@tm.lt</w:t>
        </w:r>
      </w:hyperlink>
      <w:r w:rsidR="00E75D83" w:rsidRPr="006750D8">
        <w:rPr>
          <w:color w:val="000000" w:themeColor="text1"/>
          <w:sz w:val="16"/>
          <w:szCs w:val="16"/>
        </w:rPr>
        <w:t xml:space="preserve"> </w:t>
      </w:r>
      <w:r w:rsidR="00E75D83" w:rsidRPr="006750D8">
        <w:rPr>
          <w:color w:val="000000" w:themeColor="text1"/>
          <w:sz w:val="16"/>
          <w:szCs w:val="16"/>
        </w:rPr>
        <w:tab/>
        <w:t xml:space="preserve"> </w:t>
      </w:r>
    </w:p>
    <w:sectPr w:rsidR="00E75D83" w:rsidRPr="006750D8" w:rsidSect="00D01CD8">
      <w:headerReference w:type="default" r:id="rId11"/>
      <w:headerReference w:type="first" r:id="rId12"/>
      <w:footerReference w:type="first" r:id="rId13"/>
      <w:footnotePr>
        <w:pos w:val="beneathText"/>
      </w:footnotePr>
      <w:pgSz w:w="11905" w:h="16837"/>
      <w:pgMar w:top="1134" w:right="737" w:bottom="1134" w:left="1701" w:header="1123" w:footer="245"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8EE" w:rsidRDefault="00BD48EE">
      <w:r>
        <w:separator/>
      </w:r>
    </w:p>
  </w:endnote>
  <w:endnote w:type="continuationSeparator" w:id="0">
    <w:p w:rsidR="00BD48EE" w:rsidRDefault="00BD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940" w:rsidRDefault="00D01CD8" w:rsidP="007B3C8C">
    <w:pPr>
      <w:pStyle w:val="Porat"/>
      <w:tabs>
        <w:tab w:val="clear" w:pos="8306"/>
        <w:tab w:val="left" w:pos="8080"/>
        <w:tab w:val="right" w:pos="9356"/>
      </w:tabs>
      <w:jc w:val="left"/>
    </w:pPr>
    <w:r>
      <w:t xml:space="preserve">                                                                                                                                                             </w:t>
    </w:r>
  </w:p>
  <w:p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8EE" w:rsidRDefault="00BD48EE">
      <w:r>
        <w:separator/>
      </w:r>
    </w:p>
  </w:footnote>
  <w:footnote w:type="continuationSeparator" w:id="0">
    <w:p w:rsidR="00BD48EE" w:rsidRDefault="00BD4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221584"/>
      <w:docPartObj>
        <w:docPartGallery w:val="Page Numbers (Top of Page)"/>
        <w:docPartUnique/>
      </w:docPartObj>
    </w:sdtPr>
    <w:sdtEndPr/>
    <w:sdtContent>
      <w:p w:rsidR="0094062D" w:rsidRDefault="0094062D">
        <w:pPr>
          <w:pStyle w:val="Antrats"/>
          <w:jc w:val="center"/>
        </w:pPr>
        <w:r>
          <w:fldChar w:fldCharType="begin"/>
        </w:r>
        <w:r>
          <w:instrText>PAGE   \* MERGEFORMAT</w:instrText>
        </w:r>
        <w:r>
          <w:fldChar w:fldCharType="separate"/>
        </w:r>
        <w:r w:rsidR="00272B52">
          <w:rPr>
            <w:noProof/>
          </w:rPr>
          <w:t>2</w:t>
        </w:r>
        <w:r>
          <w:fldChar w:fldCharType="end"/>
        </w:r>
      </w:p>
    </w:sdtContent>
  </w:sdt>
  <w:p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169" w:rsidRPr="006A0169" w:rsidRDefault="00503401" w:rsidP="006A0169">
    <w:pPr>
      <w:tabs>
        <w:tab w:val="right" w:pos="8306"/>
      </w:tabs>
      <w:suppressAutoHyphens w:val="0"/>
      <w:jc w:val="center"/>
      <w:rPr>
        <w:sz w:val="20"/>
        <w:lang w:eastAsia="en-US"/>
      </w:rPr>
    </w:pPr>
    <w:r>
      <w:rPr>
        <w:noProof/>
        <w:sz w:val="20"/>
        <w:lang w:eastAsia="lt-LT"/>
      </w:rPr>
      <w:drawing>
        <wp:inline distT="0" distB="0" distL="0" distR="0">
          <wp:extent cx="587100" cy="669600"/>
          <wp:effectExtent l="19050" t="0" r="3450" b="0"/>
          <wp:docPr id="7" name="Paveikslėlis 7"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C8B3DEB"/>
    <w:multiLevelType w:val="multilevel"/>
    <w:tmpl w:val="512ECEEA"/>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9"/>
  </w:num>
  <w:num w:numId="3">
    <w:abstractNumId w:val="1"/>
  </w:num>
  <w:num w:numId="4">
    <w:abstractNumId w:val="10"/>
  </w:num>
  <w:num w:numId="5">
    <w:abstractNumId w:val="6"/>
  </w:num>
  <w:num w:numId="6">
    <w:abstractNumId w:val="5"/>
  </w:num>
  <w:num w:numId="7">
    <w:abstractNumId w:val="2"/>
  </w:num>
  <w:num w:numId="8">
    <w:abstractNumId w:val="3"/>
  </w:num>
  <w:num w:numId="9">
    <w:abstractNumId w:val="4"/>
  </w:num>
  <w:num w:numId="10">
    <w:abstractNumId w:val="7"/>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203F3"/>
    <w:rsid w:val="00022E3C"/>
    <w:rsid w:val="00031A27"/>
    <w:rsid w:val="00032537"/>
    <w:rsid w:val="00033F22"/>
    <w:rsid w:val="000356BD"/>
    <w:rsid w:val="00041855"/>
    <w:rsid w:val="00045F11"/>
    <w:rsid w:val="00052143"/>
    <w:rsid w:val="00057AFC"/>
    <w:rsid w:val="0006186E"/>
    <w:rsid w:val="000644B9"/>
    <w:rsid w:val="00067718"/>
    <w:rsid w:val="000707B1"/>
    <w:rsid w:val="00072919"/>
    <w:rsid w:val="000756A8"/>
    <w:rsid w:val="00093791"/>
    <w:rsid w:val="000A42C9"/>
    <w:rsid w:val="000B0D10"/>
    <w:rsid w:val="000B1ECA"/>
    <w:rsid w:val="000C1D2E"/>
    <w:rsid w:val="000D0B1C"/>
    <w:rsid w:val="000D3171"/>
    <w:rsid w:val="000E34D4"/>
    <w:rsid w:val="000E6E4F"/>
    <w:rsid w:val="000E7556"/>
    <w:rsid w:val="00106269"/>
    <w:rsid w:val="00110A05"/>
    <w:rsid w:val="0011131E"/>
    <w:rsid w:val="00133358"/>
    <w:rsid w:val="001525EE"/>
    <w:rsid w:val="00153C5B"/>
    <w:rsid w:val="00190B04"/>
    <w:rsid w:val="001A2BEB"/>
    <w:rsid w:val="001A3F04"/>
    <w:rsid w:val="001B28DE"/>
    <w:rsid w:val="001C0E5E"/>
    <w:rsid w:val="001C1840"/>
    <w:rsid w:val="001E0731"/>
    <w:rsid w:val="001E192A"/>
    <w:rsid w:val="001E213B"/>
    <w:rsid w:val="001F4940"/>
    <w:rsid w:val="00216724"/>
    <w:rsid w:val="00224C7E"/>
    <w:rsid w:val="00225009"/>
    <w:rsid w:val="00247655"/>
    <w:rsid w:val="00271BCA"/>
    <w:rsid w:val="00272B52"/>
    <w:rsid w:val="0027526A"/>
    <w:rsid w:val="00285231"/>
    <w:rsid w:val="002B6A36"/>
    <w:rsid w:val="002C0406"/>
    <w:rsid w:val="002D24DA"/>
    <w:rsid w:val="002E1FF4"/>
    <w:rsid w:val="002F357E"/>
    <w:rsid w:val="003059F4"/>
    <w:rsid w:val="0031547F"/>
    <w:rsid w:val="003232E3"/>
    <w:rsid w:val="00335E75"/>
    <w:rsid w:val="003452C3"/>
    <w:rsid w:val="00345C41"/>
    <w:rsid w:val="00350171"/>
    <w:rsid w:val="0035263F"/>
    <w:rsid w:val="00357B11"/>
    <w:rsid w:val="003638AD"/>
    <w:rsid w:val="00374572"/>
    <w:rsid w:val="00392BAA"/>
    <w:rsid w:val="00394BFF"/>
    <w:rsid w:val="003A0D57"/>
    <w:rsid w:val="003A403B"/>
    <w:rsid w:val="003A6CAA"/>
    <w:rsid w:val="003C1BC9"/>
    <w:rsid w:val="003C76FB"/>
    <w:rsid w:val="00403285"/>
    <w:rsid w:val="00422F55"/>
    <w:rsid w:val="00430B15"/>
    <w:rsid w:val="004400C5"/>
    <w:rsid w:val="00442DE9"/>
    <w:rsid w:val="00444D3C"/>
    <w:rsid w:val="004473FF"/>
    <w:rsid w:val="00456583"/>
    <w:rsid w:val="0047594D"/>
    <w:rsid w:val="00487E7E"/>
    <w:rsid w:val="004B1F0E"/>
    <w:rsid w:val="004C157C"/>
    <w:rsid w:val="004C5B06"/>
    <w:rsid w:val="004E0354"/>
    <w:rsid w:val="004E4C97"/>
    <w:rsid w:val="004F1354"/>
    <w:rsid w:val="004F4C7B"/>
    <w:rsid w:val="004F50B6"/>
    <w:rsid w:val="004F7E5E"/>
    <w:rsid w:val="00503401"/>
    <w:rsid w:val="0051548F"/>
    <w:rsid w:val="00524387"/>
    <w:rsid w:val="00526983"/>
    <w:rsid w:val="0053303F"/>
    <w:rsid w:val="005468FA"/>
    <w:rsid w:val="005934F7"/>
    <w:rsid w:val="005A2039"/>
    <w:rsid w:val="005A32E3"/>
    <w:rsid w:val="005B22EF"/>
    <w:rsid w:val="005B71DB"/>
    <w:rsid w:val="005E7F01"/>
    <w:rsid w:val="005F6849"/>
    <w:rsid w:val="005F70CA"/>
    <w:rsid w:val="006202AA"/>
    <w:rsid w:val="00622053"/>
    <w:rsid w:val="00631354"/>
    <w:rsid w:val="00632C30"/>
    <w:rsid w:val="006418F7"/>
    <w:rsid w:val="006456FD"/>
    <w:rsid w:val="006520FB"/>
    <w:rsid w:val="006750D8"/>
    <w:rsid w:val="00685024"/>
    <w:rsid w:val="00692B0B"/>
    <w:rsid w:val="00693BCE"/>
    <w:rsid w:val="006A0169"/>
    <w:rsid w:val="006A3AEE"/>
    <w:rsid w:val="006D0118"/>
    <w:rsid w:val="006E2FF8"/>
    <w:rsid w:val="006F7F1F"/>
    <w:rsid w:val="0070100A"/>
    <w:rsid w:val="00710A74"/>
    <w:rsid w:val="007155A1"/>
    <w:rsid w:val="00735C7F"/>
    <w:rsid w:val="0074745C"/>
    <w:rsid w:val="00755247"/>
    <w:rsid w:val="0075689A"/>
    <w:rsid w:val="00761344"/>
    <w:rsid w:val="00775BDF"/>
    <w:rsid w:val="007B1F82"/>
    <w:rsid w:val="007B3C8C"/>
    <w:rsid w:val="007B4A13"/>
    <w:rsid w:val="007C6378"/>
    <w:rsid w:val="007D2810"/>
    <w:rsid w:val="007E5E51"/>
    <w:rsid w:val="007F7B9B"/>
    <w:rsid w:val="00801381"/>
    <w:rsid w:val="00805BB0"/>
    <w:rsid w:val="00822DE9"/>
    <w:rsid w:val="008309E8"/>
    <w:rsid w:val="00851B3B"/>
    <w:rsid w:val="0088498E"/>
    <w:rsid w:val="008A0C00"/>
    <w:rsid w:val="008A5254"/>
    <w:rsid w:val="008C162A"/>
    <w:rsid w:val="008D020A"/>
    <w:rsid w:val="0091078C"/>
    <w:rsid w:val="009160C9"/>
    <w:rsid w:val="009163F8"/>
    <w:rsid w:val="00921A20"/>
    <w:rsid w:val="009243F8"/>
    <w:rsid w:val="00934DC1"/>
    <w:rsid w:val="00935287"/>
    <w:rsid w:val="0094062D"/>
    <w:rsid w:val="00967916"/>
    <w:rsid w:val="00977F51"/>
    <w:rsid w:val="00996C54"/>
    <w:rsid w:val="009A11A6"/>
    <w:rsid w:val="009B0944"/>
    <w:rsid w:val="009D5D3E"/>
    <w:rsid w:val="009E11EE"/>
    <w:rsid w:val="009E135C"/>
    <w:rsid w:val="00A17E41"/>
    <w:rsid w:val="00A36467"/>
    <w:rsid w:val="00A40CD2"/>
    <w:rsid w:val="00A43DDD"/>
    <w:rsid w:val="00A45A83"/>
    <w:rsid w:val="00A500C7"/>
    <w:rsid w:val="00A5068D"/>
    <w:rsid w:val="00A51241"/>
    <w:rsid w:val="00A5243D"/>
    <w:rsid w:val="00A634B6"/>
    <w:rsid w:val="00A82178"/>
    <w:rsid w:val="00A94549"/>
    <w:rsid w:val="00AC27D6"/>
    <w:rsid w:val="00AC5721"/>
    <w:rsid w:val="00AD37E3"/>
    <w:rsid w:val="00AE0614"/>
    <w:rsid w:val="00AE3511"/>
    <w:rsid w:val="00B40D2F"/>
    <w:rsid w:val="00B45B28"/>
    <w:rsid w:val="00B702C0"/>
    <w:rsid w:val="00B7339D"/>
    <w:rsid w:val="00B942CE"/>
    <w:rsid w:val="00BA60D3"/>
    <w:rsid w:val="00BB1BC1"/>
    <w:rsid w:val="00BB46B2"/>
    <w:rsid w:val="00BD01B6"/>
    <w:rsid w:val="00BD48EE"/>
    <w:rsid w:val="00BD62CA"/>
    <w:rsid w:val="00BE398D"/>
    <w:rsid w:val="00BF4400"/>
    <w:rsid w:val="00C2360C"/>
    <w:rsid w:val="00C26D5D"/>
    <w:rsid w:val="00C40F68"/>
    <w:rsid w:val="00C41E91"/>
    <w:rsid w:val="00C43A57"/>
    <w:rsid w:val="00C52D99"/>
    <w:rsid w:val="00C843F3"/>
    <w:rsid w:val="00C94F40"/>
    <w:rsid w:val="00CB1D28"/>
    <w:rsid w:val="00CC25F5"/>
    <w:rsid w:val="00CC3EA9"/>
    <w:rsid w:val="00CC742A"/>
    <w:rsid w:val="00CD660D"/>
    <w:rsid w:val="00D01CD8"/>
    <w:rsid w:val="00D2173F"/>
    <w:rsid w:val="00D22358"/>
    <w:rsid w:val="00D22A39"/>
    <w:rsid w:val="00D33D9E"/>
    <w:rsid w:val="00D3612E"/>
    <w:rsid w:val="00D519E9"/>
    <w:rsid w:val="00D553A0"/>
    <w:rsid w:val="00D6461F"/>
    <w:rsid w:val="00D904AA"/>
    <w:rsid w:val="00D9324E"/>
    <w:rsid w:val="00DA10E1"/>
    <w:rsid w:val="00DA16FD"/>
    <w:rsid w:val="00DB2292"/>
    <w:rsid w:val="00DC0A8C"/>
    <w:rsid w:val="00E03B24"/>
    <w:rsid w:val="00E04931"/>
    <w:rsid w:val="00E04978"/>
    <w:rsid w:val="00E214C4"/>
    <w:rsid w:val="00E25913"/>
    <w:rsid w:val="00E32D88"/>
    <w:rsid w:val="00E35543"/>
    <w:rsid w:val="00E36636"/>
    <w:rsid w:val="00E63465"/>
    <w:rsid w:val="00E75D83"/>
    <w:rsid w:val="00E81F28"/>
    <w:rsid w:val="00E82412"/>
    <w:rsid w:val="00E843B1"/>
    <w:rsid w:val="00E96B50"/>
    <w:rsid w:val="00EA3009"/>
    <w:rsid w:val="00EA6637"/>
    <w:rsid w:val="00EC7A8D"/>
    <w:rsid w:val="00ED73D6"/>
    <w:rsid w:val="00EE5859"/>
    <w:rsid w:val="00EF07A0"/>
    <w:rsid w:val="00EF16E9"/>
    <w:rsid w:val="00EF5630"/>
    <w:rsid w:val="00F0401C"/>
    <w:rsid w:val="00F05361"/>
    <w:rsid w:val="00F05FB4"/>
    <w:rsid w:val="00F162F8"/>
    <w:rsid w:val="00F6147E"/>
    <w:rsid w:val="00F62B9E"/>
    <w:rsid w:val="00F73A02"/>
    <w:rsid w:val="00F85A80"/>
    <w:rsid w:val="00F914A1"/>
    <w:rsid w:val="00F947AC"/>
    <w:rsid w:val="00FB183B"/>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8D020A"/>
    <w:pPr>
      <w:ind w:left="720"/>
      <w:contextualSpacing/>
    </w:pPr>
  </w:style>
  <w:style w:type="character" w:customStyle="1" w:styleId="AntratsDiagrama">
    <w:name w:val="Antraštės Diagrama"/>
    <w:basedOn w:val="Numatytasispastraiposriftas"/>
    <w:link w:val="Antrats"/>
    <w:uiPriority w:val="99"/>
    <w:rsid w:val="0094062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jurate.burtiliene@t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0f498e8297e311e9aab6d8dd69c6da66?jfwid=15ba8mx6aq"
                 TargetMode="External"
                 Type="http://schemas.openxmlformats.org/officeDocument/2006/relationships/hyperlink"/>
   <Relationship Id="rId9"
                 Target="https://e-seimas.lrs.lt/portal/legalAct/lt/TAP/d54c045297e311e9aab6d8dd69c6da66?jfwid=15ba8mx6aq"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9546C-70BE-473E-A004-0C65442F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3975</Words>
  <Characters>2266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2019-09-26T03:56:00Z</dcterms:created>
  <dc:creator>D.Glodenis</dc:creator>
  <cp:lastModifiedBy>Audronė Zdanevičienė</cp:lastModifiedBy>
  <cp:lastPrinted>2014-12-18T07:34:00Z</cp:lastPrinted>
  <dcterms:modified xsi:type="dcterms:W3CDTF">2019-09-26T03:56:00Z</dcterms:modified>
  <cp:revision>2</cp:revision>
  <dc:title>[Adresatas]</dc:title>
</cp:coreProperties>
</file>