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A16" w:rsidRPr="007E086E" w:rsidRDefault="00CE7A16" w:rsidP="007E086E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 w:rsidRPr="007E086E">
        <w:rPr>
          <w:rFonts w:ascii="Times New Roman" w:hAnsi="Times New Roman" w:cs="Times New Roman"/>
          <w:sz w:val="24"/>
          <w:szCs w:val="24"/>
        </w:rPr>
        <w:t xml:space="preserve">Ateities ekonomikos DNR plano </w:t>
      </w:r>
    </w:p>
    <w:p w:rsidR="00CE7A16" w:rsidRPr="0088498B" w:rsidRDefault="00CE7A16" w:rsidP="007E086E">
      <w:pPr>
        <w:spacing w:after="0" w:line="240" w:lineRule="auto"/>
        <w:ind w:left="6521"/>
        <w:rPr>
          <w:rFonts w:ascii="Times New Roman" w:hAnsi="Times New Roman" w:cs="Times New Roman"/>
          <w:b/>
          <w:sz w:val="24"/>
          <w:szCs w:val="24"/>
        </w:rPr>
      </w:pPr>
      <w:r w:rsidRPr="007E086E">
        <w:rPr>
          <w:rFonts w:ascii="Times New Roman" w:hAnsi="Times New Roman" w:cs="Times New Roman"/>
          <w:sz w:val="24"/>
          <w:szCs w:val="24"/>
        </w:rPr>
        <w:t>3 priedas</w:t>
      </w:r>
    </w:p>
    <w:p w:rsidR="00CE7A16" w:rsidRPr="0088498B" w:rsidRDefault="00CE7A16" w:rsidP="00CE7A1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E7A16" w:rsidRPr="0088498B" w:rsidRDefault="007E086E" w:rsidP="00CE7A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98B">
        <w:rPr>
          <w:rFonts w:ascii="Times New Roman" w:hAnsi="Times New Roman" w:cs="Times New Roman"/>
          <w:b/>
          <w:sz w:val="24"/>
          <w:szCs w:val="24"/>
        </w:rPr>
        <w:t>INVEST</w:t>
      </w:r>
      <w:r>
        <w:rPr>
          <w:rFonts w:ascii="Times New Roman" w:hAnsi="Times New Roman" w:cs="Times New Roman"/>
          <w:b/>
          <w:sz w:val="24"/>
          <w:szCs w:val="24"/>
        </w:rPr>
        <w:t>ICIJŲ</w:t>
      </w:r>
      <w:r w:rsidRPr="0088498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KRYPČIŲ</w:t>
      </w:r>
      <w:r w:rsidRPr="008849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7A16" w:rsidRPr="0088498B">
        <w:rPr>
          <w:rFonts w:ascii="Times New Roman" w:hAnsi="Times New Roman" w:cs="Times New Roman"/>
          <w:b/>
          <w:sz w:val="24"/>
          <w:szCs w:val="24"/>
        </w:rPr>
        <w:t>POVEIKIS UŽIMTUMUI, TIESIOGINĖMS UŽSIENIO INVESTICIJOMS IR EKSPORTUI</w:t>
      </w:r>
    </w:p>
    <w:p w:rsidR="00CE7A16" w:rsidRPr="0088498B" w:rsidRDefault="00CE7A16" w:rsidP="00CE7A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Ind w:w="-459" w:type="dxa"/>
        <w:tblLook w:val="04A0" w:firstRow="1" w:lastRow="0" w:firstColumn="1" w:lastColumn="0" w:noHBand="0" w:noVBand="1"/>
      </w:tblPr>
      <w:tblGrid>
        <w:gridCol w:w="1523"/>
        <w:gridCol w:w="3316"/>
        <w:gridCol w:w="2966"/>
        <w:gridCol w:w="2651"/>
      </w:tblGrid>
      <w:tr w:rsidR="00CE7A16" w:rsidRPr="0088498B" w:rsidTr="0088498B">
        <w:tc>
          <w:tcPr>
            <w:tcW w:w="1418" w:type="dxa"/>
            <w:vMerge w:val="restart"/>
            <w:shd w:val="clear" w:color="auto" w:fill="EEECE1" w:themeFill="background2"/>
          </w:tcPr>
          <w:p w:rsidR="00CE7A16" w:rsidRPr="0088498B" w:rsidRDefault="007E086E" w:rsidP="007E0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Investicijų kryptys</w:t>
            </w:r>
            <w:r w:rsidR="00CE7A16" w:rsidRPr="008849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474" w:type="dxa"/>
            <w:gridSpan w:val="3"/>
            <w:shd w:val="clear" w:color="auto" w:fill="EEECE1" w:themeFill="background2"/>
          </w:tcPr>
          <w:p w:rsidR="00CE7A16" w:rsidRPr="0088498B" w:rsidRDefault="00CE7A16" w:rsidP="006C21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8B">
              <w:rPr>
                <w:rFonts w:ascii="Times New Roman" w:hAnsi="Times New Roman" w:cs="Times New Roman"/>
                <w:b/>
                <w:sz w:val="24"/>
                <w:szCs w:val="24"/>
              </w:rPr>
              <w:t>Poveikis</w:t>
            </w:r>
          </w:p>
        </w:tc>
      </w:tr>
      <w:tr w:rsidR="003476D6" w:rsidRPr="0088498B" w:rsidTr="0088498B">
        <w:tc>
          <w:tcPr>
            <w:tcW w:w="1418" w:type="dxa"/>
            <w:vMerge/>
            <w:shd w:val="clear" w:color="auto" w:fill="EEECE1" w:themeFill="background2"/>
          </w:tcPr>
          <w:p w:rsidR="00CE7A16" w:rsidRPr="0088498B" w:rsidRDefault="00CE7A16" w:rsidP="006C21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EEECE1" w:themeFill="background2"/>
          </w:tcPr>
          <w:p w:rsidR="00CE7A16" w:rsidRPr="0088498B" w:rsidRDefault="00CE7A16" w:rsidP="006C21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8B">
              <w:rPr>
                <w:rFonts w:ascii="Times New Roman" w:hAnsi="Times New Roman" w:cs="Times New Roman"/>
                <w:b/>
                <w:sz w:val="24"/>
                <w:szCs w:val="24"/>
              </w:rPr>
              <w:t>Užimtumui</w:t>
            </w:r>
          </w:p>
        </w:tc>
        <w:tc>
          <w:tcPr>
            <w:tcW w:w="4252" w:type="dxa"/>
            <w:shd w:val="clear" w:color="auto" w:fill="EEECE1" w:themeFill="background2"/>
          </w:tcPr>
          <w:p w:rsidR="00CE7A16" w:rsidRPr="0088498B" w:rsidRDefault="00CE7A16" w:rsidP="006C21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8B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5A1E72">
              <w:rPr>
                <w:rFonts w:ascii="Times New Roman" w:hAnsi="Times New Roman" w:cs="Times New Roman"/>
                <w:b/>
                <w:sz w:val="24"/>
                <w:szCs w:val="24"/>
              </w:rPr>
              <w:t>iesioginėms užsienio investicijoms</w:t>
            </w:r>
          </w:p>
        </w:tc>
        <w:tc>
          <w:tcPr>
            <w:tcW w:w="3544" w:type="dxa"/>
            <w:shd w:val="clear" w:color="auto" w:fill="EEECE1" w:themeFill="background2"/>
          </w:tcPr>
          <w:p w:rsidR="00CE7A16" w:rsidRPr="0088498B" w:rsidRDefault="00CE7A16" w:rsidP="006C21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98B">
              <w:rPr>
                <w:rFonts w:ascii="Times New Roman" w:hAnsi="Times New Roman" w:cs="Times New Roman"/>
                <w:b/>
                <w:sz w:val="24"/>
                <w:szCs w:val="24"/>
              </w:rPr>
              <w:t>Eksportui</w:t>
            </w:r>
          </w:p>
        </w:tc>
      </w:tr>
      <w:tr w:rsidR="003476D6" w:rsidRPr="0088498B" w:rsidTr="006C211A">
        <w:tc>
          <w:tcPr>
            <w:tcW w:w="1418" w:type="dxa"/>
          </w:tcPr>
          <w:p w:rsidR="00CE7A16" w:rsidRPr="0088498B" w:rsidRDefault="00CE7A16" w:rsidP="006C2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98B">
              <w:rPr>
                <w:rFonts w:ascii="Times New Roman" w:hAnsi="Times New Roman" w:cs="Times New Roman"/>
                <w:sz w:val="24"/>
                <w:szCs w:val="24"/>
              </w:rPr>
              <w:t>Žmogiškasis kapitalas</w:t>
            </w:r>
          </w:p>
        </w:tc>
        <w:tc>
          <w:tcPr>
            <w:tcW w:w="4678" w:type="dxa"/>
          </w:tcPr>
          <w:p w:rsidR="00CE7A16" w:rsidRPr="0088498B" w:rsidRDefault="00CE7A16" w:rsidP="00A20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98B">
              <w:rPr>
                <w:rFonts w:ascii="Times New Roman" w:hAnsi="Times New Roman" w:cs="Times New Roman"/>
                <w:sz w:val="24"/>
                <w:szCs w:val="24"/>
              </w:rPr>
              <w:t>Švietimo sistemos galimybių padidinimas per trumpą laikotarpį pasiūlyti rinkos poreikius atitinkančias mokymo ar studijų programas, diegti inovacijas į ugdymo procesą, didinti STE</w:t>
            </w:r>
            <w:r w:rsidR="006C211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8498B">
              <w:rPr>
                <w:rFonts w:ascii="Times New Roman" w:hAnsi="Times New Roman" w:cs="Times New Roman"/>
                <w:sz w:val="24"/>
                <w:szCs w:val="24"/>
              </w:rPr>
              <w:t xml:space="preserve">M sričių specialistų skaičių, subalansuoti specialistų rengimą regionuose, taip pat užimtumo sistemų pritaikymas operatyviam </w:t>
            </w:r>
            <w:r w:rsidR="00A20F34">
              <w:rPr>
                <w:rFonts w:ascii="Times New Roman" w:hAnsi="Times New Roman" w:cs="Times New Roman"/>
                <w:sz w:val="24"/>
                <w:szCs w:val="24"/>
              </w:rPr>
              <w:t xml:space="preserve">asmenų </w:t>
            </w:r>
            <w:r w:rsidRPr="0088498B">
              <w:rPr>
                <w:rFonts w:ascii="Times New Roman" w:hAnsi="Times New Roman" w:cs="Times New Roman"/>
                <w:sz w:val="24"/>
                <w:szCs w:val="24"/>
              </w:rPr>
              <w:t>perkvalifikavimui ir įsiliejimui į darbo rinką, pirmaujančių universitetų mokslinio potencialo stiprinimas keis darbo jėgos struktūrą ir turės reikšmingą poveikį</w:t>
            </w:r>
            <w:r w:rsidR="00C5220D">
              <w:rPr>
                <w:rFonts w:ascii="Times New Roman" w:hAnsi="Times New Roman" w:cs="Times New Roman"/>
                <w:sz w:val="24"/>
                <w:szCs w:val="24"/>
              </w:rPr>
              <w:t xml:space="preserve"> užimtumui</w:t>
            </w:r>
            <w:r w:rsidRPr="0088498B">
              <w:rPr>
                <w:rFonts w:ascii="Times New Roman" w:hAnsi="Times New Roman" w:cs="Times New Roman"/>
                <w:sz w:val="24"/>
                <w:szCs w:val="24"/>
              </w:rPr>
              <w:t xml:space="preserve"> trumpuoju ir ilguoju laikotarpi</w:t>
            </w:r>
            <w:r w:rsidR="00B26416">
              <w:rPr>
                <w:rFonts w:ascii="Times New Roman" w:hAnsi="Times New Roman" w:cs="Times New Roman"/>
                <w:sz w:val="24"/>
                <w:szCs w:val="24"/>
              </w:rPr>
              <w:t>ais</w:t>
            </w:r>
            <w:r w:rsidR="00C522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4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CE7A16" w:rsidRPr="0088498B" w:rsidRDefault="00CE7A16" w:rsidP="00B26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1A">
              <w:rPr>
                <w:rFonts w:ascii="Times New Roman" w:hAnsi="Times New Roman" w:cs="Times New Roman"/>
                <w:sz w:val="24"/>
                <w:szCs w:val="24"/>
              </w:rPr>
              <w:t xml:space="preserve">Reikiamos kvalifikacijos ir gebėjimų darbuotojų pasiūla </w:t>
            </w:r>
            <w:r w:rsidRPr="007E086E">
              <w:rPr>
                <w:rFonts w:ascii="Times New Roman" w:hAnsi="Times New Roman" w:cs="Times New Roman"/>
                <w:sz w:val="24"/>
                <w:szCs w:val="24"/>
              </w:rPr>
              <w:t>didina</w:t>
            </w:r>
            <w:r w:rsidR="00B26416" w:rsidRPr="007E086E">
              <w:rPr>
                <w:rFonts w:ascii="Times New Roman" w:hAnsi="Times New Roman" w:cs="Times New Roman"/>
                <w:sz w:val="24"/>
                <w:szCs w:val="24"/>
              </w:rPr>
              <w:t xml:space="preserve"> galimybes pritraukti</w:t>
            </w:r>
            <w:r w:rsidRPr="007E0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6416" w:rsidRPr="007E086E">
              <w:rPr>
                <w:rFonts w:ascii="Times New Roman" w:hAnsi="Times New Roman" w:cs="Times New Roman"/>
                <w:sz w:val="24"/>
                <w:szCs w:val="24"/>
              </w:rPr>
              <w:t xml:space="preserve">tiesioginių užsienio investicijų </w:t>
            </w:r>
            <w:r w:rsidR="00C5220D" w:rsidRPr="007E086E">
              <w:rPr>
                <w:rFonts w:ascii="Times New Roman" w:hAnsi="Times New Roman" w:cs="Times New Roman"/>
                <w:sz w:val="24"/>
                <w:szCs w:val="24"/>
              </w:rPr>
              <w:t xml:space="preserve">(toliau – </w:t>
            </w:r>
            <w:r w:rsidRPr="007E086E">
              <w:rPr>
                <w:rFonts w:ascii="Times New Roman" w:hAnsi="Times New Roman" w:cs="Times New Roman"/>
                <w:sz w:val="24"/>
                <w:szCs w:val="24"/>
              </w:rPr>
              <w:t>TUI</w:t>
            </w:r>
            <w:r w:rsidR="00C5220D" w:rsidRPr="007E08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C21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5220D" w:rsidRPr="006C211A">
              <w:rPr>
                <w:rFonts w:ascii="Times New Roman" w:hAnsi="Times New Roman" w:cs="Times New Roman"/>
                <w:sz w:val="24"/>
                <w:szCs w:val="24"/>
              </w:rPr>
              <w:t>todėl</w:t>
            </w:r>
            <w:r w:rsidRPr="006C211A">
              <w:rPr>
                <w:rFonts w:ascii="Times New Roman" w:hAnsi="Times New Roman" w:cs="Times New Roman"/>
                <w:sz w:val="24"/>
                <w:szCs w:val="24"/>
              </w:rPr>
              <w:t xml:space="preserve"> investicijos, orientuotos į aukšto lygio</w:t>
            </w:r>
            <w:r w:rsidRPr="0088498B">
              <w:rPr>
                <w:rFonts w:ascii="Times New Roman" w:hAnsi="Times New Roman" w:cs="Times New Roman"/>
                <w:sz w:val="24"/>
                <w:szCs w:val="24"/>
              </w:rPr>
              <w:t xml:space="preserve"> tyrimus ir tyrimus</w:t>
            </w:r>
            <w:r w:rsidR="00C522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8498B">
              <w:rPr>
                <w:rFonts w:ascii="Times New Roman" w:hAnsi="Times New Roman" w:cs="Times New Roman"/>
                <w:sz w:val="24"/>
                <w:szCs w:val="24"/>
              </w:rPr>
              <w:t xml:space="preserve"> susijusius su COVID-19</w:t>
            </w:r>
            <w:r w:rsidR="00C522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8498B">
              <w:rPr>
                <w:rFonts w:ascii="Times New Roman" w:hAnsi="Times New Roman" w:cs="Times New Roman"/>
                <w:sz w:val="24"/>
                <w:szCs w:val="24"/>
              </w:rPr>
              <w:t xml:space="preserve"> potencialiai didins Lietuvos mokslo vardo žinomumą ir palankų įvaizdį, svarb</w:t>
            </w:r>
            <w:r w:rsidR="00C5220D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88498B">
              <w:rPr>
                <w:rFonts w:ascii="Times New Roman" w:hAnsi="Times New Roman" w:cs="Times New Roman"/>
                <w:sz w:val="24"/>
                <w:szCs w:val="24"/>
              </w:rPr>
              <w:t xml:space="preserve"> pritraukiant TUI.</w:t>
            </w:r>
          </w:p>
        </w:tc>
        <w:tc>
          <w:tcPr>
            <w:tcW w:w="3544" w:type="dxa"/>
          </w:tcPr>
          <w:p w:rsidR="00CE7A16" w:rsidRPr="0088498B" w:rsidRDefault="00CE7A16" w:rsidP="00A20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98B">
              <w:rPr>
                <w:rFonts w:ascii="Times New Roman" w:hAnsi="Times New Roman" w:cs="Times New Roman"/>
                <w:sz w:val="24"/>
                <w:szCs w:val="24"/>
              </w:rPr>
              <w:t>Eksportuojančių įmonių specifiką atitin</w:t>
            </w:r>
            <w:r w:rsidR="0088498B">
              <w:rPr>
                <w:rFonts w:ascii="Times New Roman" w:hAnsi="Times New Roman" w:cs="Times New Roman"/>
                <w:sz w:val="24"/>
                <w:szCs w:val="24"/>
              </w:rPr>
              <w:t xml:space="preserve">kančių specialistų </w:t>
            </w:r>
            <w:r w:rsidR="0088498B" w:rsidRPr="006C211A">
              <w:rPr>
                <w:rFonts w:ascii="Times New Roman" w:hAnsi="Times New Roman" w:cs="Times New Roman"/>
                <w:sz w:val="24"/>
                <w:szCs w:val="24"/>
              </w:rPr>
              <w:t>par</w:t>
            </w:r>
            <w:r w:rsidR="00A20F34" w:rsidRPr="006C211A">
              <w:rPr>
                <w:rFonts w:ascii="Times New Roman" w:hAnsi="Times New Roman" w:cs="Times New Roman"/>
                <w:sz w:val="24"/>
                <w:szCs w:val="24"/>
              </w:rPr>
              <w:t>eng</w:t>
            </w:r>
            <w:r w:rsidR="0088498B" w:rsidRPr="006C211A">
              <w:rPr>
                <w:rFonts w:ascii="Times New Roman" w:hAnsi="Times New Roman" w:cs="Times New Roman"/>
                <w:sz w:val="24"/>
                <w:szCs w:val="24"/>
              </w:rPr>
              <w:t xml:space="preserve">imas </w:t>
            </w:r>
            <w:r w:rsidRPr="006C211A">
              <w:rPr>
                <w:rFonts w:ascii="Times New Roman" w:hAnsi="Times New Roman" w:cs="Times New Roman"/>
                <w:sz w:val="24"/>
                <w:szCs w:val="24"/>
              </w:rPr>
              <w:t xml:space="preserve">turės </w:t>
            </w:r>
            <w:r w:rsidRPr="007E086E">
              <w:rPr>
                <w:rFonts w:ascii="Times New Roman" w:hAnsi="Times New Roman" w:cs="Times New Roman"/>
                <w:sz w:val="24"/>
                <w:szCs w:val="24"/>
              </w:rPr>
              <w:t>ilgalaikį teigiamą poveikį eksportui</w:t>
            </w:r>
            <w:r w:rsidRPr="006C21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498B">
              <w:rPr>
                <w:rFonts w:ascii="Times New Roman" w:hAnsi="Times New Roman" w:cs="Times New Roman"/>
                <w:sz w:val="24"/>
                <w:szCs w:val="24"/>
              </w:rPr>
              <w:t xml:space="preserve"> Mokslo potencialo didinimo priemonės trumpuoju laikotarpiu poveikio eksportui gali neturėti, tačiau ilguoju</w:t>
            </w:r>
            <w:r w:rsidR="00C5220D">
              <w:rPr>
                <w:rFonts w:ascii="Times New Roman" w:hAnsi="Times New Roman" w:cs="Times New Roman"/>
                <w:sz w:val="24"/>
                <w:szCs w:val="24"/>
              </w:rPr>
              <w:t xml:space="preserve"> laikotarpiu</w:t>
            </w:r>
            <w:r w:rsidRPr="0088498B">
              <w:rPr>
                <w:rFonts w:ascii="Times New Roman" w:hAnsi="Times New Roman" w:cs="Times New Roman"/>
                <w:sz w:val="24"/>
                <w:szCs w:val="24"/>
              </w:rPr>
              <w:t xml:space="preserve"> gali prisidėti prie </w:t>
            </w:r>
            <w:r w:rsidR="00ED5110">
              <w:rPr>
                <w:rFonts w:ascii="Times New Roman" w:hAnsi="Times New Roman" w:cs="Times New Roman"/>
                <w:sz w:val="24"/>
                <w:szCs w:val="24"/>
              </w:rPr>
              <w:t>geresnės kokybės</w:t>
            </w:r>
            <w:r w:rsidR="00ED5110" w:rsidRPr="00884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498B">
              <w:rPr>
                <w:rFonts w:ascii="Times New Roman" w:hAnsi="Times New Roman" w:cs="Times New Roman"/>
                <w:sz w:val="24"/>
                <w:szCs w:val="24"/>
              </w:rPr>
              <w:t>produkcijos ir aukštos technologijų pramonės eksporto.</w:t>
            </w:r>
          </w:p>
        </w:tc>
      </w:tr>
      <w:tr w:rsidR="003476D6" w:rsidRPr="0088498B" w:rsidTr="006C211A">
        <w:tc>
          <w:tcPr>
            <w:tcW w:w="1418" w:type="dxa"/>
          </w:tcPr>
          <w:p w:rsidR="00CE7A16" w:rsidRPr="0088498B" w:rsidRDefault="00CE7A16" w:rsidP="006C2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98B">
              <w:rPr>
                <w:rFonts w:ascii="Times New Roman" w:hAnsi="Times New Roman" w:cs="Times New Roman"/>
                <w:sz w:val="24"/>
                <w:szCs w:val="24"/>
              </w:rPr>
              <w:t>Skaitmeninė ekonomika ir verslas</w:t>
            </w:r>
          </w:p>
        </w:tc>
        <w:tc>
          <w:tcPr>
            <w:tcW w:w="4678" w:type="dxa"/>
          </w:tcPr>
          <w:p w:rsidR="00CE7A16" w:rsidRPr="0088498B" w:rsidRDefault="00CE7A16" w:rsidP="00A20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98B">
              <w:rPr>
                <w:rFonts w:ascii="Times New Roman" w:hAnsi="Times New Roman" w:cs="Times New Roman"/>
                <w:sz w:val="24"/>
                <w:szCs w:val="24"/>
              </w:rPr>
              <w:t xml:space="preserve">Tradicinės pramonės </w:t>
            </w:r>
            <w:proofErr w:type="spellStart"/>
            <w:r w:rsidRPr="0088498B">
              <w:rPr>
                <w:rFonts w:ascii="Times New Roman" w:hAnsi="Times New Roman" w:cs="Times New Roman"/>
                <w:sz w:val="24"/>
                <w:szCs w:val="24"/>
              </w:rPr>
              <w:t>skaitmeninim</w:t>
            </w:r>
            <w:r w:rsidR="009D0B6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8498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88498B">
              <w:rPr>
                <w:rFonts w:ascii="Times New Roman" w:hAnsi="Times New Roman" w:cs="Times New Roman"/>
                <w:sz w:val="24"/>
                <w:szCs w:val="24"/>
              </w:rPr>
              <w:t>, priemonės, skatinančios verslo kilimą vertės grandine link galutinio vartotojo</w:t>
            </w:r>
            <w:r w:rsidR="009D0B6E">
              <w:rPr>
                <w:rFonts w:ascii="Times New Roman" w:hAnsi="Times New Roman" w:cs="Times New Roman"/>
                <w:sz w:val="24"/>
                <w:szCs w:val="24"/>
              </w:rPr>
              <w:t xml:space="preserve"> ir</w:t>
            </w:r>
            <w:r w:rsidRPr="0088498B">
              <w:rPr>
                <w:rFonts w:ascii="Times New Roman" w:hAnsi="Times New Roman" w:cs="Times New Roman"/>
                <w:sz w:val="24"/>
                <w:szCs w:val="24"/>
              </w:rPr>
              <w:t xml:space="preserve"> padedančios plėstis esamiems, kurtis naujiems </w:t>
            </w:r>
            <w:r w:rsidR="00A20F34" w:rsidRPr="0088498B">
              <w:rPr>
                <w:rFonts w:ascii="Times New Roman" w:hAnsi="Times New Roman" w:cs="Times New Roman"/>
                <w:sz w:val="24"/>
                <w:szCs w:val="24"/>
              </w:rPr>
              <w:t>rinkos lyderiams</w:t>
            </w:r>
            <w:r w:rsidR="00A20F34" w:rsidRPr="0088498B" w:rsidDel="00ED5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5110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r w:rsidR="00ED5110" w:rsidRPr="00884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498B">
              <w:rPr>
                <w:rFonts w:ascii="Times New Roman" w:hAnsi="Times New Roman" w:cs="Times New Roman"/>
                <w:sz w:val="24"/>
                <w:szCs w:val="24"/>
              </w:rPr>
              <w:t xml:space="preserve">pritraukti naujų investuotojų, taip pat atvirų duomenų naudojimas </w:t>
            </w:r>
            <w:r w:rsidR="00ED5110">
              <w:rPr>
                <w:rFonts w:ascii="Times New Roman" w:hAnsi="Times New Roman" w:cs="Times New Roman"/>
                <w:sz w:val="24"/>
                <w:szCs w:val="24"/>
              </w:rPr>
              <w:t xml:space="preserve">sprendžiant </w:t>
            </w:r>
            <w:r w:rsidRPr="0088498B">
              <w:rPr>
                <w:rFonts w:ascii="Times New Roman" w:hAnsi="Times New Roman" w:cs="Times New Roman"/>
                <w:sz w:val="24"/>
                <w:szCs w:val="24"/>
              </w:rPr>
              <w:t>aktuali</w:t>
            </w:r>
            <w:r w:rsidR="00ED5110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88498B">
              <w:rPr>
                <w:rFonts w:ascii="Times New Roman" w:hAnsi="Times New Roman" w:cs="Times New Roman"/>
                <w:sz w:val="24"/>
                <w:szCs w:val="24"/>
              </w:rPr>
              <w:t xml:space="preserve"> problem</w:t>
            </w:r>
            <w:r w:rsidR="00ED5110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88498B">
              <w:rPr>
                <w:rFonts w:ascii="Times New Roman" w:hAnsi="Times New Roman" w:cs="Times New Roman"/>
                <w:sz w:val="24"/>
                <w:szCs w:val="24"/>
              </w:rPr>
              <w:t xml:space="preserve"> skatin</w:t>
            </w:r>
            <w:r w:rsidR="009D0B6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8498B">
              <w:rPr>
                <w:rFonts w:ascii="Times New Roman" w:hAnsi="Times New Roman" w:cs="Times New Roman"/>
                <w:sz w:val="24"/>
                <w:szCs w:val="24"/>
              </w:rPr>
              <w:t xml:space="preserve"> kurti naujas darbo vietas. </w:t>
            </w:r>
            <w:r w:rsidRPr="0088498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Teigiamas poveikis </w:t>
            </w:r>
            <w:r w:rsidR="00ED511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užimtumui</w:t>
            </w:r>
            <w:r w:rsidR="00B2641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88498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– kuriamos </w:t>
            </w:r>
            <w:r w:rsidRPr="0088498B">
              <w:rPr>
                <w:rFonts w:ascii="Times New Roman" w:hAnsi="Times New Roman" w:cs="Times New Roman"/>
                <w:sz w:val="24"/>
                <w:szCs w:val="24"/>
              </w:rPr>
              <w:t>darbo vietos vidutinės ir aukštos pridėtinės vertės sektoriuose.</w:t>
            </w:r>
          </w:p>
        </w:tc>
        <w:tc>
          <w:tcPr>
            <w:tcW w:w="4252" w:type="dxa"/>
          </w:tcPr>
          <w:p w:rsidR="00CE7A16" w:rsidRPr="006C211A" w:rsidRDefault="00CE7A16" w:rsidP="00677B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98B">
              <w:rPr>
                <w:rFonts w:ascii="Times New Roman" w:hAnsi="Times New Roman" w:cs="Times New Roman"/>
                <w:sz w:val="24"/>
                <w:szCs w:val="24"/>
              </w:rPr>
              <w:t>Kuriant darbo vietas vidutinės ir aukštos pridėtinės vertės sektoriuose, nauj</w:t>
            </w:r>
            <w:r w:rsidR="009D0B6E">
              <w:rPr>
                <w:rFonts w:ascii="Times New Roman" w:hAnsi="Times New Roman" w:cs="Times New Roman"/>
                <w:sz w:val="24"/>
                <w:szCs w:val="24"/>
              </w:rPr>
              <w:t>iems</w:t>
            </w:r>
            <w:r w:rsidRPr="0088498B">
              <w:rPr>
                <w:rFonts w:ascii="Times New Roman" w:hAnsi="Times New Roman" w:cs="Times New Roman"/>
                <w:sz w:val="24"/>
                <w:szCs w:val="24"/>
              </w:rPr>
              <w:t xml:space="preserve"> produkt</w:t>
            </w:r>
            <w:r w:rsidR="009D0B6E">
              <w:rPr>
                <w:rFonts w:ascii="Times New Roman" w:hAnsi="Times New Roman" w:cs="Times New Roman"/>
                <w:sz w:val="24"/>
                <w:szCs w:val="24"/>
              </w:rPr>
              <w:t xml:space="preserve">ams </w:t>
            </w:r>
            <w:r w:rsidRPr="0088498B">
              <w:rPr>
                <w:rFonts w:ascii="Times New Roman" w:hAnsi="Times New Roman" w:cs="Times New Roman"/>
                <w:sz w:val="24"/>
                <w:szCs w:val="24"/>
              </w:rPr>
              <w:t>ar verslo modeli</w:t>
            </w:r>
            <w:r w:rsidR="009D0B6E">
              <w:rPr>
                <w:rFonts w:ascii="Times New Roman" w:hAnsi="Times New Roman" w:cs="Times New Roman"/>
                <w:sz w:val="24"/>
                <w:szCs w:val="24"/>
              </w:rPr>
              <w:t>ams</w:t>
            </w:r>
            <w:r w:rsidRPr="00884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B6E">
              <w:rPr>
                <w:rFonts w:ascii="Times New Roman" w:hAnsi="Times New Roman" w:cs="Times New Roman"/>
                <w:sz w:val="24"/>
                <w:szCs w:val="24"/>
              </w:rPr>
              <w:t>sukurti</w:t>
            </w:r>
            <w:r w:rsidR="009D0B6E" w:rsidRPr="00884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498B">
              <w:rPr>
                <w:rFonts w:ascii="Times New Roman" w:hAnsi="Times New Roman" w:cs="Times New Roman"/>
                <w:sz w:val="24"/>
                <w:szCs w:val="24"/>
              </w:rPr>
              <w:t>taikant inve</w:t>
            </w:r>
            <w:r w:rsidR="00677BE5">
              <w:rPr>
                <w:rFonts w:ascii="Times New Roman" w:hAnsi="Times New Roman" w:cs="Times New Roman"/>
                <w:sz w:val="24"/>
                <w:szCs w:val="24"/>
              </w:rPr>
              <w:t xml:space="preserve">sticines paskatas tiesioginiams </w:t>
            </w:r>
            <w:r w:rsidRPr="0088498B">
              <w:rPr>
                <w:rFonts w:ascii="Times New Roman" w:hAnsi="Times New Roman" w:cs="Times New Roman"/>
                <w:sz w:val="24"/>
                <w:szCs w:val="24"/>
              </w:rPr>
              <w:t>investuotojams ir tobulinant e</w:t>
            </w:r>
            <w:r w:rsidR="009D0B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8498B">
              <w:rPr>
                <w:rFonts w:ascii="Times New Roman" w:hAnsi="Times New Roman" w:cs="Times New Roman"/>
                <w:sz w:val="24"/>
                <w:szCs w:val="24"/>
              </w:rPr>
              <w:t xml:space="preserve">valdžios paslaugas </w:t>
            </w:r>
            <w:r w:rsidRPr="006C211A">
              <w:rPr>
                <w:rFonts w:ascii="Times New Roman" w:hAnsi="Times New Roman" w:cs="Times New Roman"/>
                <w:sz w:val="24"/>
                <w:szCs w:val="24"/>
              </w:rPr>
              <w:t xml:space="preserve">verslui bei atveriant duomenis </w:t>
            </w:r>
            <w:r w:rsidRPr="007E086E">
              <w:rPr>
                <w:rFonts w:ascii="Times New Roman" w:hAnsi="Times New Roman" w:cs="Times New Roman"/>
                <w:sz w:val="24"/>
                <w:szCs w:val="24"/>
              </w:rPr>
              <w:t>sudaromos galimyb</w:t>
            </w:r>
            <w:r w:rsidR="009D0B6E" w:rsidRPr="007E086E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Pr="007E086E">
              <w:rPr>
                <w:rFonts w:ascii="Times New Roman" w:hAnsi="Times New Roman" w:cs="Times New Roman"/>
                <w:sz w:val="24"/>
                <w:szCs w:val="24"/>
              </w:rPr>
              <w:t>s pritraukti TUI</w:t>
            </w:r>
            <w:r w:rsidRPr="006C21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7A16" w:rsidRPr="0088498B" w:rsidRDefault="00CE7A16" w:rsidP="006C2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E7A16" w:rsidRPr="0088498B" w:rsidRDefault="006949E7" w:rsidP="006949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Naujos</w:t>
            </w:r>
            <w:r w:rsidRPr="00884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7A16" w:rsidRPr="0088498B">
              <w:rPr>
                <w:rFonts w:ascii="Times New Roman" w:hAnsi="Times New Roman" w:cs="Times New Roman"/>
                <w:sz w:val="24"/>
                <w:szCs w:val="24"/>
              </w:rPr>
              <w:t xml:space="preserve">galimybės eksportuoti vidutinės ir aukštos pridėtinės vertės produktus, sukurtus sprendimus ir verslo modelius yra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dar viena</w:t>
            </w:r>
            <w:r w:rsidRPr="00884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7A16" w:rsidRPr="0088498B">
              <w:rPr>
                <w:rFonts w:ascii="Times New Roman" w:hAnsi="Times New Roman" w:cs="Times New Roman"/>
                <w:sz w:val="24"/>
                <w:szCs w:val="24"/>
              </w:rPr>
              <w:t xml:space="preserve">priemonė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atnaujinti </w:t>
            </w:r>
            <w:r w:rsidR="00CE7A16" w:rsidRPr="0088498B">
              <w:rPr>
                <w:rFonts w:ascii="Times New Roman" w:hAnsi="Times New Roman" w:cs="Times New Roman"/>
                <w:sz w:val="24"/>
                <w:szCs w:val="24"/>
              </w:rPr>
              <w:t>eksporto rink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CE7A16" w:rsidRPr="006C211A">
              <w:rPr>
                <w:rFonts w:ascii="Times New Roman" w:hAnsi="Times New Roman" w:cs="Times New Roman"/>
                <w:sz w:val="24"/>
                <w:szCs w:val="24"/>
              </w:rPr>
              <w:t>, t</w:t>
            </w:r>
            <w:r w:rsidRPr="006C211A">
              <w:rPr>
                <w:rFonts w:ascii="Times New Roman" w:hAnsi="Times New Roman" w:cs="Times New Roman"/>
                <w:sz w:val="24"/>
                <w:szCs w:val="24"/>
              </w:rPr>
              <w:t>odėl</w:t>
            </w:r>
            <w:r w:rsidR="00CE7A16" w:rsidRPr="006C211A">
              <w:rPr>
                <w:rFonts w:ascii="Times New Roman" w:hAnsi="Times New Roman" w:cs="Times New Roman"/>
                <w:sz w:val="24"/>
                <w:szCs w:val="24"/>
              </w:rPr>
              <w:t xml:space="preserve"> tikėtinas </w:t>
            </w:r>
            <w:r w:rsidR="00CE7A16" w:rsidRPr="007E086E">
              <w:rPr>
                <w:rFonts w:ascii="Times New Roman" w:hAnsi="Times New Roman" w:cs="Times New Roman"/>
                <w:sz w:val="24"/>
                <w:szCs w:val="24"/>
              </w:rPr>
              <w:t>teigiamas poveikis eksportui.</w:t>
            </w:r>
          </w:p>
        </w:tc>
      </w:tr>
      <w:tr w:rsidR="003476D6" w:rsidRPr="0088498B" w:rsidTr="006C211A">
        <w:tc>
          <w:tcPr>
            <w:tcW w:w="1418" w:type="dxa"/>
          </w:tcPr>
          <w:p w:rsidR="00CE7A16" w:rsidRPr="0088498B" w:rsidRDefault="00CE7A16" w:rsidP="006C2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98B">
              <w:rPr>
                <w:rFonts w:ascii="Times New Roman" w:hAnsi="Times New Roman" w:cs="Times New Roman"/>
                <w:sz w:val="24"/>
                <w:szCs w:val="24"/>
              </w:rPr>
              <w:t>Inovacijos ir moksliniai tyrimai</w:t>
            </w:r>
          </w:p>
        </w:tc>
        <w:tc>
          <w:tcPr>
            <w:tcW w:w="4678" w:type="dxa"/>
          </w:tcPr>
          <w:p w:rsidR="00CE7A16" w:rsidRPr="0088498B" w:rsidRDefault="00CE7A16" w:rsidP="008B4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98B">
              <w:rPr>
                <w:rFonts w:ascii="Times New Roman" w:eastAsia="Times New Roman" w:hAnsi="Times New Roman" w:cs="Times New Roman"/>
                <w:sz w:val="24"/>
                <w:szCs w:val="24"/>
              </w:rPr>
              <w:t>Didesni verslo inovaciniai gebėjimai ir investicijos į</w:t>
            </w:r>
            <w:r w:rsidR="006C2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mokslinius tyrimus, eksperimentinę plėtrą ir inovacijas (toliau –</w:t>
            </w:r>
            <w:r w:rsidRPr="00884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MTEPI</w:t>
            </w:r>
            <w:r w:rsidR="006C211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884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mokslo ir verslo bendradarbiavimas gali lemti </w:t>
            </w:r>
            <w:r w:rsidR="006949E7">
              <w:rPr>
                <w:rFonts w:ascii="Times New Roman" w:eastAsia="Times New Roman" w:hAnsi="Times New Roman" w:cs="Times New Roman"/>
                <w:sz w:val="24"/>
                <w:szCs w:val="24"/>
              </w:rPr>
              <w:t>didesnę</w:t>
            </w:r>
            <w:r w:rsidR="006949E7" w:rsidRPr="00884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8498B">
              <w:rPr>
                <w:rFonts w:ascii="Times New Roman" w:eastAsia="Times New Roman" w:hAnsi="Times New Roman" w:cs="Times New Roman"/>
                <w:sz w:val="24"/>
                <w:szCs w:val="24"/>
              </w:rPr>
              <w:t>aukštos kvalifikacijos, gerai apmokam</w:t>
            </w:r>
            <w:r w:rsidR="006949E7">
              <w:rPr>
                <w:rFonts w:ascii="Times New Roman" w:eastAsia="Times New Roman" w:hAnsi="Times New Roman" w:cs="Times New Roman"/>
                <w:sz w:val="24"/>
                <w:szCs w:val="24"/>
              </w:rPr>
              <w:t>os</w:t>
            </w:r>
            <w:r w:rsidRPr="00884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darbo jėg</w:t>
            </w:r>
            <w:r w:rsidR="006949E7">
              <w:rPr>
                <w:rFonts w:ascii="Times New Roman" w:eastAsia="Times New Roman" w:hAnsi="Times New Roman" w:cs="Times New Roman"/>
                <w:sz w:val="24"/>
                <w:szCs w:val="24"/>
              </w:rPr>
              <w:t>os</w:t>
            </w:r>
            <w:r w:rsidR="006949E7" w:rsidRPr="00884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49E7" w:rsidRPr="008849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paklausą</w:t>
            </w:r>
            <w:r w:rsidR="00F36E73">
              <w:rPr>
                <w:rFonts w:ascii="Times New Roman" w:eastAsia="Times New Roman" w:hAnsi="Times New Roman" w:cs="Times New Roman"/>
                <w:sz w:val="24"/>
                <w:szCs w:val="24"/>
              </w:rPr>
              <w:t>, t. y</w:t>
            </w:r>
            <w:r w:rsidRPr="00884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F36E73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884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udaromos sąlygos </w:t>
            </w:r>
            <w:r w:rsidR="00B264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didėti </w:t>
            </w:r>
            <w:r w:rsidRPr="0088498B">
              <w:rPr>
                <w:rFonts w:ascii="Times New Roman" w:eastAsia="Times New Roman" w:hAnsi="Times New Roman" w:cs="Times New Roman"/>
                <w:sz w:val="24"/>
                <w:szCs w:val="24"/>
              </w:rPr>
              <w:t>tyrėjų</w:t>
            </w:r>
            <w:proofErr w:type="gramStart"/>
            <w:r w:rsidRPr="0088498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88498B">
              <w:rPr>
                <w:rFonts w:ascii="Times New Roman" w:eastAsia="Times New Roman" w:hAnsi="Times New Roman" w:cs="Times New Roman"/>
                <w:sz w:val="24"/>
                <w:szCs w:val="24"/>
              </w:rPr>
              <w:t>technikų ir tyrėjų-inžinierių paklaus</w:t>
            </w:r>
            <w:r w:rsidR="00B26416">
              <w:rPr>
                <w:rFonts w:ascii="Times New Roman" w:eastAsia="Times New Roman" w:hAnsi="Times New Roman" w:cs="Times New Roman"/>
                <w:sz w:val="24"/>
                <w:szCs w:val="24"/>
              </w:rPr>
              <w:t>ai</w:t>
            </w:r>
            <w:r w:rsidR="006949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884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4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taip pat </w:t>
            </w:r>
            <w:r w:rsidR="00B26416">
              <w:rPr>
                <w:rFonts w:ascii="Times New Roman" w:eastAsia="Times New Roman" w:hAnsi="Times New Roman" w:cs="Times New Roman"/>
                <w:sz w:val="24"/>
                <w:szCs w:val="24"/>
              </w:rPr>
              <w:t>gali išaugti</w:t>
            </w:r>
            <w:r w:rsidRPr="00884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žinių ir technologijų perdavimo vadybinink</w:t>
            </w:r>
            <w:r w:rsidR="006949E7">
              <w:rPr>
                <w:rFonts w:ascii="Times New Roman" w:eastAsia="Times New Roman" w:hAnsi="Times New Roman" w:cs="Times New Roman"/>
                <w:sz w:val="24"/>
                <w:szCs w:val="24"/>
              </w:rPr>
              <w:t>ų</w:t>
            </w:r>
            <w:r w:rsidRPr="00884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49E7" w:rsidRPr="00884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paklausa </w:t>
            </w:r>
            <w:r w:rsidRPr="0088498B">
              <w:rPr>
                <w:rFonts w:ascii="Times New Roman" w:eastAsia="Times New Roman" w:hAnsi="Times New Roman" w:cs="Times New Roman"/>
                <w:sz w:val="24"/>
                <w:szCs w:val="24"/>
              </w:rPr>
              <w:t>mokslo ir studijų institucijose. Inovacijų infrastruktūros vystymas sukuria trumpalaikį poveikį nauj</w:t>
            </w:r>
            <w:r w:rsidR="00F36E73">
              <w:rPr>
                <w:rFonts w:ascii="Times New Roman" w:eastAsia="Times New Roman" w:hAnsi="Times New Roman" w:cs="Times New Roman"/>
                <w:sz w:val="24"/>
                <w:szCs w:val="24"/>
              </w:rPr>
              <w:t>oms</w:t>
            </w:r>
            <w:r w:rsidRPr="00884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darbo viet</w:t>
            </w:r>
            <w:r w:rsidR="00F36E73">
              <w:rPr>
                <w:rFonts w:ascii="Times New Roman" w:eastAsia="Times New Roman" w:hAnsi="Times New Roman" w:cs="Times New Roman"/>
                <w:sz w:val="24"/>
                <w:szCs w:val="24"/>
              </w:rPr>
              <w:t>oms</w:t>
            </w:r>
            <w:r w:rsidRPr="00884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</w:t>
            </w:r>
            <w:r w:rsidR="00F36E73">
              <w:rPr>
                <w:rFonts w:ascii="Times New Roman" w:eastAsia="Times New Roman" w:hAnsi="Times New Roman" w:cs="Times New Roman"/>
                <w:sz w:val="24"/>
                <w:szCs w:val="24"/>
              </w:rPr>
              <w:t>urti</w:t>
            </w:r>
            <w:r w:rsidRPr="00884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o </w:t>
            </w:r>
            <w:r w:rsidR="00F36E73">
              <w:rPr>
                <w:rFonts w:ascii="Times New Roman" w:eastAsia="Times New Roman" w:hAnsi="Times New Roman" w:cs="Times New Roman"/>
                <w:sz w:val="24"/>
                <w:szCs w:val="24"/>
              </w:rPr>
              <w:t>ilguoju laikotarpiu</w:t>
            </w:r>
            <w:r w:rsidRPr="00884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sukuria prielaidas žinioms imlių verslo sektorių plėtrai, tad ir aukštos kvalifikacijos darbo jėgos paklausai.</w:t>
            </w:r>
          </w:p>
        </w:tc>
        <w:tc>
          <w:tcPr>
            <w:tcW w:w="4252" w:type="dxa"/>
          </w:tcPr>
          <w:p w:rsidR="00CE7A16" w:rsidRPr="0088498B" w:rsidRDefault="00CE7A16" w:rsidP="007E0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9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Dalis verslo inovacinių gebėjimų st</w:t>
            </w:r>
            <w:r w:rsidR="00F36E73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884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prinimo priemonių </w:t>
            </w:r>
            <w:r w:rsidRPr="006C2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turės </w:t>
            </w:r>
            <w:r w:rsidRPr="007E086E">
              <w:rPr>
                <w:rFonts w:ascii="Times New Roman" w:eastAsia="Times New Roman" w:hAnsi="Times New Roman" w:cs="Times New Roman"/>
                <w:sz w:val="24"/>
                <w:szCs w:val="24"/>
              </w:rPr>
              <w:t>teigiamą poveikį TUI</w:t>
            </w:r>
            <w:r w:rsidRPr="006C211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884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nes yra tiesiogiai orientuotos į palankių sąlygų </w:t>
            </w:r>
            <w:r w:rsidR="00F36E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pritraukti </w:t>
            </w:r>
            <w:r w:rsidRPr="0088498B">
              <w:rPr>
                <w:rFonts w:ascii="Times New Roman" w:eastAsia="Times New Roman" w:hAnsi="Times New Roman" w:cs="Times New Roman"/>
                <w:sz w:val="24"/>
                <w:szCs w:val="24"/>
              </w:rPr>
              <w:t>TUI sukūrimą. Gyvybės mokslų inkubatoriaus įkūrimas, B</w:t>
            </w:r>
            <w:r w:rsidR="008B4F7A">
              <w:rPr>
                <w:rFonts w:ascii="Times New Roman" w:eastAsia="Times New Roman" w:hAnsi="Times New Roman" w:cs="Times New Roman"/>
                <w:sz w:val="24"/>
                <w:szCs w:val="24"/>
              </w:rPr>
              <w:t>io</w:t>
            </w:r>
            <w:r w:rsidRPr="00884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technologijų </w:t>
            </w:r>
            <w:r w:rsidR="008B4F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parko </w:t>
            </w:r>
            <w:r w:rsidRPr="00884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verslo inkubatoriaus plėtra, Gyvybės mokslų nacionalinės inovacijų programos sukūrimas ir įgyvendinimas, </w:t>
            </w:r>
            <w:proofErr w:type="spellStart"/>
            <w:r w:rsidRPr="0088498B">
              <w:rPr>
                <w:rFonts w:ascii="Times New Roman" w:eastAsia="Times New Roman" w:hAnsi="Times New Roman" w:cs="Times New Roman"/>
                <w:sz w:val="24"/>
                <w:szCs w:val="24"/>
              </w:rPr>
              <w:t>inovatyvių</w:t>
            </w:r>
            <w:proofErr w:type="spellEnd"/>
            <w:r w:rsidRPr="00884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sprendimų pasiūla, į </w:t>
            </w:r>
            <w:proofErr w:type="spellStart"/>
            <w:r w:rsidRPr="0088498B">
              <w:rPr>
                <w:rFonts w:ascii="Times New Roman" w:eastAsia="Times New Roman" w:hAnsi="Times New Roman" w:cs="Times New Roman"/>
                <w:sz w:val="24"/>
                <w:szCs w:val="24"/>
              </w:rPr>
              <w:t>inovatyvių</w:t>
            </w:r>
            <w:proofErr w:type="spellEnd"/>
            <w:r w:rsidRPr="00884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produktų vystymą orientuota mokslo sistema ir infrastruktūra, taip pat</w:t>
            </w:r>
            <w:r w:rsidR="007E0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tinkamas finansavimas </w:t>
            </w:r>
            <w:r w:rsidRPr="0088498B">
              <w:rPr>
                <w:rFonts w:ascii="Times New Roman" w:eastAsia="Times New Roman" w:hAnsi="Times New Roman" w:cs="Times New Roman"/>
                <w:sz w:val="24"/>
                <w:szCs w:val="24"/>
              </w:rPr>
              <w:t>kuria palankią aplinką TUI.</w:t>
            </w:r>
          </w:p>
        </w:tc>
        <w:tc>
          <w:tcPr>
            <w:tcW w:w="3544" w:type="dxa"/>
          </w:tcPr>
          <w:p w:rsidR="00CE7A16" w:rsidRPr="0088498B" w:rsidRDefault="00CE7A16" w:rsidP="00F36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8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Investicijos nedaro </w:t>
            </w:r>
            <w:r w:rsidR="00F36E73" w:rsidRPr="007E0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tiesioginio </w:t>
            </w:r>
            <w:r w:rsidRPr="007E086E">
              <w:rPr>
                <w:rFonts w:ascii="Times New Roman" w:eastAsia="Times New Roman" w:hAnsi="Times New Roman" w:cs="Times New Roman"/>
                <w:sz w:val="24"/>
                <w:szCs w:val="24"/>
              </w:rPr>
              <w:t>poveikio</w:t>
            </w:r>
            <w:r w:rsidRPr="00884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eksportui, tačiau ilgainiui sustiprina žinioms imlius verslo sektorius, sudaro prielaidas jiems kurti aukštos pridėtinės vertės produktus, paklausius </w:t>
            </w:r>
            <w:r w:rsidRPr="008849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užsienio rinkose, t</w:t>
            </w:r>
            <w:r w:rsidR="00F36E73">
              <w:rPr>
                <w:rFonts w:ascii="Times New Roman" w:eastAsia="Times New Roman" w:hAnsi="Times New Roman" w:cs="Times New Roman"/>
                <w:sz w:val="24"/>
                <w:szCs w:val="24"/>
              </w:rPr>
              <w:t>odėl</w:t>
            </w:r>
            <w:r w:rsidRPr="00884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tikėtinas aukštos pridėtinės vertės produktų eksporto apimčių didėjimas ilg</w:t>
            </w:r>
            <w:r w:rsidR="00F36E73">
              <w:rPr>
                <w:rFonts w:ascii="Times New Roman" w:eastAsia="Times New Roman" w:hAnsi="Times New Roman" w:cs="Times New Roman"/>
                <w:sz w:val="24"/>
                <w:szCs w:val="24"/>
              </w:rPr>
              <w:t>uoju laikotarpiu</w:t>
            </w:r>
            <w:r w:rsidRPr="008849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76D6" w:rsidRPr="0088498B" w:rsidTr="006C211A">
        <w:tc>
          <w:tcPr>
            <w:tcW w:w="1418" w:type="dxa"/>
          </w:tcPr>
          <w:p w:rsidR="00CE7A16" w:rsidRPr="0088498B" w:rsidRDefault="00CE7A16" w:rsidP="006C2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9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Ekonominė infrastruktūra</w:t>
            </w:r>
          </w:p>
        </w:tc>
        <w:tc>
          <w:tcPr>
            <w:tcW w:w="4678" w:type="dxa"/>
          </w:tcPr>
          <w:p w:rsidR="00CE7A16" w:rsidRPr="0088498B" w:rsidRDefault="00CE7A16" w:rsidP="00660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98B">
              <w:rPr>
                <w:rFonts w:ascii="Times New Roman" w:hAnsi="Times New Roman" w:cs="Times New Roman"/>
                <w:sz w:val="24"/>
                <w:szCs w:val="24"/>
              </w:rPr>
              <w:t>Investicijos</w:t>
            </w:r>
            <w:r w:rsidR="00F36E73">
              <w:rPr>
                <w:rFonts w:ascii="Times New Roman" w:hAnsi="Times New Roman" w:cs="Times New Roman"/>
                <w:sz w:val="24"/>
                <w:szCs w:val="24"/>
              </w:rPr>
              <w:t xml:space="preserve"> į</w:t>
            </w:r>
            <w:r w:rsidRPr="00884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01E8">
              <w:rPr>
                <w:rFonts w:ascii="Times New Roman" w:hAnsi="Times New Roman" w:cs="Times New Roman"/>
                <w:sz w:val="24"/>
                <w:szCs w:val="24"/>
              </w:rPr>
              <w:t>statybos</w:t>
            </w:r>
            <w:r w:rsidR="00F36E73" w:rsidRPr="0088498B">
              <w:rPr>
                <w:rFonts w:ascii="Times New Roman" w:hAnsi="Times New Roman" w:cs="Times New Roman"/>
                <w:sz w:val="24"/>
                <w:szCs w:val="24"/>
              </w:rPr>
              <w:t xml:space="preserve"> ir rangos darbus </w:t>
            </w:r>
            <w:r w:rsidRPr="006C211A">
              <w:rPr>
                <w:rFonts w:ascii="Times New Roman" w:hAnsi="Times New Roman" w:cs="Times New Roman"/>
                <w:sz w:val="24"/>
                <w:szCs w:val="24"/>
              </w:rPr>
              <w:t xml:space="preserve">turės </w:t>
            </w:r>
            <w:r w:rsidRPr="007E086E">
              <w:rPr>
                <w:rFonts w:ascii="Times New Roman" w:hAnsi="Times New Roman" w:cs="Times New Roman"/>
                <w:sz w:val="24"/>
                <w:szCs w:val="24"/>
              </w:rPr>
              <w:t>tiesioginį trumpalaikį teigiamą poveikį</w:t>
            </w:r>
            <w:r w:rsidRPr="006C2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6E73" w:rsidRPr="006C211A">
              <w:rPr>
                <w:rFonts w:ascii="Times New Roman" w:hAnsi="Times New Roman" w:cs="Times New Roman"/>
                <w:sz w:val="24"/>
                <w:szCs w:val="24"/>
              </w:rPr>
              <w:t xml:space="preserve">kuriant </w:t>
            </w:r>
            <w:r w:rsidRPr="006C211A">
              <w:rPr>
                <w:rFonts w:ascii="Times New Roman" w:hAnsi="Times New Roman" w:cs="Times New Roman"/>
                <w:sz w:val="24"/>
                <w:szCs w:val="24"/>
              </w:rPr>
              <w:t>nauj</w:t>
            </w:r>
            <w:r w:rsidR="00F36E73" w:rsidRPr="006C211A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6C211A">
              <w:rPr>
                <w:rFonts w:ascii="Times New Roman" w:hAnsi="Times New Roman" w:cs="Times New Roman"/>
                <w:sz w:val="24"/>
                <w:szCs w:val="24"/>
              </w:rPr>
              <w:t xml:space="preserve"> darbo viet</w:t>
            </w:r>
            <w:r w:rsidR="00F36E73" w:rsidRPr="006C211A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6C2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01E8" w:rsidRPr="006C211A">
              <w:rPr>
                <w:rFonts w:ascii="Times New Roman" w:hAnsi="Times New Roman" w:cs="Times New Roman"/>
                <w:sz w:val="24"/>
                <w:szCs w:val="24"/>
              </w:rPr>
              <w:t xml:space="preserve">ir, daugiausia skatinant pritraukti TUI, </w:t>
            </w:r>
            <w:r w:rsidRPr="007E086E">
              <w:rPr>
                <w:rFonts w:ascii="Times New Roman" w:hAnsi="Times New Roman" w:cs="Times New Roman"/>
                <w:sz w:val="24"/>
                <w:szCs w:val="24"/>
              </w:rPr>
              <w:t>ilgalaikį teigiamą poveikį</w:t>
            </w:r>
            <w:r w:rsidRPr="006C2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6E73" w:rsidRPr="006C211A">
              <w:rPr>
                <w:rFonts w:ascii="Times New Roman" w:hAnsi="Times New Roman" w:cs="Times New Roman"/>
                <w:sz w:val="24"/>
                <w:szCs w:val="24"/>
              </w:rPr>
              <w:t xml:space="preserve">kuriant naujas </w:t>
            </w:r>
            <w:r w:rsidRPr="006C211A">
              <w:rPr>
                <w:rFonts w:ascii="Times New Roman" w:hAnsi="Times New Roman" w:cs="Times New Roman"/>
                <w:sz w:val="24"/>
                <w:szCs w:val="24"/>
              </w:rPr>
              <w:t>darbo</w:t>
            </w:r>
            <w:r w:rsidRPr="0088498B">
              <w:rPr>
                <w:rFonts w:ascii="Times New Roman" w:hAnsi="Times New Roman" w:cs="Times New Roman"/>
                <w:sz w:val="24"/>
                <w:szCs w:val="24"/>
              </w:rPr>
              <w:t xml:space="preserve"> viet</w:t>
            </w:r>
            <w:r w:rsidR="00F36E73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8849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CE7A16" w:rsidRPr="0088498B" w:rsidRDefault="00CE7A16" w:rsidP="009A0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98B">
              <w:rPr>
                <w:rFonts w:ascii="Times New Roman" w:hAnsi="Times New Roman" w:cs="Times New Roman"/>
                <w:sz w:val="24"/>
                <w:szCs w:val="24"/>
              </w:rPr>
              <w:t>Invest</w:t>
            </w:r>
            <w:r w:rsidR="006601E8">
              <w:rPr>
                <w:rFonts w:ascii="Times New Roman" w:hAnsi="Times New Roman" w:cs="Times New Roman"/>
                <w:sz w:val="24"/>
                <w:szCs w:val="24"/>
              </w:rPr>
              <w:t>icijos</w:t>
            </w:r>
            <w:r w:rsidRPr="0088498B">
              <w:rPr>
                <w:rFonts w:ascii="Times New Roman" w:hAnsi="Times New Roman" w:cs="Times New Roman"/>
                <w:sz w:val="24"/>
                <w:szCs w:val="24"/>
              </w:rPr>
              <w:t xml:space="preserve"> į verslo poreikius atitinkančių teritorijų, sklypų ir pastatų vystymą, taip pat kelius, vedančius į teritorijas, kuriose </w:t>
            </w:r>
            <w:r w:rsidRPr="006C211A">
              <w:rPr>
                <w:rFonts w:ascii="Times New Roman" w:hAnsi="Times New Roman" w:cs="Times New Roman"/>
                <w:sz w:val="24"/>
                <w:szCs w:val="24"/>
              </w:rPr>
              <w:t xml:space="preserve">kuriamos darbo vietos, </w:t>
            </w:r>
            <w:r w:rsidRPr="007E086E">
              <w:rPr>
                <w:rFonts w:ascii="Times New Roman" w:hAnsi="Times New Roman" w:cs="Times New Roman"/>
                <w:sz w:val="24"/>
                <w:szCs w:val="24"/>
              </w:rPr>
              <w:t>turės tiesioginį teigiamą poveikį</w:t>
            </w:r>
            <w:r w:rsidRPr="006C2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01E8" w:rsidRPr="006C211A">
              <w:rPr>
                <w:rFonts w:ascii="Times New Roman" w:hAnsi="Times New Roman" w:cs="Times New Roman"/>
                <w:sz w:val="24"/>
                <w:szCs w:val="24"/>
              </w:rPr>
              <w:t>pritraukiant</w:t>
            </w:r>
            <w:r w:rsidR="00660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498B">
              <w:rPr>
                <w:rFonts w:ascii="Times New Roman" w:hAnsi="Times New Roman" w:cs="Times New Roman"/>
                <w:sz w:val="24"/>
                <w:szCs w:val="24"/>
              </w:rPr>
              <w:t>TUI</w:t>
            </w:r>
            <w:r w:rsidR="009A0591">
              <w:rPr>
                <w:rFonts w:ascii="Times New Roman" w:hAnsi="Times New Roman" w:cs="Times New Roman"/>
                <w:sz w:val="24"/>
                <w:szCs w:val="24"/>
              </w:rPr>
              <w:t>, nes</w:t>
            </w:r>
            <w:r w:rsidRPr="0088498B">
              <w:rPr>
                <w:rFonts w:ascii="Times New Roman" w:hAnsi="Times New Roman" w:cs="Times New Roman"/>
                <w:sz w:val="24"/>
                <w:szCs w:val="24"/>
              </w:rPr>
              <w:t xml:space="preserve"> investuotojams</w:t>
            </w:r>
            <w:r w:rsidR="009A0591">
              <w:rPr>
                <w:rFonts w:ascii="Times New Roman" w:hAnsi="Times New Roman" w:cs="Times New Roman"/>
                <w:sz w:val="24"/>
                <w:szCs w:val="24"/>
              </w:rPr>
              <w:t xml:space="preserve"> bus siūloma</w:t>
            </w:r>
            <w:r w:rsidRPr="0088498B">
              <w:rPr>
                <w:rFonts w:ascii="Times New Roman" w:hAnsi="Times New Roman" w:cs="Times New Roman"/>
                <w:sz w:val="24"/>
                <w:szCs w:val="24"/>
              </w:rPr>
              <w:t xml:space="preserve"> reikiam</w:t>
            </w:r>
            <w:r w:rsidR="009A059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8498B">
              <w:rPr>
                <w:rFonts w:ascii="Times New Roman" w:hAnsi="Times New Roman" w:cs="Times New Roman"/>
                <w:sz w:val="24"/>
                <w:szCs w:val="24"/>
              </w:rPr>
              <w:t xml:space="preserve"> infrastruktūr</w:t>
            </w:r>
            <w:r w:rsidR="009A059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8498B">
              <w:rPr>
                <w:rFonts w:ascii="Times New Roman" w:hAnsi="Times New Roman" w:cs="Times New Roman"/>
                <w:sz w:val="24"/>
                <w:szCs w:val="24"/>
              </w:rPr>
              <w:t>, spartinama</w:t>
            </w:r>
            <w:r w:rsidR="009A059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8498B">
              <w:rPr>
                <w:rFonts w:ascii="Times New Roman" w:hAnsi="Times New Roman" w:cs="Times New Roman"/>
                <w:sz w:val="24"/>
                <w:szCs w:val="24"/>
              </w:rPr>
              <w:t xml:space="preserve"> įsikūrimo ir gamybos pradžios laik</w:t>
            </w:r>
            <w:r w:rsidR="009A0591">
              <w:rPr>
                <w:rFonts w:ascii="Times New Roman" w:hAnsi="Times New Roman" w:cs="Times New Roman"/>
                <w:sz w:val="24"/>
                <w:szCs w:val="24"/>
              </w:rPr>
              <w:t>as, o</w:t>
            </w:r>
            <w:r w:rsidRPr="00884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059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8498B">
              <w:rPr>
                <w:rFonts w:ascii="Times New Roman" w:hAnsi="Times New Roman" w:cs="Times New Roman"/>
                <w:sz w:val="24"/>
                <w:szCs w:val="24"/>
              </w:rPr>
              <w:t>viaciniai srautai tiesiogiai koreliuoja su tarptautinėmis verslo galimybėmis.</w:t>
            </w:r>
          </w:p>
        </w:tc>
        <w:tc>
          <w:tcPr>
            <w:tcW w:w="3544" w:type="dxa"/>
          </w:tcPr>
          <w:p w:rsidR="00CE7A16" w:rsidRPr="0088498B" w:rsidRDefault="00CE7A16" w:rsidP="009A0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11A">
              <w:rPr>
                <w:rFonts w:ascii="Times New Roman" w:hAnsi="Times New Roman" w:cs="Times New Roman"/>
                <w:sz w:val="24"/>
                <w:szCs w:val="24"/>
              </w:rPr>
              <w:t xml:space="preserve">Investicijos </w:t>
            </w:r>
            <w:r w:rsidRPr="007E086E">
              <w:rPr>
                <w:rFonts w:ascii="Times New Roman" w:hAnsi="Times New Roman" w:cs="Times New Roman"/>
                <w:sz w:val="24"/>
                <w:szCs w:val="24"/>
              </w:rPr>
              <w:t>turės teigiamą poveikį</w:t>
            </w:r>
            <w:r w:rsidRPr="006C211A">
              <w:rPr>
                <w:rFonts w:ascii="Times New Roman" w:hAnsi="Times New Roman" w:cs="Times New Roman"/>
                <w:sz w:val="24"/>
                <w:szCs w:val="24"/>
              </w:rPr>
              <w:t xml:space="preserve"> eksporto plėtrai</w:t>
            </w:r>
            <w:r w:rsidR="009A0591" w:rsidRPr="006C21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A0591">
              <w:rPr>
                <w:rFonts w:ascii="Times New Roman" w:hAnsi="Times New Roman" w:cs="Times New Roman"/>
                <w:sz w:val="24"/>
                <w:szCs w:val="24"/>
              </w:rPr>
              <w:t xml:space="preserve"> nes jos padės</w:t>
            </w:r>
            <w:r w:rsidRPr="00884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0591">
              <w:rPr>
                <w:rFonts w:ascii="Times New Roman" w:hAnsi="Times New Roman" w:cs="Times New Roman"/>
                <w:sz w:val="24"/>
                <w:szCs w:val="24"/>
              </w:rPr>
              <w:t xml:space="preserve">didinti </w:t>
            </w:r>
            <w:r w:rsidRPr="0088498B">
              <w:rPr>
                <w:rFonts w:ascii="Times New Roman" w:hAnsi="Times New Roman" w:cs="Times New Roman"/>
                <w:sz w:val="24"/>
                <w:szCs w:val="24"/>
              </w:rPr>
              <w:t>verslo galimyb</w:t>
            </w:r>
            <w:r w:rsidR="009A0591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r w:rsidRPr="008849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A0591">
              <w:rPr>
                <w:rFonts w:ascii="Times New Roman" w:hAnsi="Times New Roman" w:cs="Times New Roman"/>
                <w:sz w:val="24"/>
                <w:szCs w:val="24"/>
              </w:rPr>
              <w:t>pa</w:t>
            </w:r>
            <w:r w:rsidRPr="0088498B">
              <w:rPr>
                <w:rFonts w:ascii="Times New Roman" w:hAnsi="Times New Roman" w:cs="Times New Roman"/>
                <w:sz w:val="24"/>
                <w:szCs w:val="24"/>
              </w:rPr>
              <w:t>ger</w:t>
            </w:r>
            <w:r w:rsidR="009A0591">
              <w:rPr>
                <w:rFonts w:ascii="Times New Roman" w:hAnsi="Times New Roman" w:cs="Times New Roman"/>
                <w:sz w:val="24"/>
                <w:szCs w:val="24"/>
              </w:rPr>
              <w:t>inti</w:t>
            </w:r>
            <w:r w:rsidR="00CB7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719F">
              <w:rPr>
                <w:rFonts w:ascii="Times New Roman" w:hAnsi="Times New Roman" w:cs="Times New Roman"/>
                <w:sz w:val="24"/>
                <w:szCs w:val="24"/>
              </w:rPr>
              <w:t>tinkla</w:t>
            </w:r>
            <w:r w:rsidRPr="0088498B">
              <w:rPr>
                <w:rFonts w:ascii="Times New Roman" w:hAnsi="Times New Roman" w:cs="Times New Roman"/>
                <w:sz w:val="24"/>
                <w:szCs w:val="24"/>
              </w:rPr>
              <w:t>veik</w:t>
            </w:r>
            <w:r w:rsidR="009A0591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proofErr w:type="spellEnd"/>
            <w:r w:rsidRPr="0088498B">
              <w:rPr>
                <w:rFonts w:ascii="Times New Roman" w:hAnsi="Times New Roman" w:cs="Times New Roman"/>
                <w:sz w:val="24"/>
                <w:szCs w:val="24"/>
              </w:rPr>
              <w:t xml:space="preserve"> ir šalies pozicionavim</w:t>
            </w:r>
            <w:r w:rsidR="009A0591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88498B">
              <w:rPr>
                <w:rFonts w:ascii="Times New Roman" w:hAnsi="Times New Roman" w:cs="Times New Roman"/>
                <w:sz w:val="24"/>
                <w:szCs w:val="24"/>
              </w:rPr>
              <w:t xml:space="preserve"> vertės grandinėse. Taip pat tiesioginis poveikis eksportui priklauso nuo naujų investicijų tipo, veiklos pradžios ir pobūdžio. </w:t>
            </w:r>
            <w:r w:rsidR="009A059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8498B">
              <w:rPr>
                <w:rFonts w:ascii="Times New Roman" w:hAnsi="Times New Roman" w:cs="Times New Roman"/>
                <w:sz w:val="24"/>
                <w:szCs w:val="24"/>
              </w:rPr>
              <w:t>nfrastruktūrin</w:t>
            </w:r>
            <w:r w:rsidR="009A0591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r w:rsidRPr="0088498B">
              <w:rPr>
                <w:rFonts w:ascii="Times New Roman" w:hAnsi="Times New Roman" w:cs="Times New Roman"/>
                <w:sz w:val="24"/>
                <w:szCs w:val="24"/>
              </w:rPr>
              <w:t xml:space="preserve"> eksporto galimyb</w:t>
            </w:r>
            <w:r w:rsidR="009A0591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r w:rsidRPr="0088498B">
              <w:rPr>
                <w:rFonts w:ascii="Times New Roman" w:hAnsi="Times New Roman" w:cs="Times New Roman"/>
                <w:sz w:val="24"/>
                <w:szCs w:val="24"/>
              </w:rPr>
              <w:t xml:space="preserve"> gali </w:t>
            </w:r>
            <w:r w:rsidR="009A0591">
              <w:rPr>
                <w:rFonts w:ascii="Times New Roman" w:hAnsi="Times New Roman" w:cs="Times New Roman"/>
                <w:sz w:val="24"/>
                <w:szCs w:val="24"/>
              </w:rPr>
              <w:t xml:space="preserve">padidinti </w:t>
            </w:r>
            <w:r w:rsidRPr="0088498B">
              <w:rPr>
                <w:rFonts w:ascii="Times New Roman" w:hAnsi="Times New Roman" w:cs="Times New Roman"/>
                <w:sz w:val="24"/>
                <w:szCs w:val="24"/>
              </w:rPr>
              <w:t>jūrų uosto plėtra, vidaus vandenų kelių gerinimas, taip pat „</w:t>
            </w:r>
            <w:proofErr w:type="spellStart"/>
            <w:r w:rsidRPr="0088498B">
              <w:rPr>
                <w:rFonts w:ascii="Times New Roman" w:hAnsi="Times New Roman" w:cs="Times New Roman"/>
                <w:sz w:val="24"/>
                <w:szCs w:val="24"/>
              </w:rPr>
              <w:t>Rail</w:t>
            </w:r>
            <w:proofErr w:type="spellEnd"/>
            <w:r w:rsidRPr="00884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98B">
              <w:rPr>
                <w:rFonts w:ascii="Times New Roman" w:hAnsi="Times New Roman" w:cs="Times New Roman"/>
                <w:sz w:val="24"/>
                <w:szCs w:val="24"/>
              </w:rPr>
              <w:t>Baltica</w:t>
            </w:r>
            <w:proofErr w:type="spellEnd"/>
            <w:r w:rsidRPr="0088498B">
              <w:rPr>
                <w:rFonts w:ascii="Times New Roman" w:hAnsi="Times New Roman" w:cs="Times New Roman"/>
                <w:sz w:val="24"/>
                <w:szCs w:val="24"/>
              </w:rPr>
              <w:t>“ projekt</w:t>
            </w:r>
            <w:r w:rsidR="00B26416">
              <w:rPr>
                <w:rFonts w:ascii="Times New Roman" w:hAnsi="Times New Roman" w:cs="Times New Roman"/>
                <w:sz w:val="24"/>
                <w:szCs w:val="24"/>
              </w:rPr>
              <w:t>o įgyvendinimas</w:t>
            </w:r>
            <w:r w:rsidRPr="008849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76D6" w:rsidRPr="0088498B" w:rsidTr="006C211A">
        <w:tc>
          <w:tcPr>
            <w:tcW w:w="1418" w:type="dxa"/>
          </w:tcPr>
          <w:p w:rsidR="00CE7A16" w:rsidRPr="0088498B" w:rsidRDefault="00CE7A16" w:rsidP="006C2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98B">
              <w:rPr>
                <w:rFonts w:ascii="Times New Roman" w:hAnsi="Times New Roman" w:cs="Times New Roman"/>
                <w:sz w:val="24"/>
                <w:szCs w:val="24"/>
              </w:rPr>
              <w:t>Klimato kaita ir energetika</w:t>
            </w:r>
          </w:p>
        </w:tc>
        <w:tc>
          <w:tcPr>
            <w:tcW w:w="4678" w:type="dxa"/>
          </w:tcPr>
          <w:p w:rsidR="00CE7A16" w:rsidRPr="0088498B" w:rsidRDefault="00CE7A16" w:rsidP="006C211A">
            <w:pPr>
              <w:tabs>
                <w:tab w:val="left" w:pos="16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98B">
              <w:rPr>
                <w:rFonts w:ascii="Times New Roman" w:hAnsi="Times New Roman" w:cs="Times New Roman"/>
                <w:sz w:val="24"/>
                <w:szCs w:val="24"/>
              </w:rPr>
              <w:t xml:space="preserve">Investicijos </w:t>
            </w:r>
            <w:r w:rsidRPr="007E086E">
              <w:rPr>
                <w:rFonts w:ascii="Times New Roman" w:hAnsi="Times New Roman" w:cs="Times New Roman"/>
                <w:sz w:val="24"/>
                <w:szCs w:val="24"/>
              </w:rPr>
              <w:t>turės tiesioginį trumpalaikį poveikį</w:t>
            </w:r>
            <w:r w:rsidR="00535C29" w:rsidRPr="007E086E">
              <w:rPr>
                <w:rFonts w:ascii="Times New Roman" w:hAnsi="Times New Roman" w:cs="Times New Roman"/>
                <w:sz w:val="24"/>
                <w:szCs w:val="24"/>
              </w:rPr>
              <w:t xml:space="preserve"> užimtumui</w:t>
            </w:r>
            <w:r w:rsidR="00535C29" w:rsidRPr="006C211A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C2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5C29" w:rsidRPr="006C211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C211A">
              <w:rPr>
                <w:rFonts w:ascii="Times New Roman" w:hAnsi="Times New Roman" w:cs="Times New Roman"/>
                <w:sz w:val="24"/>
                <w:szCs w:val="24"/>
              </w:rPr>
              <w:t>nfrastruktūros kūrimo</w:t>
            </w:r>
            <w:r w:rsidR="00535C29" w:rsidRPr="006C211A">
              <w:rPr>
                <w:rFonts w:ascii="Times New Roman" w:hAnsi="Times New Roman" w:cs="Times New Roman"/>
                <w:sz w:val="24"/>
                <w:szCs w:val="24"/>
              </w:rPr>
              <w:t xml:space="preserve"> ar </w:t>
            </w:r>
            <w:r w:rsidRPr="006C211A">
              <w:rPr>
                <w:rFonts w:ascii="Times New Roman" w:hAnsi="Times New Roman" w:cs="Times New Roman"/>
                <w:sz w:val="24"/>
                <w:szCs w:val="24"/>
              </w:rPr>
              <w:t>atnaujinimo</w:t>
            </w:r>
            <w:r w:rsidRPr="0088498B">
              <w:rPr>
                <w:rFonts w:ascii="Times New Roman" w:hAnsi="Times New Roman" w:cs="Times New Roman"/>
                <w:sz w:val="24"/>
                <w:szCs w:val="24"/>
              </w:rPr>
              <w:t xml:space="preserve"> projektų įgyvendinimas trumpuoju laikotarpiu sukurs daug papildomų darbo vietų statybos, projektavimo, inžinerijos ir kituose sektoriuose. Tokį patį efektą turės ir a</w:t>
            </w:r>
            <w:r w:rsidRPr="0088498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ktyvesniam </w:t>
            </w:r>
            <w:r w:rsidR="003476D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atsinaujinančių energijos išteklių </w:t>
            </w:r>
            <w:r w:rsidRPr="0088498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naudojimui reikalingos infrastruktūros plėtra.</w:t>
            </w:r>
          </w:p>
          <w:p w:rsidR="00CE7A16" w:rsidRPr="0088498B" w:rsidRDefault="00535C29" w:rsidP="007E086E">
            <w:pPr>
              <w:tabs>
                <w:tab w:val="left" w:pos="16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Taip </w:t>
            </w:r>
            <w:r w:rsidRPr="006C211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pat investicijos turės </w:t>
            </w:r>
            <w:r w:rsidRPr="007E086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ilgalaikį poveikį</w:t>
            </w:r>
            <w:r w:rsidRPr="006C211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užimtumui – </w:t>
            </w:r>
            <w:proofErr w:type="spellStart"/>
            <w:r w:rsidRPr="006C211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</w:t>
            </w:r>
            <w:r w:rsidR="00CE7A16" w:rsidRPr="007F71E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novatyv</w:t>
            </w:r>
            <w:r w:rsidR="00CE7A16" w:rsidRPr="0088498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ių</w:t>
            </w:r>
            <w:proofErr w:type="spellEnd"/>
            <w:r w:rsidR="00CE7A16" w:rsidRPr="0088498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elektros energijos sistemų kūrimas ir diegimas </w:t>
            </w:r>
            <w:r w:rsidR="00CE7A16" w:rsidRPr="0088498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gali </w:t>
            </w:r>
            <w:r w:rsidR="003476D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skatinti </w:t>
            </w:r>
            <w:r w:rsidR="00CE7A16" w:rsidRPr="0088498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naujų darbo vietų kūrimą aukštųjų technologijų gamybos, žinioms imliuose sektoriuose</w:t>
            </w:r>
            <w:r w:rsidR="00CE7A16" w:rsidRPr="0088498B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  <w:r w:rsidR="00CE7A16" w:rsidRPr="0088498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 to, e</w:t>
            </w:r>
            <w:r w:rsidR="00CE7A16" w:rsidRPr="0088498B">
              <w:rPr>
                <w:rFonts w:ascii="Times New Roman" w:hAnsi="Times New Roman" w:cs="Times New Roman"/>
                <w:sz w:val="24"/>
                <w:szCs w:val="24"/>
              </w:rPr>
              <w:t xml:space="preserve">lektros generacija panaudojant </w:t>
            </w:r>
            <w:r w:rsidR="003476D6">
              <w:rPr>
                <w:rFonts w:ascii="Times New Roman" w:hAnsi="Times New Roman" w:cs="Times New Roman"/>
                <w:sz w:val="24"/>
                <w:szCs w:val="24"/>
              </w:rPr>
              <w:t xml:space="preserve">suskystintų gamtinių dujų </w:t>
            </w:r>
            <w:r w:rsidR="00CE7A16" w:rsidRPr="0088498B">
              <w:rPr>
                <w:rFonts w:ascii="Times New Roman" w:hAnsi="Times New Roman" w:cs="Times New Roman"/>
                <w:sz w:val="24"/>
                <w:szCs w:val="24"/>
              </w:rPr>
              <w:t>nugaravim</w:t>
            </w:r>
            <w:r w:rsidR="003476D6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="00CE7A16" w:rsidRPr="0088498B">
              <w:rPr>
                <w:rFonts w:ascii="Times New Roman" w:hAnsi="Times New Roman" w:cs="Times New Roman"/>
                <w:sz w:val="24"/>
                <w:szCs w:val="24"/>
              </w:rPr>
              <w:t xml:space="preserve"> turės netiesioginį poveikį </w:t>
            </w:r>
            <w:r w:rsidR="00413150">
              <w:rPr>
                <w:rFonts w:ascii="Times New Roman" w:hAnsi="Times New Roman" w:cs="Times New Roman"/>
                <w:sz w:val="24"/>
                <w:szCs w:val="24"/>
              </w:rPr>
              <w:t xml:space="preserve">kuriant </w:t>
            </w:r>
            <w:r w:rsidR="00CE7A16" w:rsidRPr="0088498B">
              <w:rPr>
                <w:rFonts w:ascii="Times New Roman" w:hAnsi="Times New Roman" w:cs="Times New Roman"/>
                <w:sz w:val="24"/>
                <w:szCs w:val="24"/>
              </w:rPr>
              <w:t>darbo viet</w:t>
            </w:r>
            <w:r w:rsidR="00413150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CE7A16" w:rsidRPr="008849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CE7A16" w:rsidRPr="0088498B" w:rsidRDefault="00CE7A16" w:rsidP="006C211A">
            <w:pPr>
              <w:tabs>
                <w:tab w:val="left" w:pos="1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C21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Investicijos </w:t>
            </w:r>
            <w:r w:rsidRPr="007E086E">
              <w:rPr>
                <w:rFonts w:ascii="Times New Roman" w:hAnsi="Times New Roman" w:cs="Times New Roman"/>
                <w:sz w:val="24"/>
                <w:szCs w:val="24"/>
              </w:rPr>
              <w:t>gali turėti teigiamą poveikį</w:t>
            </w:r>
            <w:r w:rsidR="00535C29" w:rsidRPr="007E086E">
              <w:rPr>
                <w:rFonts w:ascii="Times New Roman" w:hAnsi="Times New Roman" w:cs="Times New Roman"/>
                <w:sz w:val="24"/>
                <w:szCs w:val="24"/>
              </w:rPr>
              <w:t xml:space="preserve"> TUI –</w:t>
            </w:r>
            <w:r w:rsidR="00CB7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211A">
              <w:rPr>
                <w:rFonts w:ascii="Times New Roman" w:hAnsi="Times New Roman" w:cs="Times New Roman"/>
                <w:sz w:val="24"/>
                <w:szCs w:val="24"/>
              </w:rPr>
              <w:t>TUI gali</w:t>
            </w:r>
            <w:r w:rsidRPr="0088498B">
              <w:rPr>
                <w:rFonts w:ascii="Times New Roman" w:hAnsi="Times New Roman" w:cs="Times New Roman"/>
                <w:sz w:val="24"/>
                <w:szCs w:val="24"/>
              </w:rPr>
              <w:t xml:space="preserve"> būti pritrauktos plėtojant gamybinius i</w:t>
            </w:r>
            <w:r w:rsidRPr="0088498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šmaniosios elektros energijos apskaitos, energijos valdiklių ir kitų </w:t>
            </w:r>
            <w:proofErr w:type="spellStart"/>
            <w:r w:rsidRPr="0088498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inovatyvių</w:t>
            </w:r>
            <w:proofErr w:type="spellEnd"/>
            <w:r w:rsidR="00CB719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sistemų gamybos pajėgumus. </w:t>
            </w:r>
            <w:bookmarkStart w:id="0" w:name="_GoBack"/>
            <w:bookmarkEnd w:id="0"/>
            <w:r w:rsidRPr="0088498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Ilgalaikis energijos pajėgumų plėtros planavimas gali pritraukti investuotoj</w:t>
            </w:r>
            <w:r w:rsidR="001C78A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ų ir</w:t>
            </w:r>
            <w:r w:rsidRPr="0088498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sudaryti stabilią investicinę aplinką.</w:t>
            </w:r>
          </w:p>
          <w:p w:rsidR="00CE7A16" w:rsidRPr="0088498B" w:rsidRDefault="00CE7A16" w:rsidP="006C211A">
            <w:pPr>
              <w:tabs>
                <w:tab w:val="left" w:pos="1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98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Priklausomybės mažinimo nuo energijos importo</w:t>
            </w:r>
            <w:r w:rsidRPr="0088498B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  <w:r w:rsidRPr="0088498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intervencijos priemonės gali pritraukti patyrusių </w:t>
            </w:r>
            <w:r w:rsidRPr="0088498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lastRenderedPageBreak/>
              <w:t>investuotojų; u</w:t>
            </w:r>
            <w:r w:rsidRPr="0088498B">
              <w:rPr>
                <w:rFonts w:ascii="Times New Roman" w:hAnsi="Times New Roman" w:cs="Times New Roman"/>
                <w:sz w:val="24"/>
                <w:szCs w:val="24"/>
              </w:rPr>
              <w:t>žsienio investuotojai taip pat gali būti pasitelkiami plėtojant elektromobilių infrastruktūros tinklą.</w:t>
            </w:r>
          </w:p>
        </w:tc>
        <w:tc>
          <w:tcPr>
            <w:tcW w:w="3544" w:type="dxa"/>
          </w:tcPr>
          <w:p w:rsidR="00CE7A16" w:rsidRPr="0088498B" w:rsidRDefault="00CE7A16" w:rsidP="00347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98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Išmaniosios elektros energijos apskaitos, energijos valdiklių ir kitų </w:t>
            </w:r>
            <w:proofErr w:type="spellStart"/>
            <w:r w:rsidRPr="0088498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inovatyvių</w:t>
            </w:r>
            <w:proofErr w:type="spellEnd"/>
            <w:r w:rsidRPr="0088498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 energiją taupančių sistemų</w:t>
            </w:r>
            <w:r w:rsidR="003476D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kūrimas</w:t>
            </w:r>
            <w:r w:rsidRPr="0088498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taip pat elektros energijos kaupimo įrenginių gamyba </w:t>
            </w:r>
            <w:r w:rsidRPr="007E086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gali turėti teigiamą poveikį eksportui</w:t>
            </w:r>
            <w:r w:rsidR="001C78AB" w:rsidRPr="007F71E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7F71E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7F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Plėtojant</w:t>
            </w:r>
            <w:r w:rsidRPr="00884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476D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atsinaujinančių energijos išteklių naudojimą </w:t>
            </w:r>
            <w:r w:rsidRPr="00884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skatinama technologijų plėtra, MTEP</w:t>
            </w:r>
            <w:r w:rsidR="003476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884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t</w:t>
            </w:r>
            <w:r w:rsidR="001C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odėl</w:t>
            </w:r>
            <w:r w:rsidRPr="00884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susidaro prielaidos ne tik naujų aukštos kvalifikacijos darbo </w:t>
            </w:r>
            <w:r w:rsidRPr="00884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vietų kūrimui, tačiau </w:t>
            </w:r>
            <w:proofErr w:type="gramStart"/>
            <w:r w:rsidRPr="00884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 aukštos ir vidutiniškai aukštos</w:t>
            </w:r>
            <w:proofErr w:type="gramEnd"/>
            <w:r w:rsidRPr="00884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pridėtinės vertės produkcijos eksportui.</w:t>
            </w:r>
          </w:p>
        </w:tc>
      </w:tr>
    </w:tbl>
    <w:p w:rsidR="007E086E" w:rsidRDefault="007E086E" w:rsidP="007E08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086E" w:rsidRDefault="007E086E" w:rsidP="007E08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7A16" w:rsidRPr="007E086E" w:rsidRDefault="00985754" w:rsidP="007E086E">
      <w:pPr>
        <w:jc w:val="center"/>
        <w:rPr>
          <w:rFonts w:ascii="Times New Roman" w:hAnsi="Times New Roman" w:cs="Times New Roman"/>
          <w:sz w:val="24"/>
          <w:szCs w:val="24"/>
        </w:rPr>
      </w:pPr>
      <w:r w:rsidRPr="007E086E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C92D36" w:rsidRPr="0088498B" w:rsidRDefault="00C92D36">
      <w:pPr>
        <w:rPr>
          <w:rFonts w:ascii="Times New Roman" w:hAnsi="Times New Roman" w:cs="Times New Roman"/>
          <w:sz w:val="24"/>
          <w:szCs w:val="24"/>
        </w:rPr>
      </w:pPr>
    </w:p>
    <w:sectPr w:rsidR="00C92D36" w:rsidRPr="0088498B" w:rsidSect="007E086E">
      <w:headerReference w:type="default" r:id="rId7"/>
      <w:footerReference w:type="default" r:id="rId8"/>
      <w:pgSz w:w="11906" w:h="16838"/>
      <w:pgMar w:top="1276" w:right="991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11A" w:rsidRDefault="006C211A">
      <w:pPr>
        <w:spacing w:after="0" w:line="240" w:lineRule="auto"/>
      </w:pPr>
      <w:r>
        <w:separator/>
      </w:r>
    </w:p>
  </w:endnote>
  <w:endnote w:type="continuationSeparator" w:id="0">
    <w:p w:rsidR="006C211A" w:rsidRDefault="006C2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11A" w:rsidRDefault="006C211A">
    <w:pPr>
      <w:pStyle w:val="Porat"/>
      <w:jc w:val="center"/>
    </w:pPr>
  </w:p>
  <w:p w:rsidR="006C211A" w:rsidRDefault="006C211A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11A" w:rsidRDefault="006C211A">
      <w:pPr>
        <w:spacing w:after="0" w:line="240" w:lineRule="auto"/>
      </w:pPr>
      <w:r>
        <w:separator/>
      </w:r>
    </w:p>
  </w:footnote>
  <w:footnote w:type="continuationSeparator" w:id="0">
    <w:p w:rsidR="006C211A" w:rsidRDefault="006C2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8815380"/>
      <w:docPartObj>
        <w:docPartGallery w:val="Page Numbers (Top of Page)"/>
        <w:docPartUnique/>
      </w:docPartObj>
    </w:sdtPr>
    <w:sdtEndPr/>
    <w:sdtContent>
      <w:p w:rsidR="006C211A" w:rsidRDefault="006C211A">
        <w:pPr>
          <w:pStyle w:val="Antrats"/>
          <w:jc w:val="center"/>
        </w:pPr>
        <w:r w:rsidRPr="007E086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E086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E086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B719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E086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C211A" w:rsidRDefault="006C211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A16"/>
    <w:rsid w:val="001C78AB"/>
    <w:rsid w:val="003243B5"/>
    <w:rsid w:val="003476D6"/>
    <w:rsid w:val="00413150"/>
    <w:rsid w:val="00535C29"/>
    <w:rsid w:val="005A1E72"/>
    <w:rsid w:val="006601E8"/>
    <w:rsid w:val="00677BE5"/>
    <w:rsid w:val="006949E7"/>
    <w:rsid w:val="006C211A"/>
    <w:rsid w:val="007E086E"/>
    <w:rsid w:val="007F71E4"/>
    <w:rsid w:val="0088498B"/>
    <w:rsid w:val="008B4F7A"/>
    <w:rsid w:val="00985754"/>
    <w:rsid w:val="009A0591"/>
    <w:rsid w:val="009D0B6E"/>
    <w:rsid w:val="00A20F34"/>
    <w:rsid w:val="00B26416"/>
    <w:rsid w:val="00B32219"/>
    <w:rsid w:val="00C5220D"/>
    <w:rsid w:val="00C92D36"/>
    <w:rsid w:val="00CB719F"/>
    <w:rsid w:val="00CE7A16"/>
    <w:rsid w:val="00D302EF"/>
    <w:rsid w:val="00DF248E"/>
    <w:rsid w:val="00ED5110"/>
    <w:rsid w:val="00F3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E7A1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E7A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rat">
    <w:name w:val="footer"/>
    <w:basedOn w:val="prastasis"/>
    <w:link w:val="PoratDiagrama"/>
    <w:uiPriority w:val="99"/>
    <w:unhideWhenUsed/>
    <w:rsid w:val="00CE7A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E7A16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A1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A1E7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9857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85754"/>
  </w:style>
  <w:style w:type="character" w:styleId="Komentaronuoroda">
    <w:name w:val="annotation reference"/>
    <w:basedOn w:val="Numatytasispastraiposriftas"/>
    <w:uiPriority w:val="99"/>
    <w:semiHidden/>
    <w:unhideWhenUsed/>
    <w:rsid w:val="00C5220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5220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5220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5220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5220D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C5220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E7A1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E7A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rat">
    <w:name w:val="footer"/>
    <w:basedOn w:val="prastasis"/>
    <w:link w:val="PoratDiagrama"/>
    <w:uiPriority w:val="99"/>
    <w:unhideWhenUsed/>
    <w:rsid w:val="00CE7A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E7A16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A1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A1E7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9857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85754"/>
  </w:style>
  <w:style w:type="character" w:styleId="Komentaronuoroda">
    <w:name w:val="annotation reference"/>
    <w:basedOn w:val="Numatytasispastraiposriftas"/>
    <w:uiPriority w:val="99"/>
    <w:semiHidden/>
    <w:unhideWhenUsed/>
    <w:rsid w:val="00C5220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5220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5220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5220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5220D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C522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4247</Words>
  <Characters>2422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Navikienė</dc:creator>
  <cp:lastModifiedBy>Gražina Meiduvienė</cp:lastModifiedBy>
  <cp:revision>7</cp:revision>
  <dcterms:created xsi:type="dcterms:W3CDTF">2020-06-08T07:20:00Z</dcterms:created>
  <dcterms:modified xsi:type="dcterms:W3CDTF">2020-06-09T08:00:00Z</dcterms:modified>
</cp:coreProperties>
</file>